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পূর্ণাঙ্গ মাস্টার লিখিত যুক্তিতর্ক (Version 85 — Final Court-Ready Master Brief)</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নিবেদন ও এখতিয়ারগত স্পষ্টীকরণ (Opening Address &amp; Jurisdictional Clarification)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*সখিপুর সিভিল জজ আদালতের বাটোয়ারা মামলা নং ৬৬/২০১৬-এর ০৫-০৪-২০২৬ তারিখের খারিজ রায় ও ০৯-০৪-২০২৬ তারিখের ডিক্রির বিরুদ্ধে আপীল্যান্ট বাদীপক্ষের এই আপীল।*</w:t>
      </w:r>
    </w:p>
    <w:p>
      <w:r>
        <w:rPr>
          <w:rFonts w:ascii="Kalpurush" w:cs="Kalpurush" w:eastAsia="Kalpurush" w:hAnsi="Kalpurush"/>
        </w:rPr>
        <w:t xml:space="preserve"/>
      </w:r>
    </w:p>
    <w:p>
      <w:r>
        <w:rPr>
          <w:rFonts w:ascii="Kalpurush" w:cs="Kalpurush" w:eastAsia="Kalpurush" w:hAnsi="Kalpurush"/>
          <w:sz w:val="20"/>
          <w:szCs w:val="20"/>
        </w:rPr>
        <w:t xml:space="preserve">*এই আপীলে কালানুক্রমিক ইতিহাসের চেয়ে সাক্ষ্যের আইনগত ক্রম (evidentiary hierarchy) অধিক গুরুত্বপূর্ণ। আমাদের শুনানির মূল রিফ্রেইন (Refrain) হইল:*</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"মহামান্য আদালত, আমরা বলছি না যে SA ২৩৮ অখণ্ডনীয় (conclusive) বা উহা rebut করা আইনত অসম্ভব। আমাদের প্রশ্ন শুধু — উহা rebut করার মতো নির্ভরযোগ্য প্রমাণ (rebuttal evidence) বিবাদীপক্ষের কাছে কোথায়?"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Jurisdictional Clarification (SAT Act Section 145A প্রসঙ্গে):</w:t>
      </w:r>
    </w:p>
    <w:p>
      <w:r>
        <w:rPr>
          <w:rFonts w:ascii="Kalpurush" w:cs="Kalpurush" w:eastAsia="Kalpurush" w:hAnsi="Kalpurush"/>
          <w:sz w:val="20"/>
          <w:szCs w:val="20"/>
        </w:rPr>
        <w:t xml:space="preserve">*মহামান্য আদালত, শুরুতেই একটি এখতিয়ারগত বিষয় স্পষ্ট করা প্রয়োজন। আমরা চূড়ান্ত এস.এ. রেকর্ড সংশোধনের জন্য কোনো independent relief প্রার্থনা করিতেছি না; বরং বিবাদীদের দাবিকৃত alleged later correction-এর legal effect এই বিচারাধীন বাটোয়ারা মামলার title dispute-এ পরীক্ষা করার প্রয়োজনীয়তা দেখাইতেছি।*</w:t>
      </w:r>
    </w:p>
    <w:p>
      <w:r>
        <w:rPr>
          <w:rFonts w:ascii="Kalpurush" w:cs="Kalpurush" w:eastAsia="Kalpurush" w:hAnsi="Kalpurush"/>
        </w:rPr>
        <w:t xml:space="preserve"/>
      </w:r>
    </w:p>
    <w:p>
      <w:r>
        <w:rPr>
          <w:rFonts w:ascii="Kalpurush" w:cs="Kalpurush" w:eastAsia="Kalpurush" w:hAnsi="Kalpurush"/>
          <w:sz w:val="20"/>
          <w:szCs w:val="20"/>
        </w:rPr>
        <w:t xml:space="preserve">*বিবাদীরা যে 'কথিত ১৯৬৯ সালের সংশোধন'-এর উপর নির্ভর করিতেছে, তাহা নির্ভরযোগ্য সাক্ষ্যে প্রমাণিত না হওয়ায়, বর্তমানে বহাল এবং কার্যকর (operative) রেকর্ড হিসেবে জেলা সেটেলমেন্ট রেকর্ড রুমে সংরক্ষিত SA ২৩৮-ই আদালতের সামনে একমাত্র গ্রহণযোগ্য সংবিধিবদ্ধ আইনি ভিত্তি।*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৫ মিনিটের সরাসরি পাঠযোগ্য রোডম্যাপ (5-Minute Oral Script)</w:t>
      </w:r>
    </w:p>
    <w:p>
      <w:r>
        <w:rPr>
          <w:rFonts w:ascii="Kalpurush" w:cs="Kalpurush" w:eastAsia="Kalpurush" w:hAnsi="Kalpurush"/>
        </w:rPr>
        <w:t xml:space="preserve"/>
      </w:r>
    </w:p>
    <w:p>
      <w:r>
        <w:rPr>
          <w:rFonts w:ascii="Kalpurush" w:cs="Kalpurush" w:eastAsia="Kalpurush" w:hAnsi="Kalpurush"/>
          <w:b/>
          <w:bCs/>
          <w:sz w:val="20"/>
          <w:szCs w:val="20"/>
        </w:rPr>
        <w:t xml:space="preserve">১. ১ম মিনিট (The Legal Starting Point &amp; State Record):</w:t>
      </w:r>
    </w:p>
    <w:p>
      <w:pPr>
        <w:ind w:left="720"/>
      </w:pPr>
      <w:r>
        <w:rPr>
          <w:rFonts w:ascii="Kalpurush" w:cs="Kalpurush" w:eastAsia="Kalpurush" w:hAnsi="Kalpurush"/>
          <w:i/>
          <w:iCs/>
          <w:sz w:val="20"/>
          <w:szCs w:val="20"/>
        </w:rPr>
        <w:t xml:space="preserve">*মহামান্য আদালত, আমাদের দাবি আব্দুল করিমের কথিত পত্তন থেকে derivative নয়। CS ২ নং খতিয়ানে নালিশী জমি কোনো ব্যক্তিগত রায়তি নামে রেকর্ডভুক্ত ছিল না; জমিটি নবাব এস্টেটের খাস হিসেবে প্রতিফলিত। ১৯৫২ সালের State Acquisition-এর পর ১৯৫৬–১৯৬২ সালের SA জরিপ কার্যক্রমে রাষ্ট্র আব্দুল আলীকে ১৬ আনা একক রায়ত হিসেবে রেকর্ড করে এবং সেই Record চূড়ান্তভাবে প্রকাশিত হয়। বর্তমানে জেলা Settlement Record Room-এ সংরক্ষিত সইমোহরি SA ২৩৮ record remains unchanged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২য় মিনিট (The Statutory Presumption &amp; Legal Formulation):</w:t>
      </w:r>
    </w:p>
    <w:p>
      <w:pPr>
        <w:ind w:left="720"/>
      </w:pPr>
      <w:r>
        <w:rPr>
          <w:rFonts w:ascii="Kalpurush" w:cs="Kalpurush" w:eastAsia="Kalpurush" w:hAnsi="Kalpurush"/>
          <w:i/>
          <w:iCs/>
          <w:sz w:val="20"/>
          <w:szCs w:val="20"/>
        </w:rPr>
        <w:t xml:space="preserve">*We do not say that a finally published SA record can never be wrong. We say that the party alleging the error or subsequent correction must prove it by reliable evidence. (বঙ্গানুবাদ: আমরা বলছি না যে চূড়ান্তভাবে প্রকাশিত এসএ রেকর্ড কখনো ভুল হতে পারে না। আমরা বলছি যে পক্ষ ভুল বা পরবর্তী সংশোধন দাবি করছে, তাকেই নির্ভরযোগ্য সাক্ষ্য দ্বারা তা প্রমাণ করতে হবে।) SAT Act-এর ধারা ১৪৪A অনুযায়ী Record of Rights-এর presumption হলো rebuttable; কিন্তু সেই অনুমান খণ্ডন করিতে হইলে challenger-কে positive ও reliable evidence দাখিল করিতে হইবে (50 DLR 186; 56 DLR (AD) 53; 10 BLT (AD) 105)। বাদীপক্ষ সইমোহরি খতিয়ান (প্রদর্শনী-৪) দাখিল করিয়া Initial Burden সম্পূর্ণ পূরণ করিয়াছে।*</w:t>
      </w:r>
    </w:p>
    <w:p>
      <w:r>
        <w:rPr>
          <w:rFonts w:ascii="Kalpurush" w:cs="Kalpurush" w:eastAsia="Kalpurush" w:hAnsi="Kalpurush"/>
        </w:rPr>
        <w:t xml:space="preserve"/>
      </w:r>
    </w:p>
    <w:p>
      <w:r>
        <w:rPr>
          <w:rFonts w:ascii="Kalpurush" w:cs="Kalpurush" w:eastAsia="Kalpurush" w:hAnsi="Kalpurush"/>
          <w:b/>
          <w:bCs/>
          <w:sz w:val="20"/>
          <w:szCs w:val="20"/>
        </w:rPr>
        <w:t xml:space="preserve">৩. ৩য় মিনিট (The Missing Foundation — The Central Question):</w:t>
      </w:r>
    </w:p>
    <w:p>
      <w:pPr>
        <w:ind w:left="720"/>
      </w:pPr>
      <w:r>
        <w:rPr>
          <w:rFonts w:ascii="Kalpurush" w:cs="Kalpurush" w:eastAsia="Kalpurush" w:hAnsi="Kalpurush"/>
          <w:i/>
          <w:iCs/>
          <w:sz w:val="20"/>
          <w:szCs w:val="20"/>
        </w:rPr>
        <w:t xml:space="preserve">*মহামান্য আদালত, বিবাদীপক্ষ AC Land ভলিউমের এন্ট্রি দেখাইয়াছে — কিন্তু যে আদেশের ভিত্তিতে entry-টি allegedly তৈরি, সেই আদেশ কোথায়? কথিত ১১৮১/১৯৬৯ Misc Case-এর existence, contents, jurisdiction, notice, implementation এবং সংশোধিত খতিয়ান — এই ছয়টির কোনো প্রাতিষ্ঠানিক প্রমাণ রেকর্ডে নাই। A consequential revenue entry, standing alone and without proof of its legal source, cannot displace the statutory presumption attached to a finally published SA record. (বঙ্গানুবাদ: আইনগত উৎস প্রমাণ ব্যতীত কোনো রাজস্ব এন্ট্রি এককভাবে চূড়ান্ত প্রকাশিত এসএ রেকর্ডের সংবিধিবদ্ধ অনুমানকে বাতিল করিতে পারে না; 53 DLR 19; 27 BLD 544)।*</w:t>
      </w:r>
    </w:p>
    <w:p>
      <w:r>
        <w:rPr>
          <w:rFonts w:ascii="Kalpurush" w:cs="Kalpurush" w:eastAsia="Kalpurush" w:hAnsi="Kalpurush"/>
        </w:rPr>
        <w:t xml:space="preserve"/>
      </w:r>
    </w:p>
    <w:p>
      <w:r>
        <w:rPr>
          <w:rFonts w:ascii="Kalpurush" w:cs="Kalpurush" w:eastAsia="Kalpurush" w:hAnsi="Kalpurush"/>
          <w:b/>
          <w:bCs/>
          <w:sz w:val="20"/>
          <w:szCs w:val="20"/>
        </w:rPr>
        <w:t xml:space="preserve">৪. ৪র্থ মিনিট (The Fatal Contradiction — 1975 Registered Deed):</w:t>
      </w:r>
    </w:p>
    <w:p>
      <w:pPr>
        <w:ind w:left="720"/>
      </w:pPr>
      <w:r>
        <w:rPr>
          <w:rFonts w:ascii="Kalpurush" w:cs="Kalpurush" w:eastAsia="Kalpurush" w:hAnsi="Kalpurush"/>
          <w:i/>
          <w:iCs/>
          <w:sz w:val="20"/>
          <w:szCs w:val="20"/>
        </w:rPr>
        <w:t xml:space="preserve">*বিবাদীদের তলবকৃত AC Land ভলিউমে এবং সাক্ষীদের জেরায় SA ২৩৮ খতিয়ানে কেবল ১টি দাগের (১২৫৯ দাগ) কথা বলা হইয়াছে — তাও দাগের মোট পরিমাণের চেয়ে ৯ শতাংশ বেশি ভুল পরিমাপে। অথচ তাহাদের নিজেদেরই সম্পাদিত ও রেজিস্ট্রিকৃত ৩৫৯৬/১৯৭৫ নং দলিলে (Exhibit Kha-1) SA ২৩৮ খতিয়ানের অধীনে ১টি নহে, বরং ৬টি দাগের বর্ণনা রহিয়াছে! If the alleged 1969 correction had reduced the SA 238 holding to one dag, why does the respondents' own registered deed of 1975 describe six dags under the same khatian? (বঙ্গানুবাদ: যদি কথিত ১৯৬৯ সালের সংশোধনে এসএ ২৩৮ খতিয়ানভুক্ত জমি একটি দাগে সীমাবদ্ধ হয়ে থাকে, তবে ১৯৭৫ সালে বিবাদীদের নিজেদের রেজিস্ট্রিকৃত দলিলে একই খতিয়ানের অধীনে ছয়টি দাগের বর্ণনা কেন?) এই গুরুতর দালিলিক বৈপরীত্য কথিত সংশোধন তত্ত্বের গ্রহণযোগ্যতা সম্পর্কে গুরুতর সন্দেহ সৃষ্টি করে।*</w:t>
      </w:r>
    </w:p>
    <w:p>
      <w:r>
        <w:rPr>
          <w:rFonts w:ascii="Kalpurush" w:cs="Kalpurush" w:eastAsia="Kalpurush" w:hAnsi="Kalpurush"/>
        </w:rPr>
        <w:t xml:space="preserve"/>
      </w:r>
    </w:p>
    <w:p>
      <w:r>
        <w:rPr>
          <w:rFonts w:ascii="Kalpurush" w:cs="Kalpurush" w:eastAsia="Kalpurush" w:hAnsi="Kalpurush"/>
          <w:b/>
          <w:bCs/>
          <w:sz w:val="20"/>
          <w:szCs w:val="20"/>
        </w:rPr>
        <w:t xml:space="preserve">৫. ৫ম মিনিট (The Structural Errors &amp; Prayer):</w:t>
      </w:r>
    </w:p>
    <w:p>
      <w:pPr>
        <w:ind w:left="720"/>
      </w:pPr>
      <w:r>
        <w:rPr>
          <w:rFonts w:ascii="Kalpurush" w:cs="Kalpurush" w:eastAsia="Kalpurush" w:hAnsi="Kalpurush"/>
          <w:i/>
          <w:iCs/>
          <w:sz w:val="20"/>
          <w:szCs w:val="20"/>
        </w:rPr>
        <w:t xml:space="preserve">*বিজ্ঞ ট্রায়াল কোর্ট চারটি মৌলিক ভুল করিয়াছেন: (১) আব্দুল করিমের মূল স্বত্বের দালিলিক প্রমাণ ছাড়াই অনুমান গ্রহণ করিয়াছেন, (২) অপ্রমাণিত Misc Case-এর আইনি ফলাফল প্রতিষ্ঠিত ধরে নিয়েছেন, (৩) সহকারী কমিশনার (ভূমি) অফিসের রাজস্ব ভলিউম এন্ট্রিকে মূল রেকর্ড রুমের সংবিধিবদ্ধ রেকর্ডের উপরে স্থান দিয়েছেন, এবং (৪) নিজস্ব দলিলের গুরুতর বৈপরীত্য ও গাণিতিক অসামঞ্জস্য বিবেচনায় নেননি। অতএব ট্রায়াল কোর্টের খারিজ রায় বাতিল করিয়া বাদীদের অনুকূলে প্রাথমিক ডিক্রি (Preliminary Decree) প্রদানই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 The Two-Layer Test (আপীলের মূল আইনি কাঠামো)</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বিবাদীদের দাবি টিকাইতে হলে আদালতকে দুটি স্তরের (Two-Layer) পরীক্ষায় উত্তীর্ণ হইতে হইবে:*</w:t>
      </w:r>
    </w:p>
    <w:p>
      <w:r>
        <w:rPr>
          <w:rFonts w:ascii="Kalpurush" w:cs="Kalpurush" w:eastAsia="Kalpurush" w:hAnsi="Kalpurush"/>
        </w:rPr>
        <w:t xml:space="preserve"/>
      </w:r>
    </w:p>
    <w:p>
      <w:r>
        <w:rPr>
          <w:rFonts w:ascii="Kalpurush" w:cs="Kalpurush" w:eastAsia="Kalpurush" w:hAnsi="Kalpurush"/>
          <w:b/>
          <w:bCs/>
          <w:sz w:val="20"/>
          <w:szCs w:val="20"/>
        </w:rPr>
        <w:t xml:space="preserve">Layer 1 (Competing Root):</w:t>
      </w:r>
      <w:r>
        <w:rPr>
          <w:rFonts w:ascii="Kalpurush" w:cs="Kalpurush" w:eastAsia="Kalpurush" w:hAnsi="Kalpurush"/>
          <w:sz w:val="20"/>
          <w:szCs w:val="20"/>
        </w:rPr>
        <w:t xml:space="preserve"> *আব্দুল করিম কি পূর্বে এমন একটি legally cognizable tenancy interest অর্জন করিয়াছিলেন, যার উত্তরাধিকার সোনাভানুর দিকে যায়?*</w:t>
      </w:r>
    </w:p>
    <w:p>
      <w:r>
        <w:rPr>
          <w:rFonts w:ascii="Kalpurush" w:cs="Kalpurush" w:eastAsia="Kalpurush" w:hAnsi="Kalpurush"/>
        </w:rPr>
        <w:t xml:space="preserve"/>
      </w:r>
    </w:p>
    <w:p>
      <w:r>
        <w:rPr>
          <w:rFonts w:ascii="Kalpurush" w:cs="Kalpurush" w:eastAsia="Kalpurush" w:hAnsi="Kalpurush"/>
          <w:b/>
          <w:bCs/>
          <w:sz w:val="20"/>
          <w:szCs w:val="20"/>
        </w:rPr>
        <w:t xml:space="preserve">Layer 2 (Displacement):</w:t>
      </w:r>
      <w:r>
        <w:rPr>
          <w:rFonts w:ascii="Kalpurush" w:cs="Kalpurush" w:eastAsia="Kalpurush" w:hAnsi="Kalpurush"/>
          <w:sz w:val="20"/>
          <w:szCs w:val="20"/>
        </w:rPr>
        <w:t xml:space="preserve"> *যদি এমন কোনো interest থাকিয়াও থাকে, তবে তাহা কীভাবে আইনসম্মতভাবে আব্দুল আলীর চূড়ান্তভাবে প্রকাশিত SA entry-কে displace করিয়া সোনাভানুর জন্য একটি বলবৎযোগ্য বর্তমান স্বত্ব (enforceable present interest) সৃষ্টি করিল?*</w:t>
      </w:r>
    </w:p>
    <w:p>
      <w:r>
        <w:rPr>
          <w:rFonts w:ascii="Kalpurush" w:cs="Kalpurush" w:eastAsia="Kalpurush" w:hAnsi="Kalpurush"/>
        </w:rPr>
        <w:t xml:space="preserve"/>
      </w:r>
    </w:p>
    <w:p>
      <w:r>
        <w:rPr>
          <w:rFonts w:ascii="Kalpurush" w:cs="Kalpurush" w:eastAsia="Kalpurush" w:hAnsi="Kalpurush"/>
          <w:sz w:val="20"/>
          <w:szCs w:val="20"/>
        </w:rPr>
        <w:t xml:space="preserve">*বিবাদীপক্ষ এই দুটি স্তরের কোনোটিতেই নির্ভরযোগ্য দালিলিক প্রমাণ উপস্থাপন করিতে পারেনি। অতএব এই আপীলের প্রকৃত প্রশ্ন 'SA ২৩৮ কি ভুল?' নয়; বরং:*</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respondents are not merely challenging a record; they are asking the Court to accept an alleged legal event — correction of SA 238 — which they have not proved by the order that supposedly caused it, the official record that supposedly implemented it, or consistent subsequent documentary conduct."</w:t>
      </w:r>
    </w:p>
    <w:p>
      <w:pPr>
        <w:ind w:left="720"/>
      </w:pPr>
      <w:r>
        <w:rPr>
          <w:rFonts w:ascii="Kalpurush" w:cs="Kalpurush" w:eastAsia="Kalpurush" w:hAnsi="Kalpurush"/>
          <w:i/>
          <w:iCs/>
          <w:sz w:val="20"/>
          <w:szCs w:val="20"/>
        </w:rPr>
        <w:t xml:space="preserve">*(বঙ্গানুবাদ: "বিবাদীপক্ষ কেবল একটি রেকর্ডকে চ্যালেঞ্জ করছে না; তারা আদালতকে এমন একটি কথিত আইনগত ঘটনা বিশ্বাস করতে বলছে — যার কারণে SA ২৩৮ সংশোধিত হয়েছিল — কিন্তু সেই ঘটনার মূল আদেশ, সরকারি বাস্তবায়ন এবং পরবর্তী সামঞ্জস্যপূর্ণ দলিলগত আচরণ — কোনোটিই তারা নির্ভরযোগ্যভাবে প্রমাণ করতে পারেনি।")*"*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II. SA ২৩৮ নং খতিয়ান: প্রারম্ভিক ভিত্তি ও ধারা ১৪৪A-এর সংবিধিবদ্ধ অনুমান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*বর্তমান মামলার বিচারিক সূচনা বিন্দু (Starting Point) হইল রাষ্ট্রের চূড়ান্তভাবে প্রকাশিত SA ২৩৮ নং খতিয়ান (প্রদর্শনী-৪)।*</w:t>
      </w:r>
    </w:p>
    <w:p>
      <w:r>
        <w:rPr>
          <w:rFonts w:ascii="Kalpurush" w:cs="Kalpurush" w:eastAsia="Kalpurush" w:hAnsi="Kalpurush"/>
        </w:rPr>
        <w:t xml:space="preserve"/>
      </w:r>
    </w:p>
    <w:p>
      <w:r>
        <w:rPr>
          <w:rFonts w:ascii="Kalpurush" w:cs="Kalpurush" w:eastAsia="Kalpurush" w:hAnsi="Kalpurush"/>
          <w:sz w:val="20"/>
          <w:szCs w:val="20"/>
        </w:rPr>
        <w:t xml:space="preserve">*SAT Act, 1950-এর Section 144A অনুযায়ী চূড়ান্তভাবে প্রকাশিত খতিয়ানের পেছনে সংবিধিবদ্ধ নির্ভুলতার অনুমান (Statutory Presumption of Correctness) বিদ্যমান। বাদীপক্ষ final certified SA 238 record দাখিলের মাধ্যমে statutory presumption-এর সুবিধা গ্রহণের ভিত্তি প্রতিষ্ঠা করেছে।*</w:t>
      </w:r>
    </w:p>
    <w:p>
      <w:r>
        <w:rPr>
          <w:rFonts w:ascii="Kalpurush" w:cs="Kalpurush" w:eastAsia="Kalpurush" w:hAnsi="Kalpurush"/>
        </w:rPr>
        <w:t xml:space="preserve"/>
      </w:r>
    </w:p>
    <w:p>
      <w:r>
        <w:rPr>
          <w:rFonts w:ascii="Kalpurush" w:cs="Kalpurush" w:eastAsia="Kalpurush" w:hAnsi="Kalpurush"/>
          <w:sz w:val="20"/>
          <w:szCs w:val="20"/>
        </w:rPr>
        <w:t xml:space="preserve">*অতঃপর বিবাদীপক্ষ যখন বিশেষভাবে দাবি করছে যে উক্ত entry ভুল বা পরবর্তীতে displaced হয়েছে, সেই নির্দিষ্ট দাবির factual foundation ও supporting evidence তাহাদেরই উপস্থাপন করতে হবে।*</w:t>
      </w:r>
    </w:p>
    <w:p>
      <w:r>
        <w:rPr>
          <w:rFonts w:ascii="Kalpurush" w:cs="Kalpurush" w:eastAsia="Kalpurush" w:hAnsi="Kalpurush"/>
        </w:rPr>
        <w:t xml:space="preserve"/>
      </w:r>
    </w:p>
    <w:p>
      <w:r>
        <w:rPr>
          <w:rFonts w:ascii="Kalpurush" w:cs="Kalpurush" w:eastAsia="Kalpurush" w:hAnsi="Kalpurush"/>
          <w:sz w:val="20"/>
          <w:szCs w:val="20"/>
        </w:rPr>
        <w:t xml:space="preserve">*সুপ্রিম কোর্টের সুপ্রতিষ্ঠিত সিদ্ধান্তসমূহ উদ্ধৃত করিতেছি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Assistant Custodian, 50 DLR 186:</w:t>
      </w:r>
    </w:p>
    <w:p>
      <w:pPr>
        <w:ind w:left="720"/>
      </w:pPr>
      <w:r>
        <w:rPr>
          <w:rFonts w:ascii="Kalpurush" w:cs="Kalpurush" w:eastAsia="Kalpurush" w:hAnsi="Kalpurush"/>
          <w:i/>
          <w:iCs/>
          <w:sz w:val="20"/>
          <w:szCs w:val="20"/>
        </w:rPr>
        <w:t xml:space="preserve">*"A record of rights finally published and revised under section 144A of the S.A.T. Act has a presumption of correctness and that presumption continues till it is rebutted by reliable evidence."*</w:t>
      </w:r>
    </w:p>
    <w:p>
      <w:pPr>
        <w:ind w:left="720"/>
      </w:pPr>
      <w:r>
        <w:rPr>
          <w:rFonts w:ascii="Kalpurush" w:cs="Kalpurush" w:eastAsia="Kalpurush" w:hAnsi="Kalpurush"/>
          <w:i/>
          <w:iCs/>
          <w:sz w:val="20"/>
          <w:szCs w:val="20"/>
        </w:rPr>
        <w:t xml:space="preserve">*(বঙ্গানুবাদ: "এস.এ.টি. আইনের ১৪৪A ধারার অধীনে চূড়ান্তভাবে প্রকাশিত ও সংশোধিত খতিয়ানের পেছনে সংবিধিবদ্ধ নির্ভুলতার অনুমান বিদ্যমান এবং নির্ভরযোগ্য সাক্ষ্য দ্বারা খণ্ডন না হওয়া পর্যন্ত সেই অনুমান অব্যাহত থাকে।")*</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Government of Bangladesh vs. AKM Abdul Hye, 56 DLR (AD) 53:</w:t>
      </w:r>
    </w:p>
    <w:p>
      <w:pPr>
        <w:ind w:left="720"/>
      </w:pPr>
      <w:r>
        <w:rPr>
          <w:rFonts w:ascii="Kalpurush" w:cs="Kalpurush" w:eastAsia="Kalpurush" w:hAnsi="Kalpurush"/>
          <w:i/>
          <w:iCs/>
          <w:sz w:val="20"/>
          <w:szCs w:val="20"/>
        </w:rPr>
        <w:t xml:space="preserve">*"Records of rights prepared under the State Acquisition and Tenancy Act carry a statutory presumption of correctness which must be rebutted by positive and reliable evidence by the party asserting otherwise."*</w:t>
      </w:r>
    </w:p>
    <w:p>
      <w:pPr>
        <w:ind w:left="720"/>
      </w:pPr>
      <w:r>
        <w:rPr>
          <w:rFonts w:ascii="Kalpurush" w:cs="Kalpurush" w:eastAsia="Kalpurush" w:hAnsi="Kalpurush"/>
          <w:i/>
          <w:iCs/>
          <w:sz w:val="20"/>
          <w:szCs w:val="20"/>
        </w:rPr>
        <w:t xml:space="preserve">*(বঙ্গানুবাদ: "স্টেট একুইজিশন অ্যান্ড প্রজাস্বত্ব আইনের অধীনে প্রস্তুতকৃত খতিয়ান সংবিধিবদ্ধ নির্ভুলতার অনুমান বহন করে, যা বিপরীত দাবিদার পক্ষকে ইতিবাচক ও নির্ভরযোগ্য সাক্ষ্য দ্বারা খণ্ডন করতে হবে।")*</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Azizul Hoque vs. Upendra Narayan Roy, 10 BLT (AD) 105:</w:t>
      </w:r>
    </w:p>
    <w:p>
      <w:pPr>
        <w:ind w:left="720"/>
      </w:pPr>
      <w:r>
        <w:rPr>
          <w:rFonts w:ascii="Kalpurush" w:cs="Kalpurush" w:eastAsia="Kalpurush" w:hAnsi="Kalpurush"/>
          <w:i/>
          <w:iCs/>
          <w:sz w:val="20"/>
          <w:szCs w:val="20"/>
        </w:rPr>
        <w:t xml:space="preserve">*"The burden of proving the error in the record of rights lies heavily on the challenging party."*</w:t>
      </w:r>
    </w:p>
    <w:p>
      <w:pPr>
        <w:ind w:left="720"/>
      </w:pPr>
      <w:r>
        <w:rPr>
          <w:rFonts w:ascii="Kalpurush" w:cs="Kalpurush" w:eastAsia="Kalpurush" w:hAnsi="Kalpurush"/>
          <w:i/>
          <w:iCs/>
          <w:sz w:val="20"/>
          <w:szCs w:val="20"/>
        </w:rPr>
        <w:t xml:space="preserve">*(বঙ্গানুবাদ: "খতিয়ানের ভুল প্রমাণের সম্পূর্ণ দায়ভার চ্যালেঞ্জকারী পক্ষের ওপর বর্তায়।")*"*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III. কথিত ১৯৬৯ সালের Misc Case: Missing Legal Source &amp; The Six Foundational Questions</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 দাবি করিতেছে ১১৮১/১৯৬৯ নং মিস মোকদ্দমার মাধ্যমে খতিয়ান সংশোধিত হইয়াছে। কিন্তু আদালতের সামনে সেই proceeding-এর nature, jurisdiction, parties, notice, relief এবং actual result — কোনোটিরই প্রাতিষ্ঠানিক প্রমাণ নাই।*</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'Before accepting the alleged correction, the Court must identify the legal instrument by which the correction occurred.'</w:t>
      </w:r>
    </w:p>
    <w:p>
      <w:pPr>
        <w:ind w:left="720"/>
      </w:pPr>
      <w:r>
        <w:rPr>
          <w:rFonts w:ascii="Kalpurush" w:cs="Kalpurush" w:eastAsia="Kalpurush" w:hAnsi="Kalpurush"/>
          <w:i/>
          <w:iCs/>
          <w:sz w:val="20"/>
          <w:szCs w:val="20"/>
        </w:rPr>
        <w:t xml:space="preserve">*(বঙ্গানুবাদ: "কথিত সংশোধনকে গ্রহণ করার পূর্বে আদালতকে অবশ্যই সনাক্ত করিতে হইবে কোন আইনি দলিলের মাধ্যমে উক্ত সংশোধন সংঘটিত হইয়াছিল।")*</w:t>
      </w:r>
    </w:p>
    <w:p>
      <w:r>
        <w:rPr>
          <w:rFonts w:ascii="Kalpurush" w:cs="Kalpurush" w:eastAsia="Kalpurush" w:hAnsi="Kalpurush"/>
        </w:rPr>
        <w:t xml:space="preserve"/>
      </w:r>
    </w:p>
    <w:p>
      <w:r>
        <w:rPr>
          <w:rFonts w:ascii="Kalpurush" w:cs="Kalpurush" w:eastAsia="Kalpurush" w:hAnsi="Kalpurush"/>
          <w:sz w:val="20"/>
          <w:szCs w:val="20"/>
        </w:rPr>
        <w:t xml:space="preserve">*তাহলে আমাদের কেন্দ্রীয় প্রশ্ন:*</w:t>
      </w:r>
    </w:p>
    <w:p>
      <w:pPr>
        <w:ind w:left="720"/>
      </w:pPr>
      <w:r>
        <w:rPr>
          <w:rFonts w:ascii="Kalpurush" w:cs="Kalpurush" w:eastAsia="Kalpurush" w:hAnsi="Kalpurush"/>
          <w:b/>
          <w:bCs/>
          <w:i/>
          <w:iCs/>
          <w:sz w:val="20"/>
          <w:szCs w:val="20"/>
        </w:rPr>
        <w:t xml:space="preserve">'মহামান্য আদালত, AC Land volume entry দেখানো হয়েছে — কিন্তু যে আদেশের ভিত্তিতে entry-টি allegedly তৈরি, সেই আদেশ কোথায়?'</w:t>
      </w:r>
    </w:p>
    <w:p>
      <w:r>
        <w:rPr>
          <w:rFonts w:ascii="Kalpurush" w:cs="Kalpurush" w:eastAsia="Kalpurush" w:hAnsi="Kalpurush"/>
        </w:rPr>
        <w:t xml:space="preserve"/>
      </w:r>
    </w:p>
    <w:p>
      <w:r>
        <w:rPr>
          <w:rFonts w:ascii="Kalpurush" w:cs="Kalpurush" w:eastAsia="Kalpurush" w:hAnsi="Kalpurush"/>
          <w:sz w:val="20"/>
          <w:szCs w:val="20"/>
        </w:rPr>
        <w:t xml:space="preserve">*আদালতের সামনে এই ছয়টি মৌলিক প্রমাণের সম্পূর্ণ অনুপস্থিতি বিদ্যমান:*</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Existence</w:t>
      </w:r>
      <w:r>
        <w:rPr>
          <w:rFonts w:ascii="Kalpurush" w:cs="Kalpurush" w:eastAsia="Kalpurush" w:hAnsi="Kalpurush"/>
          <w:sz w:val="20"/>
          <w:szCs w:val="20"/>
        </w:rPr>
        <w:t xml:space="preserve"> (আদেশটি আদৌ অস্তিত্বশীল ছিল কি?)*</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Contents</w:t>
      </w:r>
      <w:r>
        <w:rPr>
          <w:rFonts w:ascii="Kalpurush" w:cs="Kalpurush" w:eastAsia="Kalpurush" w:hAnsi="Kalpurush"/>
          <w:sz w:val="20"/>
          <w:szCs w:val="20"/>
        </w:rPr>
        <w:t xml:space="preserve"> (আদেশটির সুনির্দিষ্ট বিষয়বস্তু ও শর্তাবলী কী ছিল?)*</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Jurisdiction</w:t>
      </w:r>
      <w:r>
        <w:rPr>
          <w:rFonts w:ascii="Kalpurush" w:cs="Kalpurush" w:eastAsia="Kalpurush" w:hAnsi="Kalpurush"/>
          <w:sz w:val="20"/>
          <w:szCs w:val="20"/>
        </w:rPr>
        <w:t xml:space="preserve"> (কোন এখতিয়ারে আদেশটি প্রদান করা হইয়াছিল?)*</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Notice</w:t>
      </w:r>
      <w:r>
        <w:rPr>
          <w:rFonts w:ascii="Kalpurush" w:cs="Kalpurush" w:eastAsia="Kalpurush" w:hAnsi="Kalpurush"/>
          <w:sz w:val="20"/>
          <w:szCs w:val="20"/>
        </w:rPr>
        <w:t xml:space="preserve"> (রেকর্ডভুক্ত প্রজা আব্দুল আলীকে নোটিশ প্রদান করা হইয়াছিল কি?)*</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Implementation</w:t>
      </w:r>
      <w:r>
        <w:rPr>
          <w:rFonts w:ascii="Kalpurush" w:cs="Kalpurush" w:eastAsia="Kalpurush" w:hAnsi="Kalpurush"/>
          <w:sz w:val="20"/>
          <w:szCs w:val="20"/>
        </w:rPr>
        <w:t xml:space="preserve"> (সেই আদেশের ভিত্তিতে SA ২৩৮ কীভাবে আইনসম্মতভাবে Register of Alterations-এ পরিবর্তিত হইল?)*</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Corrected Khatian</w:t>
      </w:r>
      <w:r>
        <w:rPr>
          <w:rFonts w:ascii="Kalpurush" w:cs="Kalpurush" w:eastAsia="Kalpurush" w:hAnsi="Kalpurush"/>
          <w:sz w:val="20"/>
          <w:szCs w:val="20"/>
        </w:rPr>
        <w:t xml:space="preserve"> (সংশোধিত SA ২৩৮ নং খতিয়ানের সইমোহরি কপি কোথায়?)*</w:t>
      </w:r>
    </w:p>
    <w:p>
      <w:r>
        <w:rPr>
          <w:rFonts w:ascii="Kalpurush" w:cs="Kalpurush" w:eastAsia="Kalpurush" w:hAnsi="Kalpurush"/>
        </w:rPr>
        <w:t xml:space="preserve"/>
      </w:r>
    </w:p>
    <w:p>
      <w:r>
        <w:rPr>
          <w:rFonts w:ascii="Kalpurush" w:cs="Kalpurush" w:eastAsia="Kalpurush" w:hAnsi="Kalpurush"/>
          <w:sz w:val="20"/>
          <w:szCs w:val="20"/>
        </w:rPr>
        <w:t xml:space="preserve">*সাক্ষ্যগত যুক্তির ভিত্তি (Evidentiary Logic):*</w:t>
      </w:r>
    </w:p>
    <w:p>
      <w:r>
        <w:rPr>
          <w:rFonts w:ascii="Kalpurush" w:cs="Kalpurush" w:eastAsia="Kalpurush" w:hAnsi="Kalpurush"/>
          <w:sz w:val="20"/>
          <w:szCs w:val="20"/>
        </w:rPr>
        <w:t xml:space="preserve">*আমরা এটি দাবি করিতেছি না যে, একটি সংশোধিত সার্টিফাইড খতিয়ানের অনুপস্থিতিই এককভাবে কথিত সংশোধনকে মিথ্যা প্রমাণ করে। আমাদের বক্তব্য হইল — বিবাদীপক্ষ এমন কোনো পর্যাপ্ত দালিলিক প্রমাণ উপস্থাপন করিতে ব্যর্থ হইয়াছে, যাহা দ্বারা কথিত সংশোধনের অস্তিত্ব, বিষয়বস্তু এবং আইনসম্মত বাস্তবায়ন নির্ভরযোগ্যভাবে নিরূপণ করা যায়। মূল আদেশ (root) যখন প্রমাণিত নয়, তখন পরবর্তী কোনো revenue entry (fruit) দ্বারা চূড়ান্ত রেকর্ডের সংবিধিবদ্ধ অনুমান খণ্ডন করা আইনগতভাবে সম্ভব নয়।*</w:t>
      </w:r>
    </w:p>
    <w:p>
      <w:r>
        <w:rPr>
          <w:rFonts w:ascii="Kalpurush" w:cs="Kalpurush" w:eastAsia="Kalpurush" w:hAnsi="Kalpurush"/>
        </w:rPr>
        <w:t xml:space="preserve"/>
      </w:r>
    </w:p>
    <w:p>
      <w:r>
        <w:rPr>
          <w:rFonts w:ascii="Kalpurush" w:cs="Kalpurush" w:eastAsia="Kalpurush" w:hAnsi="Kalpurush"/>
          <w:sz w:val="20"/>
          <w:szCs w:val="20"/>
        </w:rPr>
        <w:t xml:space="preserve">*আইনি নজির —*</w:t>
      </w:r>
    </w:p>
    <w:p>
      <w:pPr>
        <w:ind w:left="720"/>
      </w:pPr>
      <w:r>
        <w:rPr>
          <w:rFonts w:ascii="Kalpurush" w:cs="Kalpurush" w:eastAsia="Kalpurush" w:hAnsi="Kalpurush"/>
          <w:b/>
          <w:bCs/>
          <w:i/>
          <w:iCs/>
          <w:sz w:val="20"/>
          <w:szCs w:val="20"/>
        </w:rPr>
        <w:t xml:space="preserve">Malay Miah vs. Maharam Ali, 27 BLD (HD) 544:</w:t>
      </w:r>
    </w:p>
    <w:p>
      <w:pPr>
        <w:ind w:left="720"/>
      </w:pPr>
      <w:r>
        <w:rPr>
          <w:rFonts w:ascii="Kalpurush" w:cs="Kalpurush" w:eastAsia="Kalpurush" w:hAnsi="Kalpurush"/>
          <w:i/>
          <w:iCs/>
          <w:sz w:val="20"/>
          <w:szCs w:val="20"/>
        </w:rPr>
        <w:t xml:space="preserve">*"Question of title cannot be decided in a miscellaneous proceeding. Declaration of title requires a properly constituted civil suit."*</w:t>
      </w:r>
    </w:p>
    <w:p>
      <w:pPr>
        <w:ind w:left="720"/>
      </w:pPr>
      <w:r>
        <w:rPr>
          <w:rFonts w:ascii="Kalpurush" w:cs="Kalpurush" w:eastAsia="Kalpurush" w:hAnsi="Kalpurush"/>
          <w:i/>
          <w:iCs/>
          <w:sz w:val="20"/>
          <w:szCs w:val="20"/>
        </w:rPr>
        <w:t xml:space="preserve">*(বঙ্গানুবাদ: "মিস মোকদ্দমার সংক্ষিপ্ত প্রক্রিয়ায় স্বত্বের প্রশ্ন নিষ্পত্তি করা যায় না। স্বত্ব ঘোষণার জন্য দেওয়ানি মামলা আবশ্যক।")*"*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IV. কথিত সংশোধনের সরকারি প্রতিফলন কোথায়? (The Missing Official Record)</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বক্তব্য যদি হয় যে ১১৮১/১৯৬৯ নং কথিত Misc Case-এর মাধ্যমে SA ২৩৮ নং খতিয়ানের substantive interest পরিবর্তিত হয়ে সোনাভানুর স্বত্ব সৃষ্টি হয়েছিল, তবে সেই পরিবর্তনের কোনো authoritative documentary manifestation আদালতের সামনে থাকা প্রত্যাশিত।*</w:t>
      </w:r>
    </w:p>
    <w:p>
      <w:r>
        <w:rPr>
          <w:rFonts w:ascii="Kalpurush" w:cs="Kalpurush" w:eastAsia="Kalpurush" w:hAnsi="Kalpurush"/>
        </w:rPr>
        <w:t xml:space="preserve"/>
      </w:r>
    </w:p>
    <w:p>
      <w:r>
        <w:rPr>
          <w:rFonts w:ascii="Kalpurush" w:cs="Kalpurush" w:eastAsia="Kalpurush" w:hAnsi="Kalpurush"/>
          <w:sz w:val="20"/>
          <w:szCs w:val="20"/>
        </w:rPr>
        <w:t xml:space="preserve">*কিন্তু বর্তমান জেলা Settlement Record Room-এ সংরক্ষিত SA ২৩৮ নং খতিয়ানে আজও আব্দুল আলীর নামই এককভাবে বহাল। বিবাদীপক্ষ কোনো সংশোধিত SA ২৩৮ নং সইমোহরি কপি, সংশ্লিষ্ট alteration trail বা এমন কোনো সরকারি record দাখিল করতে পারেনি, যাহা দ্বারা alleged correction-এর final legal effect নির্ভরযোগ্যভাবে নিরূপণ করা যায়।*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present authoritative record maintained in the District Settlement Record Room does not reflect Sona Bhanu as a recorded co-sharer in SA 238. Thus, the alleged 1969 correction is not merely unsupported by its parent order; its alleged substantive result is also not reflected in the present final SA record.'</w:t>
      </w:r>
    </w:p>
    <w:p>
      <w:pPr>
        <w:ind w:left="720"/>
      </w:pPr>
      <w:r>
        <w:rPr>
          <w:rFonts w:ascii="Kalpurush" w:cs="Kalpurush" w:eastAsia="Kalpurush" w:hAnsi="Kalpurush"/>
          <w:i/>
          <w:iCs/>
          <w:sz w:val="20"/>
          <w:szCs w:val="20"/>
        </w:rPr>
        <w:t xml:space="preserve">*(বঙ্গানুবাদ: "জেলা সেটেলমেন্ট রেকর্ড রুমে সংরক্ষিত বর্তমান authoritative SA ২৩৮ নং রেকর্ডে সোনাভানু কোনো recorded co-sharer হিসেবে প্রতিফলিত নন। অতএব কথিত ১৯৬৯ সালের সংশোধন শুধু তার মূল আদেশ দ্বারা অপ্রমাণিতই নয়; সেই সংশোধনের কথিত substantive ফলাফলও বর্তমান চূড়ান্ত SA রেকর্ডে প্রতিফলিত নয়।")*</w:t>
      </w:r>
    </w:p>
    <w:p>
      <w:r>
        <w:rPr>
          <w:rFonts w:ascii="Kalpurush" w:cs="Kalpurush" w:eastAsia="Kalpurush" w:hAnsi="Kalpurush"/>
        </w:rPr>
        <w:t xml:space="preserve"/>
      </w:r>
    </w:p>
    <w:p>
      <w:r>
        <w:rPr>
          <w:rFonts w:ascii="Kalpurush" w:cs="Kalpurush" w:eastAsia="Kalpurush" w:hAnsi="Kalpurush"/>
          <w:sz w:val="20"/>
          <w:szCs w:val="20"/>
        </w:rPr>
        <w:t xml:space="preserve">*বিবাদীপক্ষ যদি বলেন যে AC Land ভলিউমের এন্ট্রিই সংশোধনের চূড়ান্ত প্রমাণ, তবে তাঁদের দেখাইতে হবে — কীভাবে সেই এন্ট্রি আইনসঙ্গতভাবে SA ২৩৮-এর final record-এ কার্যকর পরিবর্তনে রূপান্তরিত হয়েছিল। কেবল একটি স্থানীয় রাজস্ব ভলিউমে এন্ট্রির অস্তিত্ব সেই প্রশ্নের উত্তর দেয়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'At the very least, the respondents were required to place before the Court sufficient documentary evidence from which the existence, contents and implementation of the alleged correction could be reliably ascertained. The absence of the best available documentary evidence warrants an adverse inference against the party asserting the alleged correction, subject to the Court’s appreciation of the entire evidence.'</w:t>
      </w:r>
    </w:p>
    <w:p>
      <w:pPr>
        <w:ind w:left="720"/>
      </w:pPr>
      <w:r>
        <w:rPr>
          <w:rFonts w:ascii="Kalpurush" w:cs="Kalpurush" w:eastAsia="Kalpurush" w:hAnsi="Kalpurush"/>
          <w:i/>
          <w:iCs/>
          <w:sz w:val="20"/>
          <w:szCs w:val="20"/>
        </w:rPr>
        <w:t xml:space="preserve">*(বঙ্গানুবাদ: "ন্যূনতমপক্ষে বিবাদীপক্ষের দায়িত্ব ছিল আদালতের সামনে এমন পর্যাপ্ত দালিলিক সাক্ষ্য উপস্থাপন করা, যা দ্বারা কথিত সংশোধনের অস্তিত্ব, বিষয়বস্তু ও বাস্তবায়ন নির্ভরযোগ্যভাবে নিরূপণ করা যায়। সর্বোত্তম দালিলিক প্রমাণের অনুপস্থিতি, সমগ্র সাক্ষ্যের আলোকে আদালতের বিবেচনাসাপেক্ষে, কথিত সংশোধন দাবিদার পক্ষের বিরুদ্ধে একটি প্রতিকূল অনুমানের যৌক্তিকতা সৃষ্টি করে।")*"*</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 AC Land ভলিউম এন্ট্রি: প্রমাণিক গুরুত্ব ও Provenance</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*সখিপুর AC Land অফিসের রাজস্ব ভলিউমে থাকা এন্ট্রি সম্পর্কে আমাদের বিনীত অবস্থান:*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'Even assuming the AC Land volume is a genuine revenue record, the respondents must still establish its legal source, nature and authority to alter the substantive interest recorded in SA 238. A revenue volume entry cannot, merely by appearing in a government office book, acquire the evidentiary effect of a judicial or statutory correction order.'</w:t>
      </w:r>
    </w:p>
    <w:p>
      <w:pPr>
        <w:ind w:left="720"/>
      </w:pPr>
      <w:r>
        <w:rPr>
          <w:rFonts w:ascii="Kalpurush" w:cs="Kalpurush" w:eastAsia="Kalpurush" w:hAnsi="Kalpurush"/>
          <w:i/>
          <w:iCs/>
          <w:sz w:val="20"/>
          <w:szCs w:val="20"/>
        </w:rPr>
        <w:t xml:space="preserve">*(বঙ্গানুবাদ: "এমনকি যদি ধরেও নেওয়া হয় যে এসি ল্যান্ড ভলিউম একটি প্রকৃত রাজস্ব রেকর্ড, তবুও বিবাদীপক্ষকে অবশ্যই এসএ ২৩৮-এ রেকর্ডকৃত মূল স্বত্ব পরিবর্তন করার আইনগত উৎস, প্রকৃতি ও কর্তৃত্ব প্রমাণ করতে হবে। একটি রাজস্ব ভলিউম এন্ট্রি কেবল কোনো সরকারি অফিসের বইয়ে দৃশ্যমান হওয়ার কারণেই কোনো বিচারিক বা সংবিধিবদ্ধ সংশোধন আদেশের প্রমাণিক মর্যাদা লাভ করতে পারে না।")*</w:t>
      </w:r>
    </w:p>
    <w:p>
      <w:r>
        <w:rPr>
          <w:rFonts w:ascii="Kalpurush" w:cs="Kalpurush" w:eastAsia="Kalpurush" w:hAnsi="Kalpurush"/>
        </w:rPr>
        <w:t xml:space="preserve"/>
      </w:r>
    </w:p>
    <w:p>
      <w:r>
        <w:rPr>
          <w:rFonts w:ascii="Kalpurush" w:cs="Kalpurush" w:eastAsia="Kalpurush" w:hAnsi="Kalpurush"/>
          <w:sz w:val="20"/>
          <w:szCs w:val="20"/>
        </w:rPr>
        <w:t xml:space="preserve">*বিবাদীপক্ষ AC Land ভলিউমের এন্ট্রির জন্য সেই একই statutory presumption দাবি করিতে পারে না, যাহা ধারা ১৪৪A অনুযায়ী একটি চূড়ান্তভাবে প্রকাশিত record-of-rights-এর ক্ষেত্রে প্রযোজ্য। ইহা মূলত একটি প্রশাসনিক ও রাজস্ব সংক্রান্ত নথি, যাহা চূড়ান্ত রেকর্ড রুমের রেকর্ডকে (ROR) স্বয়ংক্রিয়ভাবে displace করিতে পারে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DW-4-এর সাক্ষ্য (Evidence on Record):</w:t>
      </w:r>
    </w:p>
    <w:p>
      <w:r>
        <w:rPr>
          <w:rFonts w:ascii="Kalpurush" w:cs="Kalpurush" w:eastAsia="Kalpurush" w:hAnsi="Kalpurush"/>
          <w:sz w:val="20"/>
          <w:szCs w:val="20"/>
        </w:rPr>
        <w:t xml:space="preserve">*বিবাদীদের সাক্ষী DW-4 আদালতে স্বীকার করিয়াছেন যে —*</w:t>
      </w:r>
    </w:p>
    <w:p>
      <w:pPr>
        <w:pStyle w:val="ListParagraph"/>
        <w:numPr>
          <w:ilvl w:val="0"/>
          <w:numId w:val="1"/>
        </w:numPr>
      </w:pPr>
      <w:r>
        <w:rPr>
          <w:rFonts w:ascii="Kalpurush" w:cs="Kalpurush" w:eastAsia="Kalpurush" w:hAnsi="Kalpurush"/>
          <w:sz w:val="20"/>
          <w:szCs w:val="20"/>
        </w:rPr>
        <w:t xml:space="preserve">*তিনি entry-এর provenance ব্যাখ্যা বা underlying record দেখাতে সক্ষম হননি;*</w:t>
      </w:r>
    </w:p>
    <w:p>
      <w:pPr>
        <w:pStyle w:val="ListParagraph"/>
        <w:numPr>
          <w:ilvl w:val="0"/>
          <w:numId w:val="1"/>
        </w:numPr>
      </w:pPr>
      <w:r>
        <w:rPr>
          <w:rFonts w:ascii="Kalpurush" w:cs="Kalpurush" w:eastAsia="Kalpurush" w:hAnsi="Kalpurush"/>
          <w:sz w:val="20"/>
          <w:szCs w:val="20"/>
        </w:rPr>
        <w:t xml:space="preserve">*কোনো underlying file বা parent order প্রদর্শন করতে পারেননি;*</w:t>
      </w:r>
    </w:p>
    <w:p>
      <w:pPr>
        <w:pStyle w:val="ListParagraph"/>
        <w:numPr>
          <w:ilvl w:val="0"/>
          <w:numId w:val="1"/>
        </w:numPr>
      </w:pPr>
      <w:r>
        <w:rPr>
          <w:rFonts w:ascii="Kalpurush" w:cs="Kalpurush" w:eastAsia="Kalpurush" w:hAnsi="Kalpurush"/>
          <w:sz w:val="20"/>
          <w:szCs w:val="20"/>
        </w:rPr>
        <w:t xml:space="preserve">*এবং এন্ট্রিটি ভিন্ন কালিতে থাকার বিষয়টি স্বীকার করিয়াছেন — যা এন্ট্রির provenance এবং legal basis সম্পর্কে serious evidentiary doubt সৃষ্টি করে।*</w:t>
      </w:r>
    </w:p>
    <w:p>
      <w:r>
        <w:rPr>
          <w:rFonts w:ascii="Kalpurush" w:cs="Kalpurush" w:eastAsia="Kalpurush" w:hAnsi="Kalpurush"/>
        </w:rPr>
        <w:t xml:space="preserve"/>
      </w:r>
    </w:p>
    <w:p>
      <w:r>
        <w:rPr>
          <w:rFonts w:ascii="Kalpurush" w:cs="Kalpurush" w:eastAsia="Kalpurush" w:hAnsi="Kalpurush"/>
          <w:sz w:val="20"/>
          <w:szCs w:val="20"/>
        </w:rPr>
        <w:t xml:space="preserve">*প্রাসঙ্গিক আইনি নজির —*</w:t>
      </w:r>
    </w:p>
    <w:p>
      <w:pPr>
        <w:ind w:left="720"/>
      </w:pPr>
      <w:r>
        <w:rPr>
          <w:rFonts w:ascii="Kalpurush" w:cs="Kalpurush" w:eastAsia="Kalpurush" w:hAnsi="Kalpurush"/>
          <w:b/>
          <w:bCs/>
          <w:i/>
          <w:iCs/>
          <w:sz w:val="20"/>
          <w:szCs w:val="20"/>
        </w:rPr>
        <w:t xml:space="preserve">Shahera Khatun vs. State, 53 DLR 19:</w:t>
      </w:r>
    </w:p>
    <w:p>
      <w:pPr>
        <w:ind w:left="720"/>
      </w:pPr>
      <w:r>
        <w:rPr>
          <w:rFonts w:ascii="Kalpurush" w:cs="Kalpurush" w:eastAsia="Kalpurush" w:hAnsi="Kalpurush"/>
          <w:i/>
          <w:iCs/>
          <w:sz w:val="20"/>
          <w:szCs w:val="20"/>
        </w:rPr>
        <w:t xml:space="preserve">*"A volume note or mutation entry carries no statutory presumption of correctness without the underlying parent order."*</w:t>
      </w:r>
    </w:p>
    <w:p>
      <w:pPr>
        <w:ind w:left="720"/>
      </w:pPr>
      <w:r>
        <w:rPr>
          <w:rFonts w:ascii="Kalpurush" w:cs="Kalpurush" w:eastAsia="Kalpurush" w:hAnsi="Kalpurush"/>
          <w:i/>
          <w:iCs/>
          <w:sz w:val="20"/>
          <w:szCs w:val="20"/>
        </w:rPr>
        <w:t xml:space="preserve">*(বঙ্গানুবাদ: "মূল আদেশ ব্যতীত ভলিউম নোট বা নামজারি এন্ট্রির কোনো সংবিধিবদ্ধ নির্ভুলতার অনুমান থাকে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Fazlur Rahman vs. Bangladesh, 1 BLT (HD) 18:</w:t>
      </w:r>
    </w:p>
    <w:p>
      <w:pPr>
        <w:ind w:left="720"/>
      </w:pPr>
      <w:r>
        <w:rPr>
          <w:rFonts w:ascii="Kalpurush" w:cs="Kalpurush" w:eastAsia="Kalpurush" w:hAnsi="Kalpurush"/>
          <w:i/>
          <w:iCs/>
          <w:sz w:val="20"/>
          <w:szCs w:val="20"/>
        </w:rPr>
        <w:t xml:space="preserve">*"SA Khatian changes made in separate ink or handwriting without a parent judicial order sheet are invalid and legally ineffective."*</w:t>
      </w:r>
    </w:p>
    <w:p>
      <w:pPr>
        <w:ind w:left="720"/>
      </w:pPr>
      <w:r>
        <w:rPr>
          <w:rFonts w:ascii="Kalpurush" w:cs="Kalpurush" w:eastAsia="Kalpurush" w:hAnsi="Kalpurush"/>
          <w:i/>
          <w:iCs/>
          <w:sz w:val="20"/>
          <w:szCs w:val="20"/>
        </w:rPr>
        <w:t xml:space="preserve">*(বঙ্গানুবাদ: "মূল বিচারিক আদেশনামা ছাড়া ভিন্ন কালিতে বা হস্তাক্ষরে এসএ খতিয়ানে কৃত পরিবর্তন অবৈধ এবং আইনত অকার্যকর।")*</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 (পাঁচ বিচারপতির আপীল বিভাগীয় বেঞ্চ):</w:t>
      </w:r>
    </w:p>
    <w:p>
      <w:pPr>
        <w:ind w:left="720"/>
      </w:pPr>
      <w:r>
        <w:rPr>
          <w:rFonts w:ascii="Kalpurush" w:cs="Kalpurush" w:eastAsia="Kalpurush" w:hAnsi="Kalpurush"/>
          <w:i/>
          <w:iCs/>
          <w:sz w:val="20"/>
          <w:szCs w:val="20"/>
        </w:rPr>
        <w:t xml:space="preserve">*"An administrative ROR entry or procured mutation note cannot override an established title or statutory presumption attached to a finally published record."*</w:t>
      </w:r>
    </w:p>
    <w:p>
      <w:pPr>
        <w:ind w:left="720"/>
      </w:pPr>
      <w:r>
        <w:rPr>
          <w:rFonts w:ascii="Kalpurush" w:cs="Kalpurush" w:eastAsia="Kalpurush" w:hAnsi="Kalpurush"/>
          <w:i/>
          <w:iCs/>
          <w:sz w:val="20"/>
          <w:szCs w:val="20"/>
        </w:rPr>
        <w:t xml:space="preserve">*(বঙ্গানুবাদ: "প্রশাসনিক খতিয়ান এন্ট্রি বা সংগৃহীত নামজারি নোট কোনো প্রতিষ্ঠিত স্বত্ব বা চূড়ান্ত প্রকাশিত রেকর্ডের সংবিধিবদ্ধ অনুমানকে বাতিল করতে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 ১৯৭৫ সালের রেজিস্ট্রিকৃত দলিল (Deed No. 3596/1975) — দালিলিক বৈপরীত্য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বর্তমান theory:*</w:t>
      </w:r>
    </w:p>
    <w:p>
      <w:r>
        <w:rPr>
          <w:rFonts w:ascii="Kalpurush" w:cs="Kalpurush" w:eastAsia="Kalpurush" w:hAnsi="Kalpurush"/>
          <w:sz w:val="20"/>
          <w:szCs w:val="20"/>
        </w:rPr>
        <w:t xml:space="preserve">$$\text{Alleged 1969 correction} \longrightarrow \text{SA 238 effectively one dag (1259)}$$</w:t>
      </w:r>
    </w:p>
    <w:p>
      <w:r>
        <w:rPr>
          <w:rFonts w:ascii="Kalpurush" w:cs="Kalpurush" w:eastAsia="Kalpurush" w:hAnsi="Kalpurush"/>
        </w:rPr>
        <w:t xml:space="preserve"/>
      </w:r>
    </w:p>
    <w:p>
      <w:r>
        <w:rPr>
          <w:rFonts w:ascii="Kalpurush" w:cs="Kalpurush" w:eastAsia="Kalpurush" w:hAnsi="Kalpurush"/>
          <w:sz w:val="20"/>
          <w:szCs w:val="20"/>
        </w:rPr>
        <w:t xml:space="preserve">*কিন্তু তাহাদের নিজেদের রেজিস্ট্রিকৃত ৩৫৯৬/১৯৭৫ নং দলিলে (Exhibit Kha-1) SA ২৩৮-এর অধীনে ছয়টি দাগের বর্ণনা রহিয়াছে:*</w:t>
      </w:r>
    </w:p>
    <w:p>
      <w:r>
        <w:rPr>
          <w:rFonts w:ascii="Kalpurush" w:cs="Kalpurush" w:eastAsia="Kalpurush" w:hAnsi="Kalpurush"/>
          <w:sz w:val="20"/>
          <w:szCs w:val="20"/>
        </w:rPr>
        <w:t xml:space="preserve">$$\text{দাগসমূহ: ১২৫৯, ৭৫, ৩, ৫৪, ১২৫২ এবং ১২২০}$$</w:t>
      </w:r>
    </w:p>
    <w:p>
      <w:r>
        <w:rPr>
          <w:rFonts w:ascii="Kalpurush" w:cs="Kalpurush" w:eastAsia="Kalpurush" w:hAnsi="Kalpurush"/>
        </w:rPr>
        <w:t xml:space="preserve"/>
      </w:r>
    </w:p>
    <w:p>
      <w:r>
        <w:rPr>
          <w:rFonts w:ascii="Kalpurush" w:cs="Kalpurush" w:eastAsia="Kalpurush" w:hAnsi="Kalpurush"/>
          <w:sz w:val="20"/>
          <w:szCs w:val="20"/>
        </w:rPr>
        <w:t xml:space="preserve">*তাই আদালতের সামনে প্রশ্নটি খুব স্পষ্ট ও সুনির্দিষ্ট:*</w:t>
      </w:r>
    </w:p>
    <w:p>
      <w:pPr>
        <w:ind w:left="720"/>
      </w:pPr>
      <w:r>
        <w:rPr>
          <w:rFonts w:ascii="Kalpurush" w:cs="Kalpurush" w:eastAsia="Kalpurush" w:hAnsi="Kalpurush"/>
          <w:b/>
          <w:bCs/>
          <w:i/>
          <w:iCs/>
          <w:sz w:val="20"/>
          <w:szCs w:val="20"/>
        </w:rPr>
        <w:t xml:space="preserve">'If the alleged 1969 correction had reduced the SA 238 holding to one dag, why does the respondents' own registered deed of 1975 describe six dags under the same khatian?'</w:t>
      </w:r>
    </w:p>
    <w:p>
      <w:pPr>
        <w:ind w:left="720"/>
      </w:pPr>
      <w:r>
        <w:rPr>
          <w:rFonts w:ascii="Kalpurush" w:cs="Kalpurush" w:eastAsia="Kalpurush" w:hAnsi="Kalpurush"/>
          <w:i/>
          <w:iCs/>
          <w:sz w:val="20"/>
          <w:szCs w:val="20"/>
        </w:rPr>
        <w:t xml:space="preserve">*(বঙ্গানুবাদ: "যদি কথিত ১৯৬৯ সালের সংশোধনে এসএ ২৩৮ খতিয়ানভুক্ত জমি একটি দাগে সীমাবদ্ধ হয়ে থাকে, তবে ১৯৭৫ সালে বিবাদীদের নিজেদের রেজিস্ট্রিকৃত দলিলে একই খতিয়ানের অধীনে ছয়টি দাগের বর্ণনা কেন?")*</w:t>
      </w:r>
    </w:p>
    <w:p>
      <w:r>
        <w:rPr>
          <w:rFonts w:ascii="Kalpurush" w:cs="Kalpurush" w:eastAsia="Kalpurush" w:hAnsi="Kalpurush"/>
        </w:rPr>
        <w:t xml:space="preserve"/>
      </w:r>
    </w:p>
    <w:p>
      <w:r>
        <w:rPr>
          <w:rFonts w:ascii="Kalpurush" w:cs="Kalpurush" w:eastAsia="Kalpurush" w:hAnsi="Kalpurush"/>
          <w:sz w:val="20"/>
          <w:szCs w:val="20"/>
        </w:rPr>
        <w:t xml:space="preserve">*আমাদের বিনীত বক্তব্য:*</w:t>
      </w:r>
    </w:p>
    <w:p>
      <w:pPr>
        <w:ind w:left="720"/>
      </w:pPr>
      <w:r>
        <w:rPr>
          <w:rFonts w:ascii="Kalpurush" w:cs="Kalpurush" w:eastAsia="Kalpurush" w:hAnsi="Kalpurush"/>
          <w:b/>
          <w:bCs/>
          <w:i/>
          <w:iCs/>
          <w:sz w:val="20"/>
          <w:szCs w:val="20"/>
        </w:rPr>
        <w:t xml:space="preserve">'The contradiction does not by itself prove fabrication, but it materially undermines the credibility and alleged operation of the one-dag correction theory.'</w:t>
      </w:r>
    </w:p>
    <w:p>
      <w:pPr>
        <w:ind w:left="720"/>
      </w:pPr>
      <w:r>
        <w:rPr>
          <w:rFonts w:ascii="Kalpurush" w:cs="Kalpurush" w:eastAsia="Kalpurush" w:hAnsi="Kalpurush"/>
          <w:i/>
          <w:iCs/>
          <w:sz w:val="20"/>
          <w:szCs w:val="20"/>
        </w:rPr>
        <w:t xml:space="preserve">*(বঙ্গানুবাদ: "এই বৈপরীত্য নিজে থেকেই জালিয়াতি প্রমাণ করে না; তবে ইহা এক-দাগের কথিত সংশোধন তত্ত্বের বিশ্বাসযোগ্যতা ও কথিত আইনগত কার্যকারিতা সম্পর্কে গুরুতর সন্দেহ সৃষ্টি করে।")*</w:t>
      </w:r>
    </w:p>
    <w:p>
      <w:r>
        <w:rPr>
          <w:rFonts w:ascii="Kalpurush" w:cs="Kalpurush" w:eastAsia="Kalpurush" w:hAnsi="Kalpurush"/>
        </w:rPr>
        <w:t xml:space="preserve"/>
      </w:r>
    </w:p>
    <w:p>
      <w:r>
        <w:rPr>
          <w:rFonts w:ascii="Kalpurush" w:cs="Kalpurush" w:eastAsia="Kalpurush" w:hAnsi="Kalpurush"/>
          <w:sz w:val="20"/>
          <w:szCs w:val="20"/>
        </w:rPr>
        <w:t xml:space="preserve">*অন্ততপক্ষে, এই বৈপরীত্যের সন্তোষজনক ব্যাখ্যা না পাওয়া পর্যন্ত এক-দাগের কথিত সংশোধন তত্ত্বকে final SA record-এর বিরুদ্ধে নির্ভরযোগ্য rebuttal evidence হিসেবে গ্রহণ করা নিরাপদ নহে (Supporting Doctrine: Doctrine of Approbate and Reprobate)।"*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VII. ১৯৫৭ সালের দলিল (Deed No. 2398/1957) — সমসাময়িক দালিলিক সমর্থন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*২৩৯৮/১৯৫৭ নং রেজিস্ট্রিকৃত দলিলটি (প্রদর্শনী-২) SA জরিপকালীন সময়ের (১৯৫৬–১৯৬২) সমসাময়িক রেজিস্ট্রিকৃত দলিল। উক্ত দলিলভুক্ত ৩ নং দাগের জমি SA ২৩৮ নং খতিয়ানের অন্তর্ভুক্ত জমিরই অংশ হিসেবে রেকর্ডভুক্ত।*</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deed is corroborative of the contemporaneous documentary relationship of Abdul Ali with the very land later reflected in SA 238.'</w:t>
      </w:r>
    </w:p>
    <w:p>
      <w:pPr>
        <w:ind w:left="720"/>
      </w:pPr>
      <w:r>
        <w:rPr>
          <w:rFonts w:ascii="Kalpurush" w:cs="Kalpurush" w:eastAsia="Kalpurush" w:hAnsi="Kalpurush"/>
          <w:i/>
          <w:iCs/>
          <w:sz w:val="20"/>
          <w:szCs w:val="20"/>
        </w:rPr>
        <w:t xml:space="preserve">*(বঙ্গানুবাদ: "উক্ত দলিলটি পরবর্তীতে এসএ ২৩৮ খতিয়ানে প্রতিফলিত একই নির্দিষ্ট জমির সঙ্গে আব্দুল আলীর সমসাময়িক দালিলিক সম্পর্ককে সমর্থন করে।")*</w:t>
      </w:r>
    </w:p>
    <w:p>
      <w:r>
        <w:rPr>
          <w:rFonts w:ascii="Kalpurush" w:cs="Kalpurush" w:eastAsia="Kalpurush" w:hAnsi="Kalpurush"/>
        </w:rPr>
        <w:t xml:space="preserve"/>
      </w:r>
    </w:p>
    <w:p>
      <w:r>
        <w:rPr>
          <w:rFonts w:ascii="Kalpurush" w:cs="Kalpurush" w:eastAsia="Kalpurush" w:hAnsi="Kalpurush"/>
          <w:sz w:val="20"/>
          <w:szCs w:val="20"/>
        </w:rPr>
        <w:t xml:space="preserve">*অতএব ২৩৯৮/১৯৫৭ নং দলিলটি SA ২৩৮-এর title source নহে; বরং SA operation চলাকালীন একই নির্দিষ্ট জমির সঙ্গে আব্দুল আলীর registered documentary relationship-এর একটি contemporaneous corroborative circumstance মাত্র।*</w:t>
      </w:r>
    </w:p>
    <w:p>
      <w:r>
        <w:rPr>
          <w:rFonts w:ascii="Kalpurush" w:cs="Kalpurush" w:eastAsia="Kalpurush" w:hAnsi="Kalpurush"/>
        </w:rPr>
        <w:t xml:space="preserve"/>
      </w:r>
    </w:p>
    <w:p>
      <w:r>
        <w:rPr>
          <w:rFonts w:ascii="Kalpurush" w:cs="Kalpurush" w:eastAsia="Kalpurush" w:hAnsi="Kalpurush"/>
          <w:sz w:val="20"/>
          <w:szCs w:val="20"/>
        </w:rPr>
        <w:t xml:space="preserve">*বিজ্ঞ বিচারিক আদালত যদি প্রশ্ন করেন — 'আপনারা যদি ১৯৩৪ সালের পত্তন দাবি না করেন, তবে আব্দুল আলীর স্বত্বের ভিত্তি কী?'*</w:t>
      </w:r>
    </w:p>
    <w:p>
      <w:r>
        <w:rPr>
          <w:rFonts w:ascii="Kalpurush" w:cs="Kalpurush" w:eastAsia="Kalpurush" w:hAnsi="Kalpurush"/>
        </w:rPr>
        <w:t xml:space="preserve"/>
      </w:r>
    </w:p>
    <w:p>
      <w:r>
        <w:rPr>
          <w:rFonts w:ascii="Kalpurush" w:cs="Kalpurush" w:eastAsia="Kalpurush" w:hAnsi="Kalpurush"/>
          <w:sz w:val="20"/>
          <w:szCs w:val="20"/>
        </w:rPr>
        <w:t xml:space="preserve">*আমাদের বিনীত উত্তর:*</w:t>
      </w:r>
    </w:p>
    <w:p>
      <w:pPr>
        <w:ind w:left="720"/>
      </w:pPr>
      <w:r>
        <w:rPr>
          <w:rFonts w:ascii="Kalpurush" w:cs="Kalpurush" w:eastAsia="Kalpurush" w:hAnsi="Kalpurush"/>
          <w:b/>
          <w:bCs/>
          <w:i/>
          <w:iCs/>
          <w:sz w:val="20"/>
          <w:szCs w:val="20"/>
        </w:rPr>
        <w:t xml:space="preserve">'মহামান্য আদালত, আপীল্যান্টদের বর্তমান দাবি আব্দুল করিমের কথিত পত্তনের derivative claim নয়; অতএব বিবাদীদের competing root tenancy-কে বাদীর title-এর উৎস হিসেবে ধরে নিয়ে বাদীর উপর সেই root tenancy প্রমাণ বা খণ্ডনের অতিরিক্ত burden আরোপ করা সঠিক নয়। আমাদের প্রমাণের কেন্দ্রবিন্দু হলো রাষ্ট্রের Estate Acquisition-পরবর্তী State Recognition এবং finally published SA Record।'</w:t>
      </w:r>
      <w:r>
        <w:rPr>
          <w:rFonts w:ascii="Kalpurush" w:cs="Kalpurush" w:eastAsia="Kalpurush" w:hAnsi="Kalpurush"/>
          <w:i/>
          <w:iCs/>
          <w:sz w:val="20"/>
          <w:szCs w:val="20"/>
        </w:rPr>
        <w:t xml:space="preserv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VIII. বিবাদীপক্ষের দাবিকৃত Competing Root Tenancy-র দালিলিক দুর্বলতা ও Fallback Argument</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 যখন SA ২৩৮-এর বিপরীতে একটি competing root tenancy ও inheritance chain উত্থাপন করিতেছে, তখন সেই competing chain-এর foundational facts তাঁদেরই প্রমাণে প্রতিষ্ঠিত হইতে হবে; কেবল উক্ত chain-এর assertion দ্বারা final SA record-এর evidentiary effect নষ্ট হয় না।*</w:t>
      </w:r>
    </w:p>
    <w:p>
      <w:r>
        <w:rPr>
          <w:rFonts w:ascii="Kalpurush" w:cs="Kalpurush" w:eastAsia="Kalpurush" w:hAnsi="Kalpurush"/>
        </w:rPr>
        <w:t xml:space="preserve"/>
      </w:r>
    </w:p>
    <w:p>
      <w:r>
        <w:rPr>
          <w:rFonts w:ascii="Kalpurush" w:cs="Kalpurush" w:eastAsia="Kalpurush" w:hAnsi="Kalpurush"/>
          <w:sz w:val="20"/>
          <w:szCs w:val="20"/>
        </w:rPr>
        <w:t xml:space="preserve">*CS ২ নং খতিয়ানে পূর্বতন ব্যক্তিগত রায়তি স্বত্বের কোনো record নেই। জমিটি ঢাকা নবাব এস্টেটের খাস হিসেবে প্রতিফলিত। অতএব, বিবাদীপক্ষ যদি দাবি করে যে পরবর্তীতে ১৯৩৪ সালে আব্দুল করিম একটি স্বতন্ত্র উত্তরাধিকারযোগ্য রায়তি স্বত্ব অর্জন করেন, সেই পরিবর্তনের foundational document ও legal source তাঁদেরই প্রদর্শন করতে হবে।*</w:t>
      </w:r>
    </w:p>
    <w:p>
      <w:r>
        <w:rPr>
          <w:rFonts w:ascii="Kalpurush" w:cs="Kalpurush" w:eastAsia="Kalpurush" w:hAnsi="Kalpurush"/>
        </w:rPr>
        <w:t xml:space="preserve"/>
      </w:r>
    </w:p>
    <w:p>
      <w:r>
        <w:rPr>
          <w:rFonts w:ascii="Kalpurush" w:cs="Kalpurush" w:eastAsia="Kalpurush" w:hAnsi="Kalpurush"/>
          <w:sz w:val="20"/>
          <w:szCs w:val="20"/>
        </w:rPr>
        <w:t xml:space="preserve">*মহামান্য আপীল বিভাগের সুস্পষ্ট সিদ্ধান্ত —*</w:t>
      </w:r>
    </w:p>
    <w:p>
      <w:pPr>
        <w:ind w:left="720"/>
      </w:pPr>
      <w:r>
        <w:rPr>
          <w:rFonts w:ascii="Kalpurush" w:cs="Kalpurush" w:eastAsia="Kalpurush" w:hAnsi="Kalpurush"/>
          <w:b/>
          <w:bCs/>
          <w:i/>
          <w:iCs/>
          <w:sz w:val="20"/>
          <w:szCs w:val="20"/>
        </w:rPr>
        <w:t xml:space="preserve">Harun-al-Rashid Mollah vs. Bangladesh, 12 BLC (AD) 79:</w:t>
      </w:r>
    </w:p>
    <w:p>
      <w:pPr>
        <w:ind w:left="720"/>
      </w:pPr>
      <w:r>
        <w:rPr>
          <w:rFonts w:ascii="Kalpurush" w:cs="Kalpurush" w:eastAsia="Kalpurush" w:hAnsi="Kalpurush"/>
          <w:i/>
          <w:iCs/>
          <w:sz w:val="20"/>
          <w:szCs w:val="20"/>
        </w:rPr>
        <w:t xml:space="preserve">*"Settlement or rent receipts of Court of Wards / Dhaka Nawab Estate without the written approval of the Chief Manager are void ab initio and confer no title."*</w:t>
      </w:r>
    </w:p>
    <w:p>
      <w:pPr>
        <w:ind w:left="720"/>
      </w:pPr>
      <w:r>
        <w:rPr>
          <w:rFonts w:ascii="Kalpurush" w:cs="Kalpurush" w:eastAsia="Kalpurush" w:hAnsi="Kalpurush"/>
          <w:i/>
          <w:iCs/>
          <w:sz w:val="20"/>
          <w:szCs w:val="20"/>
        </w:rPr>
        <w:t xml:space="preserve">*(বঙ্গানুবাদ: "চিফ ম্যানেজারের লিখিত অনুমোদন ব্যতীত কোর্ট অব ওয়ার্ডস বা ঢাকা নবাব এস্টেটের কোনো বন্দোবস্ত বা খাজনা রসিদ শুরু থেকেই বাতিল এবং তা কোনো স্বত্ব প্রদান করে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Shajahan Bhuiyan vs. Md. Nurul Alam, 4 SCOB [2015] HCD 52:</w:t>
      </w:r>
    </w:p>
    <w:p>
      <w:pPr>
        <w:ind w:left="720"/>
      </w:pPr>
      <w:r>
        <w:rPr>
          <w:rFonts w:ascii="Kalpurush" w:cs="Kalpurush" w:eastAsia="Kalpurush" w:hAnsi="Kalpurush"/>
          <w:i/>
          <w:iCs/>
          <w:sz w:val="20"/>
          <w:szCs w:val="20"/>
        </w:rPr>
        <w:t xml:space="preserve">*"Irrespective of whatever title or right was acquired by virtue of the unregistered patta, it had extinguished as a result of State Acquisition under Section 86 of the SAT Act."*</w:t>
      </w:r>
    </w:p>
    <w:p>
      <w:pPr>
        <w:ind w:left="720"/>
      </w:pPr>
      <w:r>
        <w:rPr>
          <w:rFonts w:ascii="Kalpurush" w:cs="Kalpurush" w:eastAsia="Kalpurush" w:hAnsi="Kalpurush"/>
          <w:i/>
          <w:iCs/>
          <w:sz w:val="20"/>
          <w:szCs w:val="20"/>
        </w:rPr>
        <w:t xml:space="preserve">*(বঙ্গানুবাদ: "অনিবন্ধিত পাট্টার মাধ্যমে যে স্বত্ব বা অধিকারই অর্জিত হয়ে থাকুক না কেন, এস.এ.টি. আইনের ৮৬ ধারার অধীনে রাষ্ট্রীয় অধিগ্রহণের ফলে তা বিলুপ্ত হয়ে গেছে।")*</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আপীল্যান্টপক্ষের অত্যন্ত শক্তিশালী বিকল্প আইনি অবস্থান (The Layer 2 Fallback Argument):</w:t>
      </w:r>
    </w:p>
    <w:p>
      <w:pPr>
        <w:ind w:left="720"/>
      </w:pPr>
      <w:r>
        <w:rPr>
          <w:rFonts w:ascii="Kalpurush" w:cs="Kalpurush" w:eastAsia="Kalpurush" w:hAnsi="Kalpurush"/>
          <w:b/>
          <w:bCs/>
          <w:i/>
          <w:iCs/>
          <w:sz w:val="20"/>
          <w:szCs w:val="20"/>
        </w:rPr>
        <w:t xml:space="preserve">'মহামান্য আদালত, আমাদের present record-based claim আব্দুল করিমের alleged pattan থেকে derivative নয়। রাষ্ট্র Estate Acquisition-এর পর SA operation-এ আব্দুল আলীকে record করেছে। বিবাদীপক্ষই প্রথম SA ২৩৮-কে ভুল দাবি করে এবং আব্দুল করিমের competing root claim দাঁড় করায়। অতএব তাঁদের শুধু alleged root tenancy নয়, সেই root-এর ভিত্তিতে কীভাবে SA ২৩৮ displaced হলো — সেটিও প্রমাণ করতে হবে।</w:t>
      </w:r>
    </w:p>
    <w:p>
      <w:pPr>
        <w:ind w:left="720"/>
      </w:pPr>
    </w:p>
    <w:p>
      <w:pPr>
        <w:ind w:left="720"/>
      </w:pPr>
      <w:r>
        <w:rPr>
          <w:rFonts w:ascii="Kalpurush" w:cs="Kalpurush" w:eastAsia="Kalpurush" w:hAnsi="Kalpurush"/>
          <w:b/>
          <w:bCs/>
          <w:i/>
          <w:iCs/>
          <w:sz w:val="20"/>
          <w:szCs w:val="20"/>
        </w:rPr>
        <w:t xml:space="preserve">Even assuming, for argument’s sake, that Abdul Karim had some pre-SA interest, that assumption does not by itself prove that Abdul Ali’s finally published SA entry was wrong or that Sona Bhanu subsequently acquired a legally effective interest in SA 238.'</w:t>
      </w:r>
    </w:p>
    <w:p>
      <w:pPr>
        <w:ind w:left="720"/>
      </w:pPr>
    </w:p>
    <w:p>
      <w:pPr>
        <w:ind w:left="720"/>
      </w:pPr>
      <w:r>
        <w:rPr>
          <w:rFonts w:ascii="Kalpurush" w:cs="Kalpurush" w:eastAsia="Kalpurush" w:hAnsi="Kalpurush"/>
          <w:i/>
          <w:iCs/>
          <w:sz w:val="20"/>
          <w:szCs w:val="20"/>
        </w:rPr>
        <w:t xml:space="preserve">*(বঙ্গানুবাদ: "তর্কের খাতিরে যদি ধরেও নেওয়া হয় যে প্রাক-এসএ আমলে আব্দুল করিমের কোনো স্বত্ব বা অধিকার ছিল, তবুও সেই অনুমান নিজে থেকেই প্রমাণ করে না যে চূড়ান্ত প্রকাশিত এসএ ২৩৮-এ আব্দুল আলীর একক রেকর্ড ভুল ছিল কিংবা পরবর্তীতে সোনাভানু এসএ ২৩৮-এ আইনত কার্যকর কোনো অংশ বা স্বত্ব অর্জন করেছিলেন।")*"*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IX. নজিরের সঠিক প্রয়োগ ও বাটোয়ারার আইনি কাঠামো (Precedent Analysis)</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৯.১ Bilquis Jahan (75 DLR 383)-এর অপপ্রয়োগ খণ্ডন:</w:t>
      </w:r>
    </w:p>
    <w:p>
      <w:r>
        <w:rPr>
          <w:rFonts w:ascii="Kalpurush" w:cs="Kalpurush" w:eastAsia="Kalpurush" w:hAnsi="Kalpurush"/>
          <w:sz w:val="20"/>
          <w:szCs w:val="20"/>
        </w:rPr>
        <w:t xml:space="preserve">*বিজ্ঞ ট্রায়াল কোর্ট Bilquis Jahan মামলার সাধারণ burden principle-কে এমনভাবে প্রয়োগ করিয়াছেন যেন বাদীপক্ষের উপর বিবাদীদের প্রতিটি 'অপ্রমাণিত পাল্টা দাবি' (unproved counter-assertion) খণ্ডন করার দায় বর্তায়। বাদীপক্ষ final certified SA record দাখিল করিয়াছে, যাহার পর বিবাদীদের unproved doubt-এর কারণে মামলা খারিজ হইতে পারে না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Nuruddin Ahmed vs. Md. Jaman, 45 DLR (AD) 124:</w:t>
      </w:r>
    </w:p>
    <w:p>
      <w:pPr>
        <w:ind w:left="720"/>
      </w:pPr>
      <w:r>
        <w:rPr>
          <w:rFonts w:ascii="Kalpurush" w:cs="Kalpurush" w:eastAsia="Kalpurush" w:hAnsi="Kalpurush"/>
          <w:i/>
          <w:iCs/>
          <w:sz w:val="20"/>
          <w:szCs w:val="20"/>
        </w:rPr>
        <w:t xml:space="preserve">*"A trial court errs in law when it requires the plaintiff to disprove every counter-assertion instead of holding the challenger to their onus."*</w:t>
      </w:r>
    </w:p>
    <w:p>
      <w:pPr>
        <w:ind w:left="720"/>
      </w:pPr>
      <w:r>
        <w:rPr>
          <w:rFonts w:ascii="Kalpurush" w:cs="Kalpurush" w:eastAsia="Kalpurush" w:hAnsi="Kalpurush"/>
          <w:i/>
          <w:iCs/>
          <w:sz w:val="20"/>
          <w:szCs w:val="20"/>
        </w:rPr>
        <w:t xml:space="preserve">*(বঙ্গানুবাদ: "চ্যালেঞ্জকারীকে তার প্রমাণের দায়িত্বে আবদ্ধ না রেখে বাদীর ওপর প্রতিটি বিপরীত দাবি মিথ্যা প্রমাণের বোঝা চাপানো আইনে মারাত্মক ভুল।")*</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৯.২ Chinmoy Chowdhury (23 BLD AD 83) ও Incidental Title:</w:t>
      </w:r>
    </w:p>
    <w:p>
      <w:r>
        <w:rPr>
          <w:rFonts w:ascii="Kalpurush" w:cs="Kalpurush" w:eastAsia="Kalpurush" w:hAnsi="Kalpurush"/>
          <w:sz w:val="20"/>
          <w:szCs w:val="20"/>
        </w:rPr>
        <w:t xml:space="preserve">*আপিল বিভাগের নজির অনুযায়ী, বাটোয়ারা মামলার কাঠামোর মধ্যে incidental title questions adjudicate করা যায়; অতএব title dispute-এর অস্তিত্ব নিজে থেকে partition suit-কে অকার্যকর বা অচল করে না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Chinmoy Chowdhury vs. Shanti Rani Chowdhury, 23 BLD (AD) 83:</w:t>
      </w:r>
    </w:p>
    <w:p>
      <w:pPr>
        <w:ind w:left="720"/>
      </w:pPr>
      <w:r>
        <w:rPr>
          <w:rFonts w:ascii="Kalpurush" w:cs="Kalpurush" w:eastAsia="Kalpurush" w:hAnsi="Kalpurush"/>
          <w:i/>
          <w:iCs/>
          <w:sz w:val="20"/>
          <w:szCs w:val="20"/>
        </w:rPr>
        <w:t xml:space="preserve">*"In a suit for partition, the court is competent to decide incidental questions of title raised by the parties in order to determine the shares and grant complete relief."*</w:t>
      </w:r>
    </w:p>
    <w:p>
      <w:pPr>
        <w:ind w:left="720"/>
      </w:pPr>
      <w:r>
        <w:rPr>
          <w:rFonts w:ascii="Kalpurush" w:cs="Kalpurush" w:eastAsia="Kalpurush" w:hAnsi="Kalpurush"/>
          <w:i/>
          <w:iCs/>
          <w:sz w:val="20"/>
          <w:szCs w:val="20"/>
        </w:rPr>
        <w:t xml:space="preserve">*(বঙ্গানুবাদ: "বাটোয়ারা মামলায় পক্ষগণের অংশ নির্ধারণ ও পূর্ণাঙ্গ প্রতিকার প্রদানের লক্ষ্যে আদালত আনুষঙ্গিক স্বত্বের প্রশ্ন নিষ্পত্তি করার সম্পূর্ণ এখতিয়ার রাখেন।")*"*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 সহায়ক পরিস্থিতিগত প্রমাণ ও গাণিতিক অসম্ভবতা (Internal Consistency Check)</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১০.১ সোনাভানুর অন্য ওয়ারিশদের বাদ পড়া (Selective Entry):</w:t>
      </w:r>
    </w:p>
    <w:p>
      <w:r>
        <w:rPr>
          <w:rFonts w:ascii="Kalpurush" w:cs="Kalpurush" w:eastAsia="Kalpurush" w:hAnsi="Kalpurush"/>
          <w:sz w:val="20"/>
          <w:szCs w:val="20"/>
        </w:rPr>
        <w:t xml:space="preserve">*যদি কথিত সংশোধনটি প্রকৃতপক্ষে উত্তরাধিকার নির্ধারণকারী বিচারিক আদেশের ফল হয়, তবে বিবাদীপক্ষকে ব্যাখ্যা করিতে হইবে কেন তাঁদের নিজেদের উত্তরাধিকার-তত্ত্ব অনুযায়ী দাবিকৃত অন্যান্য উত্তরাধিকারীদের (বেলুয়া ও কমলা) নাম একই সংশোধনে প্রতিফলিত হয়নি।*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১০.২ গাণিতিক অসামঞ্জস্য (Arithmetical Impossibility):</w:t>
      </w:r>
    </w:p>
    <w:p>
      <w:pPr>
        <w:pStyle w:val="ListParagraph"/>
        <w:numPr>
          <w:ilvl w:val="0"/>
          <w:numId w:val="1"/>
        </w:numPr>
      </w:pPr>
      <w:r>
        <w:rPr>
          <w:rFonts w:ascii="Kalpurush" w:cs="Kalpurush" w:eastAsia="Kalpurush" w:hAnsi="Kalpurush"/>
          <w:sz w:val="20"/>
          <w:szCs w:val="20"/>
        </w:rPr>
        <w:t xml:space="preserve">*১২৫৯ দাগের মোট আয়তন:* ৪৭৭ শতাংশ।</w:t>
      </w:r>
    </w:p>
    <w:p>
      <w:pPr>
        <w:pStyle w:val="ListParagraph"/>
        <w:numPr>
          <w:ilvl w:val="0"/>
          <w:numId w:val="1"/>
        </w:numPr>
      </w:pPr>
      <w:r>
        <w:rPr>
          <w:rFonts w:ascii="Kalpurush" w:cs="Kalpurush" w:eastAsia="Kalpurush" w:hAnsi="Kalpurush"/>
          <w:sz w:val="20"/>
          <w:szCs w:val="20"/>
        </w:rPr>
        <w:t xml:space="preserve">*বাদীপক্ষের হিসাব:* ৩৪০ শতাংশ নালিশী + সরকারি খাস ১৩৭ শতাংশ = ৪৭৭ শতাংশ (সম্পূর্ণ দাগের পরিমাপের সাথে নিখুঁত মিল)।</w:t>
      </w:r>
    </w:p>
    <w:p>
      <w:pPr>
        <w:pStyle w:val="ListParagraph"/>
        <w:numPr>
          <w:ilvl w:val="0"/>
          <w:numId w:val="1"/>
        </w:numPr>
      </w:pPr>
      <w:r>
        <w:rPr>
          <w:rFonts w:ascii="Kalpurush" w:cs="Kalpurush" w:eastAsia="Kalpurush" w:hAnsi="Kalpurush"/>
          <w:sz w:val="20"/>
          <w:szCs w:val="20"/>
        </w:rPr>
        <w:t xml:space="preserve">*বিবাদীপক্ষের হিসাব:* ৩৪৯ শতাংশ + সরকারি খাস ১৩৭ শতাংশ = ৪৮৬ শতাংশ (দাগের মোট আয়তনের চেয়ে ৯ শতাংশ বেশি — গাণিতিক অসম্ভবতা)।</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'This is not our principal title argument; it is an internal consistency check on the respondents’ own acreage narrative.'</w:t>
      </w:r>
    </w:p>
    <w:p>
      <w:pPr>
        <w:ind w:left="720"/>
      </w:pPr>
      <w:r>
        <w:rPr>
          <w:rFonts w:ascii="Kalpurush" w:cs="Kalpurush" w:eastAsia="Kalpurush" w:hAnsi="Kalpurush"/>
          <w:i/>
          <w:iCs/>
          <w:sz w:val="20"/>
          <w:szCs w:val="20"/>
        </w:rPr>
        <w:t xml:space="preserve">*(বঙ্গানুবাদ: "ইহা আমাদের প্রধান স্বত্বের যুক্তি নহে; বরং ইহা বিবাদীপক্ষের নিজস্ব জমির পরিমাণের বর্ণনার একটি অভ্যন্তরীণ অসামঞ্জস্যের প্রতিফলন।")*"*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 Hotchpot, পক্ষদোষ ও ১নং রেসপন্ডেন্টের সোলেনামা</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*১. একই দাগ নম্বরের মধ্যে সরকারি খাস জমি পৃথক খতিয়ানে এবং SA ২৩৮-এর জমি পৃথক রেকর্ডীয় পরিচয়ে বিদ্যমান। অতএব শুধু dag number-এর identity দ্বারা উভয় অংশকে একই proprietary pool-এর অংশ হিসেবে গণ্য করা যায় না। The alleged Government land is neither claimed by the plaintiffs nor sought to be partitioned. পৃথক খতিয়ানের জমি বাদ দিলে আংশিক বাটোয়ারার কোনো দোষ ঘটে না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Shahjahan Akon vs. Murshida Khanam, 27 BLD (HD) 229:</w:t>
      </w:r>
    </w:p>
    <w:p>
      <w:pPr>
        <w:ind w:left="720"/>
      </w:pPr>
      <w:r>
        <w:rPr>
          <w:rFonts w:ascii="Kalpurush" w:cs="Kalpurush" w:eastAsia="Kalpurush" w:hAnsi="Kalpurush"/>
          <w:i/>
          <w:iCs/>
          <w:sz w:val="20"/>
          <w:szCs w:val="20"/>
        </w:rPr>
        <w:t xml:space="preserve">*"Separate khatians create separate tenancies; no hotchpot defect arises from leaving out adjacent government plots or land under different tenancies."*</w:t>
      </w:r>
    </w:p>
    <w:p>
      <w:pPr>
        <w:ind w:left="720"/>
      </w:pPr>
      <w:r>
        <w:rPr>
          <w:rFonts w:ascii="Kalpurush" w:cs="Kalpurush" w:eastAsia="Kalpurush" w:hAnsi="Kalpurush"/>
          <w:i/>
          <w:iCs/>
          <w:sz w:val="20"/>
          <w:szCs w:val="20"/>
        </w:rPr>
        <w:t xml:space="preserve">*(বঙ্গানুবাদ: "পৃথক খতিয়ান পৃথক প্রজাস্বত্ব সৃষ্টি করে; সংলগ্ন সরকারি জমি বা ভিন্ন খতিয়ানের জমি বাদ দিলে আংশিক বাটোয়ারার কোনো দোষ সৃষ্টি হয় না।")*</w:t>
      </w:r>
    </w:p>
    <w:p>
      <w:r>
        <w:rPr>
          <w:rFonts w:ascii="Kalpurush" w:cs="Kalpurush" w:eastAsia="Kalpurush" w:hAnsi="Kalpurush"/>
        </w:rPr>
        <w:t xml:space="preserve"/>
      </w:r>
    </w:p>
    <w:p>
      <w:r>
        <w:rPr>
          <w:rFonts w:ascii="Kalpurush" w:cs="Kalpurush" w:eastAsia="Kalpurush" w:hAnsi="Kalpurush"/>
          <w:sz w:val="20"/>
          <w:szCs w:val="20"/>
        </w:rPr>
        <w:t xml:space="preserve">*২. প্রাইভেট কো-শেয়ারারদের মধ্যে বাটোয়ারা মামলায় সরকার আবশ্যকীয় পক্ষ নহে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Safaruddin vs. Fazlul Huq, 49 DLR (AD) 15:</w:t>
      </w:r>
    </w:p>
    <w:p>
      <w:pPr>
        <w:ind w:left="720"/>
      </w:pPr>
      <w:r>
        <w:rPr>
          <w:rFonts w:ascii="Kalpurush" w:cs="Kalpurush" w:eastAsia="Kalpurush" w:hAnsi="Kalpurush"/>
          <w:i/>
          <w:iCs/>
          <w:sz w:val="20"/>
          <w:szCs w:val="20"/>
        </w:rPr>
        <w:t xml:space="preserve">*"The Government is not a necessary party in a private partition suit between co-sharers where no relief is sought against the State."*</w:t>
      </w:r>
    </w:p>
    <w:p>
      <w:pPr>
        <w:ind w:left="720"/>
      </w:pPr>
      <w:r>
        <w:rPr>
          <w:rFonts w:ascii="Kalpurush" w:cs="Kalpurush" w:eastAsia="Kalpurush" w:hAnsi="Kalpurush"/>
          <w:i/>
          <w:iCs/>
          <w:sz w:val="20"/>
          <w:szCs w:val="20"/>
        </w:rPr>
        <w:t xml:space="preserve">*(বঙ্গানুবাদ: "সহ-অংশীদারদের মধ্যে ব্যক্তিগত বাটোয়ারা মামলায় সরকার আবশ্যকীয় পক্ষ নয়, যেখানে রাষ্ট্রের বিরুদ্ধে কোনো প্রতিকার চাওয়া হয়নি।")*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Syed Nurul Huda vs. Govt. of Bangladesh, 8 SCOB (2016) HCD 1:</w:t>
      </w:r>
    </w:p>
    <w:p>
      <w:pPr>
        <w:ind w:left="720"/>
      </w:pPr>
      <w:r>
        <w:rPr>
          <w:rFonts w:ascii="Kalpurush" w:cs="Kalpurush" w:eastAsia="Kalpurush" w:hAnsi="Kalpurush"/>
          <w:i/>
          <w:iCs/>
          <w:sz w:val="20"/>
          <w:szCs w:val="20"/>
        </w:rPr>
        <w:t xml:space="preserve">*"A suit for partition cannot fail merely for non-joinder of parties unless the party omitted is a necessary party."*</w:t>
      </w:r>
    </w:p>
    <w:p>
      <w:pPr>
        <w:ind w:left="720"/>
      </w:pPr>
      <w:r>
        <w:rPr>
          <w:rFonts w:ascii="Kalpurush" w:cs="Kalpurush" w:eastAsia="Kalpurush" w:hAnsi="Kalpurush"/>
          <w:i/>
          <w:iCs/>
          <w:sz w:val="20"/>
          <w:szCs w:val="20"/>
        </w:rPr>
        <w:t xml:space="preserve">*(বঙ্গানুবাদ: "বাদ পড়া পক্ষ আবশ্যকীয় পক্ষ না হলে কেবল পক্ষদোষের কারণে বাটোয়ারা মামলা খারিজ হতে পারে না।")*</w:t>
      </w:r>
    </w:p>
    <w:p>
      <w:r>
        <w:rPr>
          <w:rFonts w:ascii="Kalpurush" w:cs="Kalpurush" w:eastAsia="Kalpurush" w:hAnsi="Kalpurush"/>
        </w:rPr>
        <w:t xml:space="preserve"/>
      </w:r>
    </w:p>
    <w:p>
      <w:r>
        <w:rPr>
          <w:rFonts w:ascii="Kalpurush" w:cs="Kalpurush" w:eastAsia="Kalpurush" w:hAnsi="Kalpurush"/>
          <w:sz w:val="20"/>
          <w:szCs w:val="20"/>
        </w:rPr>
        <w:t xml:space="preserve">*৩. ১ নং রেসপন্ডেন্ট সোলায়মান হোসেনের অবস্থান:*</w:t>
      </w:r>
    </w:p>
    <w:p>
      <w:pPr>
        <w:ind w:left="720"/>
      </w:pPr>
      <w:r>
        <w:rPr>
          <w:rFonts w:ascii="Kalpurush" w:cs="Kalpurush" w:eastAsia="Kalpurush" w:hAnsi="Kalpurush"/>
          <w:b/>
          <w:bCs/>
          <w:i/>
          <w:iCs/>
          <w:sz w:val="20"/>
          <w:szCs w:val="20"/>
        </w:rPr>
        <w:t xml:space="preserve">'এখানে contesting defendants-এর একাংশের বিরোধ এবং Abdul Ali-এর বৈধ উত্তরাধিকারীদের অবস্থান এক নয়। ১ নং respondent Solaiman Hossain — Abdul Ali-এর উত্তরাধিকারী — বাটোয়ারায় সম্মতি দিয়েছেন (CPC Order XXIII Rule 3)। ফলে আদালতের সামনে প্রকৃত contest মূলত alleged competing title-claimants-এর।'</w:t>
      </w:r>
      <w:r>
        <w:rPr>
          <w:rFonts w:ascii="Kalpurush" w:cs="Kalpurush" w:eastAsia="Kalpurush" w:hAnsi="Kalpurush"/>
          <w:i/>
          <w:iCs/>
          <w:sz w:val="20"/>
          <w:szCs w:val="20"/>
        </w:rPr>
        <w:t xml:space="preserv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XII. ট্রায়াল কোর্টের সিদ্ধান্ত বনাম আপীল ভুলের তুলনামূলক ছক (Finding vs. Error Matrix)</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ট্রায়াল কোর্টের সিদ্ধান্ত ও আপীল ভুলসমূহকে নিম্নের তুলনামূলক ছকে স্পষ্টভাবে তুলে ধরা হলো:*</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ট্রায়াল কোর্টের সিদ্ধান্ত বনাম আপীল ভুলের তুলনামূলক ছক (Finding vs. Error Matrix):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Trial Court finding (বিচারিক আদালতের সিদ্ধান্ত)</w:t>
            </w:r>
          </w:p>
        </w:tc>
        <w:tc>
          <w:p>
            <w:r>
              <w:rPr>
                <w:rFonts w:ascii="Kalpurush" w:cs="Kalpurush" w:eastAsia="Kalpurush" w:hAnsi="Kalpurush"/>
                <w:sz w:val="20"/>
                <w:szCs w:val="20"/>
              </w:rPr>
              <w:t xml:space="preserve">Appellate error (আপীল আদালতের দৃষ্টিতে ভুল)</w:t>
            </w:r>
          </w:p>
        </w:tc>
      </w:tr>
      <w:tr>
        <w:tc>
          <w:p>
            <w:r>
              <w:rPr>
                <w:rFonts w:ascii="Kalpurush" w:cs="Kalpurush" w:eastAsia="Kalpurush" w:hAnsi="Kalpurush"/>
                <w:sz w:val="20"/>
                <w:szCs w:val="20"/>
              </w:rPr>
              <w:t xml:space="preserve">১. আব্দুল করিম মূল রায়ত ছিলেন</w:t>
            </w:r>
          </w:p>
        </w:tc>
        <w:tc>
          <w:p>
            <w:r>
              <w:rPr>
                <w:rFonts w:ascii="Kalpurush" w:cs="Kalpurush" w:eastAsia="Kalpurush" w:hAnsi="Kalpurush"/>
                <w:b/>
                <w:bCs/>
                <w:sz w:val="20"/>
                <w:szCs w:val="20"/>
              </w:rPr>
              <w:t xml:space="preserve">Foundation presumed, proved নয়</w:t>
            </w:r>
            <w:r>
              <w:rPr>
                <w:rFonts w:ascii="Kalpurush" w:cs="Kalpurush" w:eastAsia="Kalpurush" w:hAnsi="Kalpurush"/>
                <w:sz w:val="20"/>
                <w:szCs w:val="20"/>
              </w:rPr>
              <w:t xml:space="preserve"> (পাট্টা/কবুলিয়ত বা প্রাথমিক দলিলের অনুপস্থিতি)</w:t>
            </w:r>
          </w:p>
        </w:tc>
      </w:tr>
      <w:tr>
        <w:tc>
          <w:p>
            <w:r>
              <w:rPr>
                <w:rFonts w:ascii="Kalpurush" w:cs="Kalpurush" w:eastAsia="Kalpurush" w:hAnsi="Kalpurush"/>
                <w:sz w:val="20"/>
                <w:szCs w:val="20"/>
              </w:rPr>
              <w:t xml:space="preserve">২. SA ২৩৮ খতিয়ান ভুল</w:t>
            </w:r>
          </w:p>
        </w:tc>
        <w:tc>
          <w:p>
            <w:r>
              <w:rPr>
                <w:rFonts w:ascii="Kalpurush" w:cs="Kalpurush" w:eastAsia="Kalpurush" w:hAnsi="Kalpurush"/>
                <w:b/>
                <w:bCs/>
                <w:sz w:val="20"/>
                <w:szCs w:val="20"/>
              </w:rPr>
              <w:t xml:space="preserve">Rebutting evidence inadequate</w:t>
            </w:r>
            <w:r>
              <w:rPr>
                <w:rFonts w:ascii="Kalpurush" w:cs="Kalpurush" w:eastAsia="Kalpurush" w:hAnsi="Kalpurush"/>
                <w:sz w:val="20"/>
                <w:szCs w:val="20"/>
              </w:rPr>
              <w:t xml:space="preserve"> (Section 144A-এর সংবিধিবদ্ধ অনুমান অপর্যাপ্ত সাক্ষ্যে খারিজ)</w:t>
            </w:r>
          </w:p>
        </w:tc>
      </w:tr>
      <w:tr>
        <w:tc>
          <w:p>
            <w:r>
              <w:rPr>
                <w:rFonts w:ascii="Kalpurush" w:cs="Kalpurush" w:eastAsia="Kalpurush" w:hAnsi="Kalpurush"/>
                <w:sz w:val="20"/>
                <w:szCs w:val="20"/>
              </w:rPr>
              <w:t xml:space="preserve">৩. ১৯৬৯ সালের সংশোধন গৃহীত</w:t>
            </w:r>
          </w:p>
        </w:tc>
        <w:tc>
          <w:p>
            <w:r>
              <w:rPr>
                <w:rFonts w:ascii="Kalpurush" w:cs="Kalpurush" w:eastAsia="Kalpurush" w:hAnsi="Kalpurush"/>
                <w:b/>
                <w:bCs/>
                <w:sz w:val="20"/>
                <w:szCs w:val="20"/>
              </w:rPr>
              <w:t xml:space="preserve">Parent order / source unproved</w:t>
            </w:r>
            <w:r>
              <w:rPr>
                <w:rFonts w:ascii="Kalpurush" w:cs="Kalpurush" w:eastAsia="Kalpurush" w:hAnsi="Kalpurush"/>
                <w:sz w:val="20"/>
                <w:szCs w:val="20"/>
              </w:rPr>
              <w:t xml:space="preserve"> (মূল আদেশনামা বা আইনি উৎস অপ্রমাণিত)</w:t>
            </w:r>
          </w:p>
        </w:tc>
      </w:tr>
      <w:tr>
        <w:tc>
          <w:p>
            <w:r>
              <w:rPr>
                <w:rFonts w:ascii="Kalpurush" w:cs="Kalpurush" w:eastAsia="Kalpurush" w:hAnsi="Kalpurush"/>
                <w:sz w:val="20"/>
                <w:szCs w:val="20"/>
              </w:rPr>
              <w:t xml:space="preserve">৪. AC Land ভলিউম এন্ট্রিকে প্রাধান্য</w:t>
            </w:r>
          </w:p>
        </w:tc>
        <w:tc>
          <w:p>
            <w:r>
              <w:rPr>
                <w:rFonts w:ascii="Kalpurush" w:cs="Kalpurush" w:eastAsia="Kalpurush" w:hAnsi="Kalpurush"/>
                <w:b/>
                <w:bCs/>
                <w:sz w:val="20"/>
                <w:szCs w:val="20"/>
              </w:rPr>
              <w:t xml:space="preserve">The Trial Court did not sufficiently identify the legal source, provenance, jurisdictional basis and implementation trail of the AC Land entry before relying upon it to displace the finally published SA record.</w:t>
            </w:r>
            <w:r>
              <w:rPr>
                <w:rFonts w:ascii="Kalpurush" w:cs="Kalpurush" w:eastAsia="Kalpurush" w:hAnsi="Kalpurush"/>
                <w:sz w:val="20"/>
                <w:szCs w:val="20"/>
              </w:rPr>
              <w:t xml:space="preserve">&lt;br&gt;*(আইনগত উৎস, এখতিয়ার ও বাস্তবায়ন-ধারাবাহিকতা নির্ধারণ না করিয়াই ভলিউম নোটকে চূড়ান্ত রেকর্ডের উপরে স্থান দেওয়া)*</w:t>
            </w:r>
          </w:p>
        </w:tc>
      </w:tr>
      <w:tr>
        <w:tc>
          <w:p>
            <w:r>
              <w:rPr>
                <w:rFonts w:ascii="Kalpurush" w:cs="Kalpurush" w:eastAsia="Kalpurush" w:hAnsi="Kalpurush"/>
                <w:sz w:val="20"/>
                <w:szCs w:val="20"/>
              </w:rPr>
              <w:t xml:space="preserve">৫. ১৯৭৫ সালের দলিলের বৈপরীত্য উপেক্ষিত</w:t>
            </w:r>
          </w:p>
        </w:tc>
        <w:tc>
          <w:p>
            <w:r>
              <w:rPr>
                <w:rFonts w:ascii="Kalpurush" w:cs="Kalpurush" w:eastAsia="Kalpurush" w:hAnsi="Kalpurush"/>
                <w:b/>
                <w:bCs/>
                <w:sz w:val="20"/>
                <w:szCs w:val="20"/>
              </w:rPr>
              <w:t xml:space="preserve">Material documentary evidence not properly considered</w:t>
            </w:r>
            <w:r>
              <w:rPr>
                <w:rFonts w:ascii="Kalpurush" w:cs="Kalpurush" w:eastAsia="Kalpurush" w:hAnsi="Kalpurush"/>
                <w:sz w:val="20"/>
                <w:szCs w:val="20"/>
              </w:rPr>
              <w:t xml:space="preserve"> (দলিলের ৬ দাগ বনাম ১ দাগের স্ববিরোধিতা এড়ানো)</w:t>
            </w:r>
          </w:p>
        </w:tc>
      </w:tr>
      <w:tr>
        <w:tc>
          <w:p>
            <w:r>
              <w:rPr>
                <w:rFonts w:ascii="Kalpurush" w:cs="Kalpurush" w:eastAsia="Kalpurush" w:hAnsi="Kalpurush"/>
                <w:sz w:val="20"/>
                <w:szCs w:val="20"/>
              </w:rPr>
              <w:t xml:space="preserve">৬. Hotchpot / Non-joinder-এ খারিজ</w:t>
            </w:r>
          </w:p>
        </w:tc>
        <w:tc>
          <w:p>
            <w:r>
              <w:rPr>
                <w:rFonts w:ascii="Kalpurush" w:cs="Kalpurush" w:eastAsia="Kalpurush" w:hAnsi="Kalpurush"/>
                <w:b/>
                <w:bCs/>
                <w:sz w:val="20"/>
                <w:szCs w:val="20"/>
              </w:rPr>
              <w:t xml:space="preserve">Technical objection treated as fatal despite separate khatian/interest</w:t>
            </w:r>
            <w:r>
              <w:rPr>
                <w:rFonts w:ascii="Kalpurush" w:cs="Kalpurush" w:eastAsia="Kalpurush" w:hAnsi="Kalpurush"/>
                <w:sz w:val="20"/>
                <w:szCs w:val="20"/>
              </w:rPr>
              <w:t xml:space="preserve"> (পৃথক খতিয়ান সত্ত্বেও পদ্ধতিগত অজুহাত)</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XIII. সমাপনী মৌখিক নিবেদন ও প্রার্থিত প্রতিকার (Closing Prayer)</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বিবাদীদের দাবিকৃত 'সংশোধন' প্রমাণিত হয়নি, তাহাদের ভলিউম এন্ট্রির জন্য ১৪৪A-এর presumption দাবি করা যায় না, এবং তাহাদের নিজেদের দলিল তাহাদের গল্পকেই প্রশ্নবিদ্ধ করিতেছে:*</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"My Lord, the respondents may have a theory; but a theory is not rebuttal evidence."</w:t>
      </w:r>
    </w:p>
    <w:p>
      <w:pPr>
        <w:ind w:left="720"/>
      </w:pPr>
      <w:r>
        <w:rPr>
          <w:rFonts w:ascii="Kalpurush" w:cs="Kalpurush" w:eastAsia="Kalpurush" w:hAnsi="Kalpurush"/>
          <w:i/>
          <w:iCs/>
          <w:sz w:val="20"/>
          <w:szCs w:val="20"/>
        </w:rPr>
        <w:t xml:space="preserve">*(বঙ্গানুবাদ: "মহামান্য আদালত, বিবাদীপক্ষের একটি মৌখিক তত্ত্ব থাকিতে পারে; কিন্তু কোনো তত্ত্ব কখনো সংবিধিবদ্ধ রেকর্ডের বিরুদ্ধে নির্ভরযোগ্য খণ্ডনকারী সাক্ষ্য হইতে পারে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"We do not ask the Court to hold that a finally published SA record can never be wrong. We ask the Court to require the party challenging that record to prove how, when and by what lawful instrument it was displaced."</w:t>
      </w:r>
    </w:p>
    <w:p>
      <w:pPr>
        <w:ind w:left="720"/>
      </w:pPr>
      <w:r>
        <w:rPr>
          <w:rFonts w:ascii="Kalpurush" w:cs="Kalpurush" w:eastAsia="Kalpurush" w:hAnsi="Kalpurush"/>
          <w:i/>
          <w:iCs/>
          <w:sz w:val="20"/>
          <w:szCs w:val="20"/>
        </w:rPr>
        <w:t xml:space="preserve">*(বঙ্গানুবাদ: "আমরা আদালতকে চূড়ান্তভাবে প্রকাশিত এসএ রেকর্ড কখনো ভুল হতে পারে না—এমন সিদ্ধান্ত দিতে বলছি না। আমরা আদালতকে বিনীতভাবে বলছি যে পক্ষ ওই রেকর্ডকে চ্যালেঞ্জ করছে, তাদের কাছে প্রমাণ চাইতে যে কীভাবে, কখন এবং কোন বৈধ দলিলের মাধ্যমে সেই রেকর্ড অপসারিত হয়েছিল।")*</w:t>
      </w:r>
    </w:p>
    <w:p>
      <w:r>
        <w:rPr>
          <w:rFonts w:ascii="Kalpurush" w:cs="Kalpurush" w:eastAsia="Kalpurush" w:hAnsi="Kalpurush"/>
        </w:rPr>
        <w:t xml:space="preserve"/>
      </w:r>
    </w:p>
    <w:p>
      <w:r>
        <w:rPr>
          <w:rFonts w:ascii="Kalpurush" w:cs="Kalpurush" w:eastAsia="Kalpurush" w:hAnsi="Kalpurush"/>
          <w:sz w:val="20"/>
          <w:szCs w:val="20"/>
        </w:rPr>
        <w:t xml:space="preserve">*বিবাদীপক্ষ সেই প্রমাণ দিতে সম্পূর্ণ ব্যর্থ হইয়াছে। অতএব বিজ্ঞ বিচারিক আদালতের ০৫-০৪-২০২৬ তারিখের খারিজ রায় আইনত টিকিয়া থাকিতে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প্রার্থিত প্রতিকার (Reliefs Sought)</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আদালতের নিকট বিনীত প্রার্থনা:*</w:t>
      </w:r>
    </w:p>
    <w:p>
      <w:r>
        <w:rPr>
          <w:rFonts w:ascii="Kalpurush" w:cs="Kalpurush" w:eastAsia="Kalpurush" w:hAnsi="Kalpurush"/>
        </w:rPr>
        <w:t xml:space="preserve"/>
      </w:r>
    </w:p>
    <w:p>
      <w:r>
        <w:rPr>
          <w:rFonts w:ascii="Kalpurush" w:cs="Kalpurush" w:eastAsia="Kalpurush" w:hAnsi="Kalpurush"/>
          <w:b/>
          <w:bCs/>
          <w:sz w:val="20"/>
          <w:szCs w:val="20"/>
        </w:rPr>
        <w:t xml:space="preserve">(ক)</w:t>
      </w:r>
      <w:r>
        <w:rPr>
          <w:rFonts w:ascii="Kalpurush" w:cs="Kalpurush" w:eastAsia="Kalpurush" w:hAnsi="Kalpurush"/>
          <w:sz w:val="20"/>
          <w:szCs w:val="20"/>
        </w:rPr>
        <w:t xml:space="preserve"> রেকর্ডে বিদ্যমান প্রমাণ পুনর্মূল্যায়ন করিয়া সখিপুর সিভিল জজ আদালতের ০৫/০৪/২০২৬ তারিখের Judgment এবং ০৯/০৪/২০২৬ তারিখের Decree বাতিল ও রহিত (set aside)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(খ)</w:t>
      </w:r>
      <w:r>
        <w:rPr>
          <w:rFonts w:ascii="Kalpurush" w:cs="Kalpurush" w:eastAsia="Kalpurush" w:hAnsi="Kalpurush"/>
          <w:sz w:val="20"/>
          <w:szCs w:val="20"/>
        </w:rPr>
        <w:t xml:space="preserve"> বর্তমানে বহাল ও কার্যকর SA ২৩৮ নং খতিয়ান এবং ১ নং রেসপন্ডেন্টের সোলেনামার ভিত্তিতে আপীল্যান্ট বাদীপক্ষের অনুকূলে বাটোয়ারার </w:t>
      </w:r>
      <w:r>
        <w:rPr>
          <w:rFonts w:ascii="Kalpurush" w:cs="Kalpurush" w:eastAsia="Kalpurush" w:hAnsi="Kalpurush"/>
          <w:b/>
          <w:bCs/>
          <w:sz w:val="20"/>
          <w:szCs w:val="20"/>
        </w:rPr>
        <w:t xml:space="preserve">প্রাথমিক ডিক্রি (Preliminary Decree)</w:t>
      </w:r>
      <w:r>
        <w:rPr>
          <w:rFonts w:ascii="Kalpurush" w:cs="Kalpurush" w:eastAsia="Kalpurush" w:hAnsi="Kalpurush"/>
          <w:sz w:val="20"/>
          <w:szCs w:val="20"/>
        </w:rPr>
        <w:t xml:space="preserve"> প্রদান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(গ) বিকল্পে (In the alternative):</w:t>
      </w:r>
      <w:r>
        <w:rPr>
          <w:rFonts w:ascii="Kalpurush" w:cs="Kalpurush" w:eastAsia="Kalpurush" w:hAnsi="Kalpurush"/>
          <w:sz w:val="20"/>
          <w:szCs w:val="20"/>
        </w:rPr>
        <w:t xml:space="preserve"> CPC Order XLI Rule 23/23A অনুযায়ী মামলাটি বিচারিক আদালতে রিমান্ড (Remand) করিয়া বাদীপক্ষকে আরজি সংশোধন (Order VI Rule 17) ও আবশ্যকীয় পক্ষ সংযোজনের (Order I Rule 10(2)) সুযোগ প্রদানপূর্বক merits-এ চূড়ান্ত রায় প্রদানের নির্দেশ দেওয়া হউক; এবং</w:t>
      </w:r>
    </w:p>
    <w:p>
      <w:r>
        <w:rPr>
          <w:rFonts w:ascii="Kalpurush" w:cs="Kalpurush" w:eastAsia="Kalpurush" w:hAnsi="Kalpurush"/>
        </w:rPr>
        <w:t xml:space="preserve"/>
      </w:r>
    </w:p>
    <w:p>
      <w:r>
        <w:rPr>
          <w:rFonts w:ascii="Kalpurush" w:cs="Kalpurush" w:eastAsia="Kalpurush" w:hAnsi="Kalpurush"/>
          <w:b/>
          <w:bCs/>
          <w:sz w:val="20"/>
          <w:szCs w:val="20"/>
        </w:rPr>
        <w:t xml:space="preserve">(ঘ)</w:t>
      </w:r>
      <w:r>
        <w:rPr>
          <w:rFonts w:ascii="Kalpurush" w:cs="Kalpurush" w:eastAsia="Kalpurush" w:hAnsi="Kalpurush"/>
          <w:sz w:val="20"/>
          <w:szCs w:val="20"/>
        </w:rPr>
        <w:t xml:space="preserve"> সার্বিক ন্যায়বিচারের স্বার্থে আপীলটি খরচসহ মঞ্জুর করা হউক।</w:t>
      </w:r>
    </w:p>
    <w:p>
      <w:r>
        <w:rPr>
          <w:rFonts w:ascii="Kalpurush" w:cs="Kalpurush" w:eastAsia="Kalpurush" w:hAnsi="Kalpurush"/>
        </w:rPr>
        <w:t xml:space="preserve"/>
      </w:r>
    </w:p>
    <w:p>
      <w:r>
        <w:rPr>
          <w:rFonts w:ascii="Kalpurush" w:cs="Kalpurush" w:eastAsia="Kalpurush" w:hAnsi="Kalpurush"/>
          <w:sz w:val="20"/>
          <w:szCs w:val="20"/>
        </w:rPr>
        <w:t xml:space="preserve">*সবিনয় নিবেদন ইতি।*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 বিজ্ঞ কৌসুলির জন্য চূড়ান্ত যাচাইকরণ তালিকা (Counsel's Mandatory Checklist)</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Citation Verification:</w:t>
      </w:r>
      <w:r>
        <w:rPr>
          <w:rFonts w:ascii="Kalpurush" w:cs="Kalpurush" w:eastAsia="Kalpurush" w:hAnsi="Kalpurush"/>
          <w:sz w:val="20"/>
          <w:szCs w:val="20"/>
        </w:rPr>
        <w:t xml:space="preserve"> প্রতিটি quoted proposition এবং statutory claim মূল জজমেন্ট/রিপোর্ট (DLR/BLD/BLT) এবং ট্রায়াল কোর্টের রেকর্ডের সাথে মিলিয়ে নিতে হইবে।</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Trial Court Record Mapping:</w:t>
      </w:r>
      <w:r>
        <w:rPr>
          <w:rFonts w:ascii="Kalpurush" w:cs="Kalpurush" w:eastAsia="Kalpurush" w:hAnsi="Kalpurush"/>
          <w:sz w:val="20"/>
          <w:szCs w:val="20"/>
        </w:rPr>
        <w:t xml:space="preserve"> ট্রায়াল কোর্টের রায়ের প্রতিটি finding-এর পাশে আপিলের এই ড্রাফটে </w:t>
      </w:r>
      <w:r>
        <w:rPr>
          <w:rFonts w:ascii="Kalpurush" w:cs="Kalpurush" w:eastAsia="Kalpurush" w:hAnsi="Kalpurush"/>
          <w:b/>
          <w:bCs/>
          <w:sz w:val="20"/>
          <w:szCs w:val="20"/>
        </w:rPr>
        <w:t xml:space="preserve">exact page/paragraph reference</w:t>
      </w:r>
      <w:r>
        <w:rPr>
          <w:rFonts w:ascii="Kalpurush" w:cs="Kalpurush" w:eastAsia="Kalpurush" w:hAnsi="Kalpurush"/>
          <w:sz w:val="20"/>
          <w:szCs w:val="20"/>
        </w:rPr>
        <w:t xml:space="preserve"> বসাতে হইবে (যেমন: *Impugned Judgment, Page 14, Para 3*)।</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Section 145A Scope:</w:t>
      </w:r>
      <w:r>
        <w:rPr>
          <w:rFonts w:ascii="Kalpurush" w:cs="Kalpurush" w:eastAsia="Kalpurush" w:hAnsi="Kalpurush"/>
          <w:sz w:val="20"/>
          <w:szCs w:val="20"/>
        </w:rPr>
        <w:t xml:space="preserve"> SAT Act-এর Section 145A-এর exact scope এবং Land Survey Tribunal-এর এখতিয়ার সম্পর্কে সাম্প্রতিক কোনো আপিল বিভাগের রায় থাকলে তা চেক করে নিতে হইবে।</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 The Locked Hierarchy (শুনানির মূল ৯-ধাপের কাঠামো)</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SA 238-এর statutory presumption</w:t>
      </w:r>
      <w:r>
        <w:rPr>
          <w:rFonts w:ascii="Kalpurush" w:cs="Kalpurush" w:eastAsia="Kalpurush" w:hAnsi="Kalpurush"/>
          <w:sz w:val="20"/>
          <w:szCs w:val="20"/>
        </w:rPr>
        <w:t xml:space="preserve"> (Sec 144A)  </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Respondents allege correction</w:t>
      </w:r>
      <w:r>
        <w:rPr>
          <w:rFonts w:ascii="Kalpurush" w:cs="Kalpurush" w:eastAsia="Kalpurush" w:hAnsi="Kalpurush"/>
          <w:sz w:val="20"/>
          <w:szCs w:val="20"/>
        </w:rPr>
        <w:t xml:space="preserve"> (১৯৬৯ সালের কথিত সংশোধন)  </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Where is the legal source?</w:t>
      </w:r>
      <w:r>
        <w:rPr>
          <w:rFonts w:ascii="Kalpurush" w:cs="Kalpurush" w:eastAsia="Kalpurush" w:hAnsi="Kalpurush"/>
          <w:sz w:val="20"/>
          <w:szCs w:val="20"/>
        </w:rPr>
        <w:t xml:space="preserve"> (Parent order/Decree কোথায়?)  </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Where are its contents and jurisdictional foundation?</w:t>
      </w:r>
      <w:r>
        <w:rPr>
          <w:rFonts w:ascii="Kalpurush" w:cs="Kalpurush" w:eastAsia="Kalpurush" w:hAnsi="Kalpurush"/>
          <w:sz w:val="20"/>
          <w:szCs w:val="20"/>
        </w:rPr>
        <w:t xml:space="preserve"> (Misc Case-এর nature কী ছিল?)  </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How was it lawfully implemented?</w:t>
      </w:r>
      <w:r>
        <w:rPr>
          <w:rFonts w:ascii="Kalpurush" w:cs="Kalpurush" w:eastAsia="Kalpurush" w:hAnsi="Kalpurush"/>
          <w:sz w:val="20"/>
          <w:szCs w:val="20"/>
        </w:rPr>
        <w:t xml:space="preserve"> (Notice ও Register of Alterations কোথায়?)  </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Where is the corresponding authoritative record?</w:t>
      </w:r>
      <w:r>
        <w:rPr>
          <w:rFonts w:ascii="Kalpurush" w:cs="Kalpurush" w:eastAsia="Kalpurush" w:hAnsi="Kalpurush"/>
          <w:sz w:val="20"/>
          <w:szCs w:val="20"/>
        </w:rPr>
        <w:t xml:space="preserve"> (Record Room-এ সংশোধন প্রতিফলিত হয়নি কেন?)  </w:t>
      </w:r>
    </w:p>
    <w:p>
      <w:r>
        <w:rPr>
          <w:rFonts w:ascii="Kalpurush" w:cs="Kalpurush" w:eastAsia="Kalpurush" w:hAnsi="Kalpurush"/>
          <w:sz w:val="20"/>
          <w:szCs w:val="20"/>
        </w:rPr>
        <w:t xml:space="preserve">৭. </w:t>
      </w:r>
      <w:r>
        <w:rPr>
          <w:rFonts w:ascii="Kalpurush" w:cs="Kalpurush" w:eastAsia="Kalpurush" w:hAnsi="Kalpurush"/>
          <w:b/>
          <w:bCs/>
          <w:sz w:val="20"/>
          <w:szCs w:val="20"/>
        </w:rPr>
        <w:t xml:space="preserve">Present Record Room still records Abdul Ali</w:t>
      </w:r>
      <w:r>
        <w:rPr>
          <w:rFonts w:ascii="Kalpurush" w:cs="Kalpurush" w:eastAsia="Kalpurush" w:hAnsi="Kalpurush"/>
          <w:sz w:val="20"/>
          <w:szCs w:val="20"/>
        </w:rPr>
        <w:t xml:space="preserve"> (অপরিবর্তিত মূল রেকর্ড)  </w:t>
      </w:r>
    </w:p>
    <w:p>
      <w:r>
        <w:rPr>
          <w:rFonts w:ascii="Kalpurush" w:cs="Kalpurush" w:eastAsia="Kalpurush" w:hAnsi="Kalpurush"/>
          <w:sz w:val="20"/>
          <w:szCs w:val="20"/>
        </w:rPr>
        <w:t xml:space="preserve">৮. </w:t>
      </w:r>
      <w:r>
        <w:rPr>
          <w:rFonts w:ascii="Kalpurush" w:cs="Kalpurush" w:eastAsia="Kalpurush" w:hAnsi="Kalpurush"/>
          <w:b/>
          <w:bCs/>
          <w:sz w:val="20"/>
          <w:szCs w:val="20"/>
        </w:rPr>
        <w:t xml:space="preserve">1975 registered deed contradicts one-dag theory</w:t>
      </w:r>
      <w:r>
        <w:rPr>
          <w:rFonts w:ascii="Kalpurush" w:cs="Kalpurush" w:eastAsia="Kalpurush" w:hAnsi="Kalpurush"/>
          <w:sz w:val="20"/>
          <w:szCs w:val="20"/>
        </w:rPr>
        <w:t xml:space="preserve"> (নিজেদের দলিলে ৬ দাগের বর্ণনা)  </w:t>
      </w:r>
    </w:p>
    <w:p>
      <w:r>
        <w:rPr>
          <w:rFonts w:ascii="Kalpurush" w:cs="Kalpurush" w:eastAsia="Kalpurush" w:hAnsi="Kalpurush"/>
          <w:sz w:val="20"/>
          <w:szCs w:val="20"/>
        </w:rPr>
        <w:t xml:space="preserve">৯. </w:t>
      </w:r>
      <w:r>
        <w:rPr>
          <w:rFonts w:ascii="Kalpurush" w:cs="Kalpurush" w:eastAsia="Kalpurush" w:hAnsi="Kalpurush"/>
          <w:b/>
          <w:bCs/>
          <w:sz w:val="20"/>
          <w:szCs w:val="20"/>
        </w:rPr>
        <w:t xml:space="preserve">Even assuming Abdul Karim had some pre-SA interest, displacement of SA 238 is still unproved</w:t>
      </w:r>
      <w:r>
        <w:rPr>
          <w:rFonts w:ascii="Kalpurush" w:cs="Kalpurush" w:eastAsia="Kalpurush" w:hAnsi="Kalpurush"/>
          <w:sz w:val="20"/>
          <w:szCs w:val="20"/>
        </w:rPr>
        <w:t xml:space="preserve"> (The Layer 2 Fallback)</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আপীল্যান্টগণের পক্ষে বিজ্ঞ কৌসুলি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2026-08-15T10:00:22.528Z</dcterms:created>
  <dcterms:modified xsi:type="dcterms:W3CDTF">2026-08-15T10:00:22.528Z</dcterms:modified>
</cp:coreProperties>
</file>

<file path=docProps/custom.xml><?xml version="1.0" encoding="utf-8"?>
<Properties xmlns="http://schemas.openxmlformats.org/officeDocument/2006/custom-properties" xmlns:vt="http://schemas.openxmlformats.org/officeDocument/2006/docPropsVTypes"/>
</file>