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85 — Definitive Court-Ready Oral Hearing Aid &amp; Summary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record-ভুক্ত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গুরুতর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গুরুতর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এখতিয়ারগত স্পষ্টীকরণ (Jurisdictional Clarification under SAT Act Section 145A)</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আমরা চূড়ান্ত এস.এ. রেকর্ড সংশোধনের জন্য কোনো independent relief প্রার্থনা করিতেছি না; বরং বিবাদীদের দাবিকৃত alleged later correction-এর legal effect এই বিচারাধীন বাটোয়ারা মামলার title dispute-এ পরীক্ষা করার প্রয়োজনীয়তা দেখাইতেছি। বিবাদীদের কথিত ১৯৬৯ সালের সংশোধন নির্ভরযোগ্য সাক্ষ্যে প্রমাণিত না হওয়ায়, বর্তমানে কার্যকর (operative) রেকর্ড হিসেবে জেলা রেকর্ড রুমে সংরক্ষিত SA ২৩৮-ই আদালতের সামনে একমাত্র বৈধ ভিত্তি।"*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Two-Layer Test (আপীলের মূল আইনি কাঠামো)</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Layer 1 (Competing Root):</w:t>
      </w:r>
      <w:r>
        <w:rPr>
          <w:rFonts w:ascii="Kalpurush" w:cs="Kalpurush" w:eastAsia="Kalpurush" w:hAnsi="Kalpurush"/>
          <w:sz w:val="20"/>
          <w:szCs w:val="20"/>
        </w:rPr>
        <w:t xml:space="preserve"> আব্দুল করিম কি পূর্বে এমন কোনো legally cognizable tenancy interest অর্জন করিয়াছিলেন, যার উত্তরাধিকার সোনাভানুর দিকে যায়?</w:t>
      </w:r>
    </w:p>
    <w:p>
      <w:pPr>
        <w:pStyle w:val="ListParagraph"/>
        <w:numPr>
          <w:ilvl w:val="0"/>
          <w:numId w:val="1"/>
        </w:numPr>
      </w:pPr>
      <w:r>
        <w:rPr>
          <w:rFonts w:ascii="Kalpurush" w:cs="Kalpurush" w:eastAsia="Kalpurush" w:hAnsi="Kalpurush"/>
          <w:b/>
          <w:bCs/>
          <w:sz w:val="20"/>
          <w:szCs w:val="20"/>
        </w:rPr>
        <w:t xml:space="preserve">Layer 2 (Displacement):</w:t>
      </w:r>
      <w:r>
        <w:rPr>
          <w:rFonts w:ascii="Kalpurush" w:cs="Kalpurush" w:eastAsia="Kalpurush" w:hAnsi="Kalpurush"/>
          <w:sz w:val="20"/>
          <w:szCs w:val="20"/>
        </w:rPr>
        <w:t xml:space="preserve"> যদি এমন কোনো interest থাকিয়াও থাকে, তবে তাহা কীভাবে আইনসম্মতভাবে আব্দুল আলীর চূড়ান্তভাবে প্রকাশিত SA entry-কে displace করিয়া সোনাভানুর জন্য বর্তমান বলবৎযোগ্য স্বত্ব সৃষ্টি করিল?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কথিত সংশোধনের ৬টি মৌলিক প্রশ্ন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কথিত Misc Case-এর আদেশ কোথায়?</w:t>
      </w:r>
      <w:r>
        <w:rPr>
          <w:rFonts w:ascii="Kalpurush" w:cs="Kalpurush" w:eastAsia="Kalpurush" w:hAnsi="Kalpurush"/>
          <w:sz w:val="20"/>
          <w:szCs w:val="20"/>
        </w:rPr>
        <w:t xml:space="preserve"> (Where is the parent order?)</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সেই আদেশের সুনির্দিষ্ট বিষয়বস্তু কী ছিল?</w:t>
      </w:r>
      <w:r>
        <w:rPr>
          <w:rFonts w:ascii="Kalpurush" w:cs="Kalpurush" w:eastAsia="Kalpurush" w:hAnsi="Kalpurush"/>
          <w:sz w:val="20"/>
          <w:szCs w:val="20"/>
        </w:rPr>
        <w:t xml:space="preserve"> (What were the exact terms of the order?)</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কোন কর্তৃপক্ষের এখতিয়ারে আদেশটি হয়েছিল?</w:t>
      </w:r>
      <w:r>
        <w:rPr>
          <w:rFonts w:ascii="Kalpurush" w:cs="Kalpurush" w:eastAsia="Kalpurush" w:hAnsi="Kalpurush"/>
          <w:sz w:val="20"/>
          <w:szCs w:val="20"/>
        </w:rPr>
        <w:t xml:space="preserve"> (Under what jurisdiction was it passed?)</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রেকর্ডভুক্ত প্রজা আব্দুল আলীকে নোটিশ দেওয়া হয়েছিল কি?</w:t>
      </w:r>
      <w:r>
        <w:rPr>
          <w:rFonts w:ascii="Kalpurush" w:cs="Kalpurush" w:eastAsia="Kalpurush" w:hAnsi="Kalpurush"/>
          <w:sz w:val="20"/>
          <w:szCs w:val="20"/>
        </w:rPr>
        <w:t xml:space="preserve"> (Was notice served upon the recorded tenant?)</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সেই আদেশ কীভাবে Register of Alterations-এ implemented হয়েছিল?</w:t>
      </w:r>
      <w:r>
        <w:rPr>
          <w:rFonts w:ascii="Kalpurush" w:cs="Kalpurush" w:eastAsia="Kalpurush" w:hAnsi="Kalpurush"/>
          <w:sz w:val="20"/>
          <w:szCs w:val="20"/>
        </w:rPr>
        <w:t xml:space="preserve"> (How was it implemented in official records?)</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সংশোধিত SA ২৩৮ নং খতিয়ানের সইমোহরি কপি কোথায়?</w:t>
      </w:r>
      <w:r>
        <w:rPr>
          <w:rFonts w:ascii="Kalpurush" w:cs="Kalpurush" w:eastAsia="Kalpurush" w:hAnsi="Kalpurush"/>
          <w:sz w:val="20"/>
          <w:szCs w:val="20"/>
        </w:rPr>
        <w:t xml:space="preserve"> (Where is the certified copy of the corrected SA Khatian?)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আদালতে উপস্থাপিত 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চূড়ান্ত প্রকাশিত সংবিধিবদ্ধ রেকর্ড; জেলা সেটেলমেন্ট রেকর্ড রুমে আজও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প্রকাশ্য নিবন্ধিত সম্পত্তিগত সম্পর্ক</w:t>
            </w:r>
          </w:p>
        </w:tc>
        <w:tc>
          <w:p>
            <w:r>
              <w:rPr>
                <w:rFonts w:ascii="Kalpurush" w:cs="Kalpurush" w:eastAsia="Kalpurush" w:hAnsi="Kalpurush"/>
                <w:sz w:val="20"/>
                <w:szCs w:val="20"/>
              </w:rPr>
              <w:t xml:space="preserve">SA জরিপকালীন সমসাময়িক দলিল; ৩ নং দাগ SA ২৩৮-এর অন্তর্ভুক্ত জমিরই অংশ</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ধারাবাহিকতা</w:t>
            </w:r>
          </w:p>
        </w:tc>
        <w:tc>
          <w:p>
            <w:r>
              <w:rPr>
                <w:rFonts w:ascii="Kalpurush" w:cs="Kalpurush" w:eastAsia="Kalpurush" w:hAnsi="Kalpurush"/>
                <w:sz w:val="20"/>
                <w:szCs w:val="20"/>
              </w:rPr>
              <w:t xml:space="preserve">কোনো Alteration Entry নাই; সোনাভানুর নামে কোনো recorded co-sharership প্রতিফলিত হয় নাই</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আপীল্যান্টপক্ষের কৌশলগত বিকল্প যুক্তি (The Strategic Fallback Argument)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for argument’s sake, that Abdul Karim had some pre-SA interest, that assumption does not by itself prove that Abdul Ali’s finally published SA entry was wrong or that Sona Bhanu subsequently acquired a legally effective interest in SA 238."</w:t>
      </w:r>
    </w:p>
    <w:p>
      <w:pPr>
        <w:ind w:left="720"/>
      </w:pPr>
    </w:p>
    <w:p>
      <w:pPr>
        <w:ind w:left="720"/>
      </w:pPr>
      <w:r>
        <w:rPr>
          <w:rFonts w:ascii="Kalpurush" w:cs="Kalpurush" w:eastAsia="Kalpurush" w:hAnsi="Kalpurush"/>
          <w:i/>
          <w:iCs/>
          <w:sz w:val="20"/>
          <w:szCs w:val="20"/>
        </w:rPr>
        <w:t xml:space="preserve">*(বঙ্গানুবাদ: "তর্কের খাতিরে যদি ধরেও নেওয়া হয় যে প্রাক-SA আমলে আব্দুল করিমের কোনো স্বত্ব বা অধিকার ছিল, তবুও সেই অনুমান নিজে থেকেই প্রমাণ করে না যে চূড়ান্ত প্রকাশিত SA ২৩৮-এ আব্দুল আলীর একক রেকর্ড ভুল ছিল কিংবা পরবর্তীতে সোনাভানু SA ২৩৮-এ আইনত কার্যকর কোনো অংশ বা স্বত্ব অর্জন করেছিলেন।")*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The Trial Court did not sufficiently identify the legal source, provenance, jurisdictional basis and implementation trail of the AC Land entry before relying upon it to displace the finally published SA record.</w:t>
            </w:r>
            <w:r>
              <w:rPr>
                <w:rFonts w:ascii="Kalpurush" w:cs="Kalpurush" w:eastAsia="Kalpurush" w:hAnsi="Kalpurush"/>
                <w:sz w:val="20"/>
                <w:szCs w:val="20"/>
              </w:rPr>
              <w:t xml:space="preserve">&lt;br&gt;*(আইনগত উৎস, এখতিয়ার ও বাস্তবায়ন-ধারাবাহিকতা নির্ধারণ না করিয়াই ভলিউম নোটকে চূড়ান্ত রেকর্ডের উপরে স্থান দেওয়া)*</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প্রধান নজিরের সুনির্দিষ্ট উদ্ধৃতি ও বঙ্গানুবাদ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 ও বঙ্গানুবাদ</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evidence."*&lt;br&gt;*(বঙ্গানুবাদ: এস.এ.টি. আইনের ১৪৪A ধারার অধীনে চূড়ান্ত প্রকাশিত খতিয়ানের পেছনে সংবিধিবদ্ধ নির্ভুলতার অনুমান বিদ্যমান এবং নির্ভরযোগ্য প্রমাণ দ্বারা খণ্ডন না হওয়া পর্যন্ত তা অব্যাহত থাকে।)*</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challenger."*&lt;br&gt;*(বঙ্গানুবাদ: এসএটি আইনের অধীনে প্রস্তুতকৃত খতিয়ান সংবিধিবদ্ধ অনুমান বহন করে, যা চ্যালেঞ্জকারীকে ইতিবাচক ও নির্ভরযোগ্য সাক্ষ্য দ্বারা খণ্ডন করতে হবে।)*</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party."*&lt;br&gt;*(বঙ্গানুবাদ: খতিয়ানের ভুল প্রমাণের সম্পূর্ণ দায়ভার চ্যালেঞ্জকারী পক্ষের ওপর বর্তায়।)*</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onus."*&lt;br&gt;*(বঙ্গানুবাদ: চ্যালেঞ্জকারীকে তার প্রমাণের দায়িত্বে আবদ্ধ না রেখে বাদীর ওপর প্রতিটি বিপরীত দাবি মিথ্যা প্রমাণের বোঝা চাপানো আইনে মারাত্মক ভুল।)*</w:t>
            </w:r>
          </w:p>
        </w:tc>
      </w:tr>
      <w:tr>
        <w:tc>
          <w:p>
            <w:r>
              <w:rPr>
                <w:rFonts w:ascii="Kalpurush" w:cs="Kalpurush" w:eastAsia="Kalpurush" w:hAnsi="Kalpurush"/>
                <w:b/>
                <w:bCs/>
                <w:sz w:val="20"/>
                <w:szCs w:val="20"/>
              </w:rPr>
              <w:t xml:space="preserve">23 BLD (AD) 83</w:t>
            </w:r>
            <w:r>
              <w:rPr>
                <w:rFonts w:ascii="Kalpurush" w:cs="Kalpurush" w:eastAsia="Kalpurush" w:hAnsi="Kalpurush"/>
                <w:sz w:val="20"/>
                <w:szCs w:val="20"/>
              </w:rPr>
              <w:t xml:space="preserve"> *(Chinmoy Chowdhury)*</w:t>
            </w:r>
          </w:p>
        </w:tc>
        <w:tc>
          <w:p>
            <w:r>
              <w:rPr>
                <w:rFonts w:ascii="Kalpurush" w:cs="Kalpurush" w:eastAsia="Kalpurush" w:hAnsi="Kalpurush"/>
                <w:sz w:val="20"/>
                <w:szCs w:val="20"/>
              </w:rPr>
              <w:t xml:space="preserve">*"In a suit for partition, the court is competent to decide incidental questions of title raised by the parties in order to determine the shares and grant complete relief."*&lt;br&gt;*(বঙ্গানুবাদ: বাটোয়ারা মামলায় পক্ষগণের অংশ নির্ধারণ ও পূর্ণাঙ্গ প্রতিকার প্রদানের লক্ষ্যে আদালত আনুষঙ্গিক স্বত্বের প্রশ্ন নিষ্পত্তি করার সম্পূর্ণ এখতিয়ার রাখেন।)*</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order."*&lt;br&gt;*(বঙ্গানুবাদ: মূল আদেশ ব্যতীত ভলিউম নোট বা নামজারি এন্ট্রির কোনো সংবিধিবদ্ধ নির্ভুলতার অনুমান থাকে না।)*</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ineffective."*&lt;br&gt;*(বঙ্গানুবাদ: মূল বিচারিক আদেশনামা ছাড়া ভিন্ন কালিতে বা হস্তাক্ষরে এসএ খতিয়ানে কৃত পরিবর্তন অবৈধ এবং আইনত অকার্যকর।)*</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suit."*&lt;br&gt;*(বঙ্গানুবাদ: মিস মোকদ্দমার সংক্ষিপ্ত প্রক্রিয়ায় স্বত্বের প্রশ্ন নিষ্পত্তি করা যায় না। স্বত্ব ঘোষণার জন্য দেওয়ানি মামলা আবশ্যক।)*</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title."*&lt;br&gt;*(বঙ্গানুবাদ: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Act."*&lt;br&gt;*(বঙ্গানুবাদ: অনিবন্ধিত পাট্টার মাধ্যমে যে স্বত্বই অর্জিত হোক না কেন, এস.এ.টি. আইনের ৮৬ ধারার অধীনে রাষ্ট্রীয় অধিগ্রহণের ফলে তা বিলুপ্ত হয়ে গেছে।)*</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record."*&lt;br&gt;*(বঙ্গানুবাদ: প্রশাসনিক খতিয়ান এন্ট্রি বা সংগৃহীত নামজারি নোট কোনো প্রতিষ্ঠিত স্বত্ব বা চূড়ান্ত প্রকাশিত রেকর্ডের সংবিধিবদ্ধ অনুমানকে বাতিল করতে পারে না।)*</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State."*&lt;br&gt;*(বঙ্গানুবাদ: সহ-অংশীদারদের মধ্যে ব্যক্তিগত বাটোয়ারা মামলায় সরকার আবশ্যকীয় পক্ষ নয়, যেখানে রাষ্ট্রের বিরুদ্ধে কোনো প্রতিকার চাওয়া হয়নি।)*</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tenancies."*&lt;br&gt;*(বঙ্গানুবাদ: পৃথক খতিয়ান পৃথক প্রজাস্বত্ব সৃষ্টি করে; সংলগ্ন সরকারি জমি বা ভিন্ন খতিয়ানের জমি বাদ দিলে আংশিক বাটোয়ারার কোনো দোষ সৃষ্টি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 যদি দাবি করেন যে সেই State Recognition ভুল ছিল, তবে তাঁদের সেই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Q4: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Q5: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Q6: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গুরুতর দালিলিক বৈপরীত্য।"*</w:t>
      </w:r>
    </w:p>
    <w:p>
      <w:r>
        <w:rPr>
          <w:rFonts w:ascii="Kalpurush" w:cs="Kalpurush" w:eastAsia="Kalpurush" w:hAnsi="Kalpurush"/>
        </w:rPr>
        <w:t xml:space="preserve"/>
      </w:r>
    </w:p>
    <w:p>
      <w:r>
        <w:rPr>
          <w:rFonts w:ascii="Kalpurush" w:cs="Kalpurush" w:eastAsia="Kalpurush" w:hAnsi="Kalpurush"/>
          <w:b/>
          <w:bCs/>
          <w:sz w:val="20"/>
          <w:szCs w:val="20"/>
        </w:rPr>
        <w:t xml:space="preserve">Q7: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একই দাগে সরকারি জমি পৃথক খতিয়ানে আছে।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Q8: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এবং তিনি এন্ট্রির provenance ব্যাখ্যা বা underlying record দেখাতে সক্ষম হননি।"*</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বিকল্প প্রার্থনাসহ প্রতিকার (Closing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বিবাদীদের দাবিকৃত 'সংশোধন' প্রমাণিত হয়নি, তাহাদের ভলিউম এন্ট্রির জন্য ১৪৪A-এর presumption দাবি করা যায় না, এবং তাহাদের নিজেদের দলিল তাহাদের গল্পকেই প্রশ্নবিদ্ধ করিতেছে: </w:t>
      </w:r>
      <w:r>
        <w:rPr>
          <w:rFonts w:ascii="Kalpurush" w:cs="Kalpurush" w:eastAsia="Kalpurush" w:hAnsi="Kalpurush"/>
          <w:b/>
          <w:bCs/>
          <w:i/>
          <w:iCs/>
          <w:sz w:val="20"/>
          <w:szCs w:val="20"/>
        </w:rPr>
        <w:t xml:space="preserve">My Lord, the respondents may have a theory; but a theory is not rebuttal evidence.</w:t>
      </w:r>
      <w:r>
        <w:rPr>
          <w:rFonts w:ascii="Kalpurush" w:cs="Kalpurush" w:eastAsia="Kalpurush" w:hAnsi="Kalpurush"/>
          <w:i/>
          <w:iCs/>
          <w:sz w:val="20"/>
          <w:szCs w:val="20"/>
        </w:rPr>
        <w:t xml:space="preserve"> (বঙ্গানুবাদ: মহামান্য আদালত, বিবাদীপক্ষের একটি মৌখিক তত্ত্ব থাকিতে পারে; কিন্তু কোনো তত্ত্ব কখনো সংবিধিবদ্ধ রেকর্ডের বিরুদ্ধে নির্ভরযোগ্য খণ্ডনকারী সাক্ষ্য হইতে পারে না।)*</w:t>
      </w:r>
    </w:p>
    <w:p>
      <w:pPr>
        <w:ind w:left="720"/>
      </w:pPr>
    </w:p>
    <w:p>
      <w:pPr>
        <w:ind w:left="720"/>
      </w:pPr>
      <w:r>
        <w:rPr>
          <w:rFonts w:ascii="Kalpurush" w:cs="Kalpurush" w:eastAsia="Kalpurush" w:hAnsi="Kalpurush"/>
          <w:i/>
          <w:iCs/>
          <w:sz w:val="20"/>
          <w:szCs w:val="20"/>
        </w:rPr>
        <w:t xml:space="preserve">*অতএব বিনীত প্রার্থনা:*</w:t>
      </w:r>
    </w:p>
    <w:p>
      <w:pPr>
        <w:ind w:left="720"/>
      </w:pPr>
      <w:r>
        <w:rPr>
          <w:rFonts w:ascii="Kalpurush" w:cs="Kalpurush" w:eastAsia="Kalpurush" w:hAnsi="Kalpurush"/>
          <w:i/>
          <w:iCs/>
          <w:sz w:val="20"/>
          <w:szCs w:val="20"/>
        </w:rPr>
        <w:t xml:space="preserve">*(ক) রেকর্ডে বিদ্যমান প্রমাণ পুনর্মূল্যায়ন করিয়া সখিপুর সিভিল জজ আদালতের ০৫/০৪/২০২৬ তারিখের রায় ও ডিক্রি বাতিল করা হউক;*</w:t>
      </w:r>
    </w:p>
    <w:p>
      <w:pPr>
        <w:ind w:left="720"/>
      </w:pPr>
      <w:r>
        <w:rPr>
          <w:rFonts w:ascii="Kalpurush" w:cs="Kalpurush" w:eastAsia="Kalpurush" w:hAnsi="Kalpurush"/>
          <w:i/>
          <w:iCs/>
          <w:sz w:val="20"/>
          <w:szCs w:val="20"/>
        </w:rPr>
        <w:t xml:space="preserve">*(খ) বর্তমানে বহাল ও কার্যকর SA ২৩৮ নং খতিয়ান এবং ১ নং বিবাদীর সোলেনামার ভিত্তিতে আপীল্যান্টদের অনুকূলে বাটোয়ারার প্রাথমিক ডিক্রি প্রদান করা হউক;*</w:t>
      </w:r>
    </w:p>
    <w:p>
      <w:pPr>
        <w:ind w:left="720"/>
      </w:pPr>
      <w:r>
        <w:rPr>
          <w:rFonts w:ascii="Kalpurush" w:cs="Kalpurush" w:eastAsia="Kalpurush" w:hAnsi="Kalpurush"/>
          <w:i/>
          <w:iCs/>
          <w:sz w:val="20"/>
          <w:szCs w:val="20"/>
        </w:rPr>
        <w:t xml:space="preserve">*(গ) </w:t>
      </w:r>
      <w:r>
        <w:rPr>
          <w:rFonts w:ascii="Kalpurush" w:cs="Kalpurush" w:eastAsia="Kalpurush" w:hAnsi="Kalpurush"/>
          <w:b/>
          <w:bCs/>
          <w:i/>
          <w:iCs/>
          <w:sz w:val="20"/>
          <w:szCs w:val="20"/>
        </w:rPr>
        <w:t xml:space="preserve">বিকল্পে (In the alternative):</w:t>
      </w:r>
      <w:r>
        <w:rPr>
          <w:rFonts w:ascii="Kalpurush" w:cs="Kalpurush" w:eastAsia="Kalpurush" w:hAnsi="Kalpurush"/>
          <w:i/>
          <w:iCs/>
          <w:sz w:val="20"/>
          <w:szCs w:val="20"/>
        </w:rPr>
        <w:t xml:space="preserve"> CPC Order XLI Rule 23/23A অনুযায়ী মামলাটি রিমান্ড করিয়া বাদীপক্ষকে Order VI Rule 17 ও Order I Rule 10(2) এর সুযোগ প্রদানপূর্বক merits-এ চূড়ান্ত রায় প্রদানের নির্দেশ দেওয়া হউক।"*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উকিলের জন্য চূড়ান্ত সতর্কবার্তা ও শুনানির মূল ৯-ধাপের কাঠামো</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The Locked Hierarchy (শুনানির মূল কাঠামো)</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SA 238-এর statutory presumption</w:t>
      </w:r>
      <w:r>
        <w:rPr>
          <w:rFonts w:ascii="Kalpurush" w:cs="Kalpurush" w:eastAsia="Kalpurush" w:hAnsi="Kalpurush"/>
          <w:sz w:val="20"/>
          <w:szCs w:val="20"/>
        </w:rPr>
        <w:t xml:space="preserve"> (Sec 144A)  </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Respondents allege correction</w:t>
      </w:r>
      <w:r>
        <w:rPr>
          <w:rFonts w:ascii="Kalpurush" w:cs="Kalpurush" w:eastAsia="Kalpurush" w:hAnsi="Kalpurush"/>
          <w:sz w:val="20"/>
          <w:szCs w:val="20"/>
        </w:rPr>
        <w:t xml:space="preserve"> (১৯৬৯ সালের কথিত সংশোধন)  </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Where is the legal source?</w:t>
      </w:r>
      <w:r>
        <w:rPr>
          <w:rFonts w:ascii="Kalpurush" w:cs="Kalpurush" w:eastAsia="Kalpurush" w:hAnsi="Kalpurush"/>
          <w:sz w:val="20"/>
          <w:szCs w:val="20"/>
        </w:rPr>
        <w:t xml:space="preserve"> (Parent order/Decree কোথায়?)  </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Where are its contents and jurisdictional foundation?</w:t>
      </w:r>
      <w:r>
        <w:rPr>
          <w:rFonts w:ascii="Kalpurush" w:cs="Kalpurush" w:eastAsia="Kalpurush" w:hAnsi="Kalpurush"/>
          <w:sz w:val="20"/>
          <w:szCs w:val="20"/>
        </w:rPr>
        <w:t xml:space="preserve"> (Misc Case-এর nature কী ছিল?)  </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How was it lawfully implemented?</w:t>
      </w:r>
      <w:r>
        <w:rPr>
          <w:rFonts w:ascii="Kalpurush" w:cs="Kalpurush" w:eastAsia="Kalpurush" w:hAnsi="Kalpurush"/>
          <w:sz w:val="20"/>
          <w:szCs w:val="20"/>
        </w:rPr>
        <w:t xml:space="preserve"> (Notice ও Register of Alterations কোথায়?)  </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Where is the corresponding authoritative record?</w:t>
      </w:r>
      <w:r>
        <w:rPr>
          <w:rFonts w:ascii="Kalpurush" w:cs="Kalpurush" w:eastAsia="Kalpurush" w:hAnsi="Kalpurush"/>
          <w:sz w:val="20"/>
          <w:szCs w:val="20"/>
        </w:rPr>
        <w:t xml:space="preserve"> (Record Room-এ সংশোধন প্রতিফলিত হয়নি কেন?)  </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Present Record Room still records Abdul Ali</w:t>
      </w:r>
      <w:r>
        <w:rPr>
          <w:rFonts w:ascii="Kalpurush" w:cs="Kalpurush" w:eastAsia="Kalpurush" w:hAnsi="Kalpurush"/>
          <w:sz w:val="20"/>
          <w:szCs w:val="20"/>
        </w:rPr>
        <w:t xml:space="preserve"> (অপরিবর্তিত মূল রেকর্ড)  </w:t>
      </w:r>
    </w:p>
    <w:p>
      <w:r>
        <w:rPr>
          <w:rFonts w:ascii="Kalpurush" w:cs="Kalpurush" w:eastAsia="Kalpurush" w:hAnsi="Kalpurush"/>
          <w:sz w:val="20"/>
          <w:szCs w:val="20"/>
        </w:rPr>
        <w:t xml:space="preserve">৮. </w:t>
      </w:r>
      <w:r>
        <w:rPr>
          <w:rFonts w:ascii="Kalpurush" w:cs="Kalpurush" w:eastAsia="Kalpurush" w:hAnsi="Kalpurush"/>
          <w:b/>
          <w:bCs/>
          <w:sz w:val="20"/>
          <w:szCs w:val="20"/>
        </w:rPr>
        <w:t xml:space="preserve">1975 registered deed contradicts one-dag theory</w:t>
      </w:r>
      <w:r>
        <w:rPr>
          <w:rFonts w:ascii="Kalpurush" w:cs="Kalpurush" w:eastAsia="Kalpurush" w:hAnsi="Kalpurush"/>
          <w:sz w:val="20"/>
          <w:szCs w:val="20"/>
        </w:rPr>
        <w:t xml:space="preserve"> (নিজেদের দলিলে ৬ দাগের বর্ণনা)  </w:t>
      </w:r>
    </w:p>
    <w:p>
      <w:r>
        <w:rPr>
          <w:rFonts w:ascii="Kalpurush" w:cs="Kalpurush" w:eastAsia="Kalpurush" w:hAnsi="Kalpurush"/>
          <w:sz w:val="20"/>
          <w:szCs w:val="20"/>
        </w:rPr>
        <w:t xml:space="preserve">৯. </w:t>
      </w:r>
      <w:r>
        <w:rPr>
          <w:rFonts w:ascii="Kalpurush" w:cs="Kalpurush" w:eastAsia="Kalpurush" w:hAnsi="Kalpurush"/>
          <w:b/>
          <w:bCs/>
          <w:sz w:val="20"/>
          <w:szCs w:val="20"/>
        </w:rPr>
        <w:t xml:space="preserve">Even assuming Abdul Karim had some pre-SA interest, displacement of SA 238 is still unproved</w:t>
      </w:r>
      <w:r>
        <w:rPr>
          <w:rFonts w:ascii="Kalpurush" w:cs="Kalpurush" w:eastAsia="Kalpurush" w:hAnsi="Kalpurush"/>
          <w:sz w:val="20"/>
          <w:szCs w:val="20"/>
        </w:rPr>
        <w:t xml:space="preserve"> (The Layer 2 Fallback)</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2026-08-15T10:00:22.566Z</dcterms:created>
  <dcterms:modified xsi:type="dcterms:W3CDTF">2026-08-15T10:00:22.566Z</dcterms:modified>
</cp:coreProperties>
</file>

<file path=docProps/custom.xml><?xml version="1.0" encoding="utf-8"?>
<Properties xmlns="http://schemas.openxmlformats.org/officeDocument/2006/custom-properties" xmlns:vt="http://schemas.openxmlformats.org/officeDocument/2006/docPropsVTypes"/>
</file>