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48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চূড়ান্তভাবে প্রকাশিত SA ২৩৮ নং খতিয়ান আজও সেটেলমেন্ট রেকর্ড রুমে আব্দুল আলীর নামে অপরিবর্তিত।</w:t>
      </w:r>
    </w:p>
    <w:p>
      <w:r>
        <w:rPr>
          <w:rFonts w:ascii="Kalpurush" w:cs="Kalpurush" w:eastAsia="Kalpurush" w:hAnsi="Kalpurush"/>
        </w:rPr>
        <w:t xml:space="preserve"/>
      </w:r>
    </w:p>
    <w:p>
      <w:r>
        <w:rPr>
          <w:rFonts w:ascii="Kalpurush" w:cs="Kalpurush" w:eastAsia="Kalpurush" w:hAnsi="Kalpurush"/>
          <w:sz w:val="20"/>
          <w:szCs w:val="20"/>
        </w:rPr>
        <w:t xml:space="preserve">আমরা ১৯৩৪ সালের ঘটনা প্রমাণ করিতে আসিনি। রাষ্ট্র ১৯৫২ সালে Estate Acquire করিয়াছে। এরপর রাষ্ট্র নিজেই যাচাই করিয়া SA Record প্রস্তুত করিয়াছে। সেই State Verification-এর ফলাফল হইল SA ২৩৮ নং খতিয়ান।</w:t>
      </w:r>
    </w:p>
    <w:p>
      <w:r>
        <w:rPr>
          <w:rFonts w:ascii="Kalpurush" w:cs="Kalpurush" w:eastAsia="Kalpurush" w:hAnsi="Kalpurush"/>
        </w:rPr>
        <w:t xml:space="preserve"/>
      </w:r>
    </w:p>
    <w:p>
      <w:r>
        <w:rPr>
          <w:rFonts w:ascii="Kalpurush" w:cs="Kalpurush" w:eastAsia="Kalpurush" w:hAnsi="Kalpurush"/>
          <w:b/>
          <w:bCs/>
          <w:sz w:val="20"/>
          <w:szCs w:val="20"/>
        </w:rPr>
        <w:t xml:space="preserve">The Three Independent Confirmations — তিনটি স্বাধীন উৎস, একটিই সত্য: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আব্দুল আলীর স্বত্ব একটিমাত্র কাগজে নির্ভরশীল নহে। তিনটি সম্পূর্ণ স্বাধীন উৎস একই কথা বলিতেছে —</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নিয়ন্ত্রণ</w:t>
            </w:r>
          </w:p>
        </w:tc>
      </w:tr>
      <w:tr>
        <w:tc>
          <w:p>
            <w:r>
              <w:rPr>
                <w:rFonts w:ascii="Kalpurush" w:cs="Kalpurush" w:eastAsia="Kalpurush" w:hAnsi="Kalpurush"/>
                <w:sz w:val="20"/>
                <w:szCs w:val="20"/>
              </w:rPr>
              <w:t xml:space="preserve">১. ১৩৫৭ বঙ্গাব্দের নবাব এস্টেটের খাজনা রসিদ</w:t>
            </w:r>
          </w:p>
        </w:tc>
        <w:tc>
          <w:p>
            <w:r>
              <w:rPr>
                <w:rFonts w:ascii="Kalpurush" w:cs="Kalpurush" w:eastAsia="Kalpurush" w:hAnsi="Kalpurush"/>
                <w:sz w:val="20"/>
                <w:szCs w:val="20"/>
              </w:rPr>
              <w:t xml:space="preserve">আব্দুল আলীর নামে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২৩৯৮ নং রেজিস্ট্রিকৃত দলিল</w:t>
            </w:r>
          </w:p>
        </w:tc>
        <w:tc>
          <w:p>
            <w:r>
              <w:rPr>
                <w:rFonts w:ascii="Kalpurush" w:cs="Kalpurush" w:eastAsia="Kalpurush" w:hAnsi="Kalpurush"/>
                <w:sz w:val="20"/>
                <w:szCs w:val="20"/>
              </w:rPr>
              <w:t xml:space="preserve">আব্দুল আলীকে স্বত্ববান ব্যক্তি হিসেবে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(Exhibit-4)</w:t>
            </w:r>
          </w:p>
        </w:tc>
        <w:tc>
          <w:p>
            <w:r>
              <w:rPr>
                <w:rFonts w:ascii="Kalpurush" w:cs="Kalpurush" w:eastAsia="Kalpurush" w:hAnsi="Kalpurush"/>
                <w:sz w:val="20"/>
                <w:szCs w:val="20"/>
              </w:rPr>
              <w:t xml:space="preserve">আব্দুল আলী একক রায়ত</w:t>
            </w:r>
          </w:p>
        </w:tc>
        <w:tc>
          <w:p>
            <w:r>
              <w:rPr>
                <w:rFonts w:ascii="Kalpurush" w:cs="Kalpurush" w:eastAsia="Kalpurush" w:hAnsi="Kalpurush"/>
                <w:sz w:val="20"/>
                <w:szCs w:val="20"/>
              </w:rPr>
              <w:t xml:space="preserve">রাষ্ট্রের স্বীকৃত রেকর্ড</w:t>
            </w:r>
          </w:p>
        </w:tc>
      </w:tr>
    </w:tbl>
    <w:p>
      <w:r>
        <w:rPr>
          <w:rFonts w:ascii="Kalpurush" w:cs="Kalpurush" w:eastAsia="Kalpurush" w:hAnsi="Kalpurush"/>
        </w:rPr>
        <w:t xml:space="preserve"/>
      </w:r>
    </w:p>
    <w:p>
      <w:r>
        <w:rPr>
          <w:rFonts w:ascii="Kalpurush" w:cs="Kalpurush" w:eastAsia="Kalpurush" w:hAnsi="Kalpurush"/>
          <w:sz w:val="20"/>
          <w:szCs w:val="20"/>
        </w:rPr>
        <w:t xml:space="preserve">এই তিনটি উৎসের কোনোটিই বিবাদীদের নিয়ন্ত্রণে ছিল না। তবুও তিনটিই আব্দুল আলীর স্বত্বকে নিরবচ্ছিন্নভাবে সমর্থন করে।</w:t>
      </w:r>
    </w:p>
    <w:p>
      <w:r>
        <w:rPr>
          <w:rFonts w:ascii="Kalpurush" w:cs="Kalpurush" w:eastAsia="Kalpurush" w:hAnsi="Kalpurush"/>
        </w:rPr>
        <w:t xml:space="preserve"/>
      </w:r>
    </w:p>
    <w:p>
      <w:r>
        <w:rPr>
          <w:rFonts w:ascii="Kalpurush" w:cs="Kalpurush" w:eastAsia="Kalpurush" w:hAnsi="Kalpurush"/>
          <w:b/>
          <w:bCs/>
          <w:sz w:val="20"/>
          <w:szCs w:val="20"/>
        </w:rPr>
        <w:t xml:space="preserve">খাজনা রসিদের তাৎপর্য:</w:t>
      </w:r>
      <w:r>
        <w:rPr>
          <w:rFonts w:ascii="Kalpurush" w:cs="Kalpurush" w:eastAsia="Kalpurush" w:hAnsi="Kalpurush"/>
          <w:sz w:val="20"/>
          <w:szCs w:val="20"/>
        </w:rPr>
        <w:t xml:space="preserve"> যদি প্রকৃত প্রজা আব্দুল করিম হইতেন, তবে ১৩৫৭ বঙ্গাব্দে ঢাকা নবাব এস্টেট আব্দুল আলীর নামে খাজনা রসিদ ইস্যু করিল কেন? বিবাদীদের একমাত্র উত্তর: "আব্দুল আলী জালিয়াতি করিয়াছিল।" তাহা হইলে সেই জালিয়াতির বিরুদ্ধে নবাব এস্টেট কোথায় মামলা করিল? কোথায় আপত্তি? কোথায় রিটার্ন সংশোধন? কিছুই নাই। এই সম্পূর্ণ নীরবতাই প্রমাণ করে যে "জালিয়াতি তত্ত্ব" কেবল একটি ভিত্তিহীন অনুমান।</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আব্দুল আলী সংশ্লিষ্ট মৌজায় স্বীয় নামে প্রকাশ্যে সম্পত্তি ক্রয় ও ভোগদখল করিতেছিলেন। উক্ত দলিলভুক্ত জমি SA ২৩৮ নং খতিয়ানের অন্তর্ভুক্ত জমিরই অংশ ছিল। উল্লেখযোগ্য যে, এই ব্যক্তিগত ক্রয়ে সোনাভানু বা তাহার উত্তরাধিকারীগণের কোনো দাবি বা অংশর্দারিত্বের উল্লেখ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 নবাব এস্টেট রিটার্নে ভুল করিয়াছে, রিটার্ন প্রস্তুতকারীগণ ভুল করিয়াছেন, জরিপ কর্তৃপক্ষ সরেজমিনে ভুল করিয়াছেন, Draft, Appeal এবং Revision পর্যায়ে কেহ ভুল ধরেননি এবং পরবর্তী ৫০ বছরেও কেহ মূল রেকর্ড সংশোধন করিতে পারেননি। </w:t>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Chain of Title প্রদর্শন করিয়াছেন:</w:t>
      </w:r>
    </w:p>
    <w:p>
      <w:r>
        <w:rPr>
          <w:rFonts w:ascii="Kalpurush" w:cs="Kalpurush" w:eastAsia="Kalpurush" w:hAnsi="Kalpurush"/>
          <w:b/>
          <w:bCs/>
          <w:sz w:val="20"/>
          <w:szCs w:val="20"/>
        </w:rPr>
        <w:t xml:space="preserve">CS Record → Estate Return → SA 238 → Record Room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Misc Case No. 1181/1969 — একটি সম্পূর্ণ অপ্রমাণিত কাহিনী</w:t>
      </w:r>
    </w:p>
    <w:p>
      <w:pPr>
        <w:pStyle w:val="Heading3"/>
      </w:pPr>
      <w:r>
        <w:rPr>
          <w:rFonts w:ascii="Kalpurush" w:cs="Kalpurush" w:eastAsia="Kalpurush" w:hAnsi="Kalpurush"/>
          <w:sz w:val="20"/>
          <w:szCs w:val="20"/>
        </w:rPr>
        <w:t xml:space="preserve">*(The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বিবাদীরা দাবি করেন যে ১৯৬৯ সালে একটি Misc Case-এর মাধ্যমে SA রেকর্ড সংশোধন করা হইয়াছিল। কিন্তু আইনের দৃষ্টিতে এই দাবি সম্পূর্ণ ভিত্তিহীন।</w:t>
      </w:r>
    </w:p>
    <w:p>
      <w:r>
        <w:rPr>
          <w:rFonts w:ascii="Kalpurush" w:cs="Kalpurush" w:eastAsia="Kalpurush" w:hAnsi="Kalpurush"/>
        </w:rPr>
        <w:t xml:space="preserve"/>
      </w:r>
    </w:p>
    <w:p>
      <w:r>
        <w:rPr>
          <w:rFonts w:ascii="Kalpurush" w:cs="Kalpurush" w:eastAsia="Kalpurush" w:hAnsi="Kalpurush"/>
          <w:b/>
          <w:bCs/>
          <w:sz w:val="20"/>
          <w:szCs w:val="20"/>
        </w:rPr>
        <w:t xml:space="preserve">প্রথমত — দলিলাদির সম্পূর্ণ অনুপস্থিতি:</w:t>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(Section 144A)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b/>
          <w:bCs/>
          <w:sz w:val="20"/>
          <w:szCs w:val="20"/>
        </w:rPr>
        <w:t xml:space="preserve">দ্বিতীয়ত — এখতিয়ারগত শূন্যতা:</w:t>
      </w:r>
    </w:p>
    <w:p>
      <w:r>
        <w:rPr>
          <w:rFonts w:ascii="Kalpurush" w:cs="Kalpurush" w:eastAsia="Kalpurush" w:hAnsi="Kalpurush"/>
          <w:sz w:val="20"/>
          <w:szCs w:val="20"/>
        </w:rPr>
        <w:t xml:space="preserve">SAT Act ধারা ১৪৩/১৪৪ অনুযায়ী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 মূল আদেশের অভাবে আইনত মূল্যহীন</w:t>
      </w:r>
    </w:p>
    <w:p>
      <w:pPr>
        <w:pStyle w:val="Heading3"/>
      </w:pPr>
      <w:r>
        <w:rPr>
          <w:rFonts w:ascii="Kalpurush" w:cs="Kalpurush" w:eastAsia="Kalpurush" w:hAnsi="Kalpurush"/>
          <w:sz w:val="20"/>
          <w:szCs w:val="20"/>
        </w:rPr>
        <w:t xml:space="preserve">*(The Dependent Invalidity &amp; Silence of Record Room)*</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w:t>
      </w:r>
    </w:p>
    <w:p>
      <w:r>
        <w:rPr>
          <w:rFonts w:ascii="Kalpurush" w:cs="Kalpurush" w:eastAsia="Kalpurush" w:hAnsi="Kalpurush"/>
          <w:sz w:val="20"/>
          <w:szCs w:val="20"/>
        </w:rPr>
        <w:t xml:space="preserve">যেহেতু ১৯৬৯ সালের Misc Case-টি আদালতে সম্পূর্ণ অপ্রমাণিত (Issue 3), সেহেতু সেই অপ্রমাণিত আদেশের ভিত্তিতে AC Land অফিসে ভিন্ন কালিতে লেখা Volume Note-টিও </w:t>
      </w:r>
      <w:r>
        <w:rPr>
          <w:rFonts w:ascii="Kalpurush" w:cs="Kalpurush" w:eastAsia="Kalpurush" w:hAnsi="Kalpurush"/>
          <w:b/>
          <w:bCs/>
          <w:sz w:val="20"/>
          <w:szCs w:val="20"/>
        </w:rPr>
        <w:t xml:space="preserve">স্বয়ংক্রিয়ভাবে আইনত মূল্যহীন।</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The Silence of the Record Room (The Ultimate Proof of Falsity):</w:t>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এই নীরবতা প্রমাণ করে যে, কথিত সংশোধন একটি সাজানো গল্প।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 আদালতকে দুইটি পথের মধ্যে একটি বেছে লইতে হইবে। </w:t>
      </w:r>
    </w:p>
    <w:p>
      <w:r>
        <w:rPr>
          <w:rFonts w:ascii="Kalpurush" w:cs="Kalpurush" w:eastAsia="Kalpurush" w:hAnsi="Kalpurush"/>
          <w:b/>
          <w:bCs/>
          <w:sz w:val="20"/>
          <w:szCs w:val="20"/>
        </w:rPr>
        <w:t xml:space="preserve">প্রথম পথ:</w:t>
      </w:r>
      <w:r>
        <w:rPr>
          <w:rFonts w:ascii="Kalpurush" w:cs="Kalpurush" w:eastAsia="Kalpurush" w:hAnsi="Kalpurush"/>
          <w:sz w:val="20"/>
          <w:szCs w:val="20"/>
        </w:rPr>
        <w:t xml:space="preserve"> রাষ্ট্র কর্তৃক প্রস্তুত ও আজও অপরিবর্তিত SA ২৩৮ নং খতিয়ান, নবাব এস্টেটের খাজনা রসিদ, রেজিস্ট্রিকৃত দলিল এবং Section 144A-এর Statutory Presumption। </w:t>
      </w:r>
    </w:p>
    <w:p>
      <w:r>
        <w:rPr>
          <w:rFonts w:ascii="Kalpurush" w:cs="Kalpurush" w:eastAsia="Kalpurush" w:hAnsi="Kalpurush"/>
          <w:b/>
          <w:bCs/>
          <w:sz w:val="20"/>
          <w:szCs w:val="20"/>
        </w:rPr>
        <w:t xml:space="preserve">দ্বিতীয় পথ:</w:t>
      </w:r>
      <w:r>
        <w:rPr>
          <w:rFonts w:ascii="Kalpurush" w:cs="Kalpurush" w:eastAsia="Kalpurush" w:hAnsi="Kalpurush"/>
          <w:sz w:val="20"/>
          <w:szCs w:val="20"/>
        </w:rPr>
        <w:t xml:space="preserve"> একটি অপ্রমাণিত Misc Case, একটি parent-order বিহীন AC Land volume note, এবং নিজেদের ১৯৭৫ সালের দলিল দ্বারা খণ্ডিত প্রতিরক্ষা। </w:t>
      </w:r>
    </w:p>
    <w:p>
      <w:r>
        <w:rPr>
          <w:rFonts w:ascii="Kalpurush" w:cs="Kalpurush" w:eastAsia="Kalpurush" w:hAnsi="Kalpurush"/>
        </w:rPr>
        <w:t xml:space="preserve"/>
      </w:r>
    </w:p>
    <w:p>
      <w:r>
        <w:rPr>
          <w:rFonts w:ascii="Kalpurush" w:cs="Kalpurush" w:eastAsia="Kalpurush" w:hAnsi="Kalpurush"/>
          <w:sz w:val="20"/>
          <w:szCs w:val="20"/>
        </w:rPr>
        <w:t xml:space="preserve">আইন সর্বদা প্রমাণিত রেকর্ডের পক্ষে দাঁড়ায়; অপ্রমাণিত কাহিনীর পক্ষে নয়। অতএব ট্রায়াল কোর্টের রায় রহিত করিয়া আপীল মঞ্জুর ও Preliminary Decree প্রদান ন্যায়সঙ্গত।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2026-06-11T07:52:56.409Z</dcterms:created>
  <dcterms:modified xsi:type="dcterms:W3CDTF">2026-06-11T07:52:56.409Z</dcterms:modified>
</cp:coreProperties>
</file>

<file path=docProps/custom.xml><?xml version="1.0" encoding="utf-8"?>
<Properties xmlns="http://schemas.openxmlformats.org/officeDocument/2006/custom-properties" xmlns:vt="http://schemas.openxmlformats.org/officeDocument/2006/docPropsVTypes"/>
</file>