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শুনানি সহায়িকা — সংক্ষিপ্ত যুক্তিতর্ক (Version 48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 মিনিটের রোডম্যাপ (The Hearing Pitch)</w:t>
      </w:r>
    </w:p>
    <w:p>
      <w:r>
        <w:rPr>
          <w:rFonts w:ascii="Kalpurush" w:cs="Kalpurush" w:eastAsia="Kalpurush" w:hAnsi="Kalpurush"/>
        </w:rPr>
        <w:t xml:space="preserve"/>
      </w:r>
    </w:p>
    <w:p>
      <w:r>
        <w:rPr>
          <w:rFonts w:ascii="Kalpurush" w:cs="Kalpurush" w:eastAsia="Kalpurush" w:hAnsi="Kalpurush"/>
          <w:b/>
          <w:bCs/>
          <w:sz w:val="20"/>
          <w:szCs w:val="20"/>
        </w:rPr>
        <w:t xml:space="preserve">মিনিট ১ (The Core Premise &amp; State Recognition):</w:t>
      </w:r>
    </w:p>
    <w:p>
      <w:r>
        <w:rPr>
          <w:rFonts w:ascii="Kalpurush" w:cs="Kalpurush" w:eastAsia="Kalpurush" w:hAnsi="Kalpurush"/>
          <w:sz w:val="20"/>
          <w:szCs w:val="20"/>
        </w:rPr>
        <w:t xml:space="preserve">"মহামান্য আদালত, ১৯৩৪ সালের ঘটনার কোনো প্রাসঙ্গিকতা নেই। রাষ্ট্র ১৯৫২ সালে Estate Acquire করে যাচাইয়ের মাধ্যমে SA ২৩৮ খতিয়ান প্রস্তুত করেছে। District Record Room-এ এই খতিয়ান আজও অপরিবর্তিত। এই State Record, ১৩৫৭ বঙ্গাব্দের নবাব এস্টেটের রসিদ, এবং ১৯৫৭ সালের একটি Registered Deed — এই তিনটি স্বাধীন উৎস আব্দুল আলীর স্বত্ব প্রমাণ করে।"</w:t>
      </w:r>
    </w:p>
    <w:p>
      <w:r>
        <w:rPr>
          <w:rFonts w:ascii="Kalpurush" w:cs="Kalpurush" w:eastAsia="Kalpurush" w:hAnsi="Kalpurush"/>
        </w:rPr>
        <w:t xml:space="preserve"/>
      </w:r>
    </w:p>
    <w:p>
      <w:r>
        <w:rPr>
          <w:rFonts w:ascii="Kalpurush" w:cs="Kalpurush" w:eastAsia="Kalpurush" w:hAnsi="Kalpurush"/>
          <w:b/>
          <w:bCs/>
          <w:sz w:val="20"/>
          <w:szCs w:val="20"/>
        </w:rPr>
        <w:t xml:space="preserve">মিনিট ২ (Section 144A &amp; The Burden of Proof Shift):</w:t>
      </w:r>
    </w:p>
    <w:p>
      <w:r>
        <w:rPr>
          <w:rFonts w:ascii="Kalpurush" w:cs="Kalpurush" w:eastAsia="Kalpurush" w:hAnsi="Kalpurush"/>
          <w:sz w:val="20"/>
          <w:szCs w:val="20"/>
        </w:rPr>
        <w:t xml:space="preserve">"Section 144A অনুযায়ী চূড়ান্তভাবে প্রকাশিত SA খতিয়ানের Statutory Presumption রয়েছে (50 DLR 186)। আমাদের Initial Burden Discharge সম্পূর্ণ। এখন যিনি বলবেন যে এই রেকর্ড ১৯৬৯ সালে সংশোধন হয়েছে, সেই প্রমাণের সম্পূর্ণ দায় (Burden of Proof) Evidence Act Section 103 অনুযায়ী বিবাদীদের উপর। কিন্তু ট্রায়াল কোর্ট উল্টো আমাদেরকেই প্রমাণ করতে বাধ্য করেছেন।"</w:t>
      </w:r>
    </w:p>
    <w:p>
      <w:r>
        <w:rPr>
          <w:rFonts w:ascii="Kalpurush" w:cs="Kalpurush" w:eastAsia="Kalpurush" w:hAnsi="Kalpurush"/>
        </w:rPr>
        <w:t xml:space="preserve"/>
      </w:r>
    </w:p>
    <w:p>
      <w:r>
        <w:rPr>
          <w:rFonts w:ascii="Kalpurush" w:cs="Kalpurush" w:eastAsia="Kalpurush" w:hAnsi="Kalpurush"/>
          <w:b/>
          <w:bCs/>
          <w:sz w:val="20"/>
          <w:szCs w:val="20"/>
        </w:rPr>
        <w:t xml:space="preserve">মিনিট ৩ (The Unproven Misc Case):</w:t>
      </w:r>
    </w:p>
    <w:p>
      <w:r>
        <w:rPr>
          <w:rFonts w:ascii="Kalpurush" w:cs="Kalpurush" w:eastAsia="Kalpurush" w:hAnsi="Kalpurush"/>
          <w:sz w:val="20"/>
          <w:szCs w:val="20"/>
        </w:rPr>
        <w:t xml:space="preserve">"মহামান্য আদালত, বিবাদীরা ১৯৬৯ সালের Misc Case-এর দাবি করলেও তার কোনো আদেশ, রায় বা Certified Copy আদালতে দেয়নি। দেওয়ানি আদালতের Misc Case-এর মাধ্যমে State Record সংশোধন বা Title adjudicate করা যায় না (27 BLD HD 544)। এটি একটি সম্পূর্ণ ভিত্তিহীন গল্প।"</w:t>
      </w:r>
    </w:p>
    <w:p>
      <w:r>
        <w:rPr>
          <w:rFonts w:ascii="Kalpurush" w:cs="Kalpurush" w:eastAsia="Kalpurush" w:hAnsi="Kalpurush"/>
        </w:rPr>
        <w:t xml:space="preserve"/>
      </w:r>
    </w:p>
    <w:p>
      <w:r>
        <w:rPr>
          <w:rFonts w:ascii="Kalpurush" w:cs="Kalpurush" w:eastAsia="Kalpurush" w:hAnsi="Kalpurush"/>
          <w:b/>
          <w:bCs/>
          <w:sz w:val="20"/>
          <w:szCs w:val="20"/>
        </w:rPr>
        <w:t xml:space="preserve">মিনিট ৪ (The Dependent Invalidity of Volume Note):</w:t>
      </w:r>
    </w:p>
    <w:p>
      <w:r>
        <w:rPr>
          <w:rFonts w:ascii="Kalpurush" w:cs="Kalpurush" w:eastAsia="Kalpurush" w:hAnsi="Kalpurush"/>
          <w:sz w:val="20"/>
          <w:szCs w:val="20"/>
        </w:rPr>
        <w:t xml:space="preserve">"যেহেতু Misc Case-টি আদালতে সম্পূর্ণ অপ্রমাণিত, সেহেতু ঐ অদেখা আদেশের ভিত্তিতে AC Land অফিসে ভিন্ন কালিতে লেখা Volume Note-টিও স্বয়ংক্রিয়ভাবে আইনত মূল্যহীন। Parent order প্রমাণ না করে শুধুমাত্র subsidiary register-এর মার্জিন নোট দিয়ে Statutory Presumption খণ্ডন করা যায় না। ১৯৬৯ সালে সংশোধন হলে মূল Record Room খতিয়ান আজও অপরিবর্তিত থাকত না। Authoritative Record-এর নীরবতা একটি Working Copy-র কালির নোট অপেক্ষা অধিক বিশ্বাসযোগ্য।"</w:t>
      </w:r>
    </w:p>
    <w:p>
      <w:r>
        <w:rPr>
          <w:rFonts w:ascii="Kalpurush" w:cs="Kalpurush" w:eastAsia="Kalpurush" w:hAnsi="Kalpurush"/>
        </w:rPr>
        <w:t xml:space="preserve"/>
      </w:r>
    </w:p>
    <w:p>
      <w:r>
        <w:rPr>
          <w:rFonts w:ascii="Kalpurush" w:cs="Kalpurush" w:eastAsia="Kalpurush" w:hAnsi="Kalpurush"/>
          <w:b/>
          <w:bCs/>
          <w:sz w:val="20"/>
          <w:szCs w:val="20"/>
        </w:rPr>
        <w:t xml:space="preserve">মিনিট ৫ (The Fatal Admission in 1975 Deed):</w:t>
      </w:r>
    </w:p>
    <w:p>
      <w:r>
        <w:rPr>
          <w:rFonts w:ascii="Kalpurush" w:cs="Kalpurush" w:eastAsia="Kalpurush" w:hAnsi="Kalpurush"/>
          <w:sz w:val="20"/>
          <w:szCs w:val="20"/>
        </w:rPr>
        <w:t xml:space="preserve">"বিবাদীরা AC Land ভলিউম দেখিয়ে দাবি করে SA ২৩৮ খতিয়ানে আদি থেকেই শুধু ১টি দাগ (১২৫৯) ছিল। অথচ মাত্র ৬ বছর পর তাদের নিজেদের ১৯৭৫ সালের দলিলেই তারা উক্ত খতিয়ানের অধীনে ৬টি দাগের উল্লেখ করেছে! তাদের নিজস্ব দলিলই তাদের Volume Note তত্ত্বকে ধ্বংস করে দেয় (Evidence Act Section 114g)।"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প্রধান আইনি পয়েন্ট (Key Legal Points)</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Three Independent Confirmations</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আব্দুল আলীর স্বত্ব তিনটি স্বাধীন উৎসে প্রমাণিত—(১) নবাব এস্টেটের ১৩৫৭ বঙ্গাব্দের খাজনা রসিদ, (২) ১৯৫৭ সালের রেজিস্ট্রিকৃত দলিল (২৩৯৮/১৯৫৭), এবং (৩) রাষ্ট্র কর্তৃক প্রস্তুতকৃত SA ২৩৮ খতিয়ান।</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`50 DLR 186` এবং `5 SCOB (2015) AD 89` — Reliable evidence ছাড়া Statutory Presumption খণ্ডনযোগ্য নয়।</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Section 144A ও প্রমাণের দায় (Burden of Proof Shift)</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আইন:</w:t>
      </w:r>
      <w:r>
        <w:rPr>
          <w:rFonts w:ascii="Kalpurush" w:cs="Kalpurush" w:eastAsia="Kalpurush" w:hAnsi="Kalpurush"/>
          <w:sz w:val="20"/>
          <w:szCs w:val="20"/>
        </w:rPr>
        <w:t xml:space="preserve"> Evidence Act Section 103 এবং SAT Act Section 144A।</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বাদীপক্ষ State Record (SA 238) প্রদর্শন করে Initial Burden discharge করেছে। বিবাদীদের দাবি "সংশোধন হয়েছে", তাই প্রমাণের সম্পূর্ণ দায় বিবাদীদের। ট্রায়াল কোর্ট এই evidentiary standard রক্ষায় ব্যর্থ হয়েছেন (`45 DLR AD 124`)।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Misc Case অকার্যকর (The Absence of Parent Record)</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১৯৬৯ সালের Misc Case-এর কোনো কার্যবিবরণী, আদেশ বা রায় আদালতে উপস্থাপন করা হয়নি।</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আইন:</w:t>
      </w:r>
      <w:r>
        <w:rPr>
          <w:rFonts w:ascii="Kalpurush" w:cs="Kalpurush" w:eastAsia="Kalpurush" w:hAnsi="Kalpurush"/>
          <w:sz w:val="20"/>
          <w:szCs w:val="20"/>
        </w:rPr>
        <w:t xml:space="preserve"> Misc Case-এ Title Adjudication বা SA রেকর্ড সংশোধন সম্ভব নয়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Volume Note মূল্যহীন (The Dependent Invalidity)</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AC Land Volume Note একটি subsidiary working copy। যেহেতু এর Parent Order (Misc Case) অপ্রমাণিত, তাই Volume Note-টিও স্বয়ংক্রিয়ভাবে আইনত মূল্যহীন। </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`53 DLR 19` (Mutation note-এর presumptive value নাই); `18 SCOB [2023] AD 20` (Procured entry প্রতিষ্ঠিত স্বত্ব বাতিল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The Silence of the Record Room</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১৯৬৯ সালে বৈধ সংশোধন হলে District Record Room-এর মূল SA খতিয়ান আজও অপরিবর্তিত থাকত না। Authoritative Record-এর এই নীরবতা একটি Working Copy-র মার্জিন নোটের দাবিকে মিথ্যা প্রমাণ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 বিবাদীদের স্ববিরোধী দলিল (The Title-Destroying Admission)</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বিবাদীদের Volume Note দাবি করে খতিয়ানে দাগ ১টি। কিন্তু তাদের নিজেদের ১৯৭৫ সালের দলিলে দাগ ৬টি। এই স্ববিরোধিতা প্রমাণ করে ১৯৬৯ সালের সংশোধন প্রকৃতপক্ষে কার্যকর হয়নি।</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আইন:</w:t>
      </w:r>
      <w:r>
        <w:rPr>
          <w:rFonts w:ascii="Kalpurush" w:cs="Kalpurush" w:eastAsia="Kalpurush" w:hAnsi="Kalpurush"/>
          <w:sz w:val="20"/>
          <w:szCs w:val="20"/>
        </w:rPr>
        <w:t xml:space="preserve"> Evidence Act 114(গ) — নিজস্ব দলিলের অসামঞ্জস্যতা তাদের বিপক্ষেই যাবে।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 বাটোয়ারা টেকনিক্যালিটি (Partition Rules)</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পৃথক খতিয়ানে জমি থাকলে পুরো দাগ Hotchpot-এ আনা বাধ্যতামূলক নয় (`27 BLD HD 229`)। প্রাইভেট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প্রার্থিত প্রতিকার </w:t>
      </w:r>
    </w:p>
    <w:p>
      <w:r>
        <w:rPr>
          <w:rFonts w:ascii="Kalpurush" w:cs="Kalpurush" w:eastAsia="Kalpurush" w:hAnsi="Kalpurush"/>
          <w:sz w:val="20"/>
          <w:szCs w:val="20"/>
        </w:rPr>
        <w:t xml:space="preserve">ট্রায়াল কোর্ট Evidence Act Section 103-এর Burden of Proof ভুলভাবে প্রয়োগ করে এবং একটি parent-order বিহীন Volume Note-কে Statutory State Record (Section 144A)-এর উপরে স্থান দিয়ে চরম বিচারিক ভুল (Error of Law) করেছেন। </w:t>
      </w:r>
    </w:p>
    <w:p>
      <w:r>
        <w:rPr>
          <w:rFonts w:ascii="Kalpurush" w:cs="Kalpurush" w:eastAsia="Kalpurush" w:hAnsi="Kalpurush"/>
        </w:rPr>
        <w:t xml:space="preserve"/>
      </w:r>
    </w:p>
    <w:p>
      <w:r>
        <w:rPr>
          <w:rFonts w:ascii="Kalpurush" w:cs="Kalpurush" w:eastAsia="Kalpurush" w:hAnsi="Kalpurush"/>
          <w:sz w:val="20"/>
          <w:szCs w:val="20"/>
        </w:rPr>
        <w:t xml:space="preserve">অতএব, ট্রায়াল কোর্টের রায় রহিত করিয়া আপীল মঞ্জুর ও Preliminary Decree প্রদান ন্যায়সঙ্গত।</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2026-06-11T07:52:56.473Z</dcterms:created>
  <dcterms:modified xsi:type="dcterms:W3CDTF">2026-06-11T07:52:56.473Z</dcterms:modified>
</cp:coreProperties>
</file>

<file path=docProps/custom.xml><?xml version="1.0" encoding="utf-8"?>
<Properties xmlns="http://schemas.openxmlformats.org/officeDocument/2006/custom-properties" xmlns:vt="http://schemas.openxmlformats.org/officeDocument/2006/docPropsVTypes"/>
</file>