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আপীল্যান্টপক্ষের অতিরিক্ত/পরিপূরক লিখিত যুক্তিতর্ক</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সদয় অবগতির জন্য নিবেদন এই যে, আপীল মেমোরিয়ালে উত্থাপিত grounds-সমূহের ধারাবাহিকতায় নিম্নোক্ত বিষয়সমূহ বিশেষভাবে বিবেচনার দাবি রাখে। বিজ্ঞ ট্রায়াল কোর্টের রায় মূলত অনুমাননির্ভর এবং প্রতিষ্ঠিত আইনি নীতিমালার পরিপন্থী, যাহা নিম্নে ধারাবাহিকভাবে খণ্ডন করা হইল।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 মূল স্বত্বাধিকারীর (Root Tenant) পরিচয় নির্ধারণে দালিলিক ধারাবাহিকতার সম্পূর্ণ অভাব</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বিবাদীপক্ষের বক্তব্য গ্রহণ করিয়া ধরিয়া নিয়াছেন যে আব্দুল করিম ১৯৩৪ সালে পত্তনমূলে নালিশী জমির রায়ত ছিলেন এবং তাহার মৃত্যুতে উত্তরাধিকার সূত্রে সোনাভানু মালিকানা প্রাপ্ত হন।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বিবাদীপক্ষের সমগ্র দাবি দাঁড়াইয়া আছে একটি foundational proposition-এর উপর: আব্দুল করিম → প্রজা → উত্তরাধিকার → সোনাভানু → পরবর্তী হস্তান্তর। *Before treating the SA record as incorrect, who proved that Abdul Karim was ever the raiyat in the first place?* আব্দুল করিম কীভাবে বা কোন বৈধ দলিলের মাধ্যমে নালিশী জমির রায়ত হইলেন, তাহার কোনো দালিলিক প্রমাণ (পাট্টা, কবুলিয়ত, বা অনুমোদিত সেটেলমেন্ট ডকুমেন্ট) আদালতে উপস্থাপন করা হয় নাই। চেইনের প্রথম ভিত্তিটিই যদি দালিলিক প্রমাণে প্রতিষ্ঠিত না হয়, তবে পরবর্তী চেইনের উপর ভিত্তি করিয়া স্বত্ব প্রতিষ্ঠা করা অসম্ভব।</w:t>
      </w:r>
    </w:p>
    <w:p>
      <w:r>
        <w:rPr>
          <w:rFonts w:ascii="Kalpurush" w:cs="Kalpurush" w:eastAsia="Kalpurush" w:hAnsi="Kalpurush"/>
        </w:rPr>
        <w:t xml:space="preserve"/>
      </w:r>
    </w:p>
    <w:p>
      <w:r>
        <w:rPr>
          <w:rFonts w:ascii="Kalpurush" w:cs="Kalpurush" w:eastAsia="Kalpurush" w:hAnsi="Kalpurush"/>
          <w:sz w:val="20"/>
          <w:szCs w:val="20"/>
        </w:rPr>
        <w:t xml:space="preserve">তদুপরি, Registration Act, 1908-এর ধারা ১৭ অনুযায়ী এক বছরের অধিক মেয়াদের স্থাবর সম্পত্তির পত্তন রেজিস্ট্রি বাধ্যতামূলক এবং ধারা ৪৯ অনুযায়ী অনিবন্ধিত দলিল সাক্ষ্য হিসেবে গ্রহণযোগ্য নহে। এমনকি যদি ১৯৩৪ সালের কথিত পত্তন সত্যও হইত, তবুও SAT Act, 1950 কার্যকর হওয়ার পর তাহা আইনের বলে (by operation of law) স্বয়ংক্রিয়ভাবে বিলুপ্ত হইয়া যাইত।</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নালিশী সম্পত্তির পূর্ববর্তী CS রেকর্ডে (CS খতিয়ান ২) আব্দুল করিমের নাম ব্যক্তিগত রায়ত হিসেবে নাই — বরং ইহা নবাব এস্টেটের খাস জমি হিসেবে প্রতিফলিত। কোনো ব্যক্তিগত রায়তের নাম না থাকা এবং বিবাদীপক্ষের ১৯৩৪ সালের কথিত পত্তনের কোনো primary evidence দেখাইতে ব্যর্থ হওয়া প্রমাণ করে যে আব্দুল করিমের মালিকানার দাবিটি ভিত্তিহীন। রাষ্ট্র পরবর্তীতে সরেজমিনে তদন্তের মাধ্যমে আব্দুল আলীকেই একমাত্র স্বীকৃত প্রজা হিসেবে গণ্য করিয়াছে — এবং এই State Recognition-ই এই মামলার প্রকৃত সূচনা বিন্দু, ১৯৩৪ সালের অপ্রমাণিত গল্প নহে।</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r>
        <w:rPr>
          <w:rFonts w:ascii="Kalpurush" w:cs="Kalpurush" w:eastAsia="Kalpurush" w:hAnsi="Kalpurush"/>
          <w:i/>
          <w:iCs/>
          <w:sz w:val="20"/>
          <w:szCs w:val="20"/>
        </w:rPr>
        <w:t xml:space="preserve"> যথাযথ কর্তৃপক্ষের অনুমোদন বা বৈধ ভিত্তি ছাড়া কথিত পত্তন বা স্বত্ব দাবি আইনত void ab initio।</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 SAT Act-এর ধারা ৮৬ মূলে অনিবন্ধিত পত্তন স্বয়ংক্রিয়ভাবে বিলুপ্ত।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r>
        <w:rPr>
          <w:rFonts w:ascii="Kalpurush" w:cs="Kalpurush" w:eastAsia="Kalpurush" w:hAnsi="Kalpurush"/>
          <w:i/>
          <w:iCs/>
          <w:sz w:val="20"/>
          <w:szCs w:val="20"/>
        </w:rPr>
        <w:t xml:space="preserve"> সালামি রশিদ Chief Manager-এর অনুমোদন ছাড়া প্রজা স্বত্ব সৃষ্টি করে না।</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 SA ২৩৮ নং খতিয়ানের সংবিধিবদ্ধ প্রামাণ্যতা এবং Burden of Proof-এর ভুল প্রয়োগ</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SA ২৩৮ নং খতিয়ানকে ভুল বলিয়া ধরিয়া নিয়াছেন এবং বাদীদের উপর এই খতিয়ান সঠিক প্রমাণের দায়ভার (burden of proof) চাপাইয়াছেন।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চূড়ান্তভাবে প্রকাশিত (finally published) Record of Rights-এর SAT Act, 1950-এর Section 144A অনুযায়ী একটি statutory presumption of correctness রহিয়াছে। যে পক্ষ এই রেকর্ডকে ভুল দাবি করে, আইন অনুযায়ী সেই পক্ষকেই (Evidence Act Section 103) প্রমাণ করিতে হইবে কেন ইহা ভুল। বিজ্ঞ আদালত এই burden উল্টাইয়া দিয়া বাদীদের উপর চাপাইয়াছেন, যাহা সাক্ষ্য আইনের সম্পূর্ণ পরিপন্থী।</w:t>
      </w:r>
    </w:p>
    <w:p>
      <w:r>
        <w:rPr>
          <w:rFonts w:ascii="Kalpurush" w:cs="Kalpurush" w:eastAsia="Kalpurush" w:hAnsi="Kalpurush"/>
        </w:rPr>
        <w:t xml:space="preserve"/>
      </w:r>
    </w:p>
    <w:p>
      <w:r>
        <w:rPr>
          <w:rFonts w:ascii="Kalpurush" w:cs="Kalpurush" w:eastAsia="Kalpurush" w:hAnsi="Kalpurush"/>
          <w:sz w:val="20"/>
          <w:szCs w:val="20"/>
        </w:rPr>
        <w:t xml:space="preserve">বিবাদীদের তত্ত্ব গ্রহণ করিতে হইলে আদালতকে একযোগে বিশ্বাস করিতে হইবে যে — SA জরিপ কর্তৃপক্ষ সরেজমিনে ভুল করিয়াছেন; Draft Khatian আপত্তি পর্যায়ে কেহ ভুল ধরেন নাই; Appeal ও Revision পর্যায়েও কেহ ভুল ধরেন নাই; এবং পরবর্তী ৫০ বছরের অধিক সময়েও কেহ মূল রেকর্ড সংশোধন করিতে পারেন নাই। </w:t>
      </w:r>
      <w:r>
        <w:rPr>
          <w:rFonts w:ascii="Kalpurush" w:cs="Kalpurush" w:eastAsia="Kalpurush" w:hAnsi="Kalpurush"/>
          <w:b/>
          <w:bCs/>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SA ২৩৮ নং খতিয়ানে আব্দুল আলীর নাম এককভাবে রেকর্ডভুক্ত হইয়াছে এবং এই রেকর্ড দীর্ঘদিন জেলা রেকর্ড রুমে অপরিবর্তিত রহিয়াছে। পূর্ববর্তী CS রেকর্ডে কোনো ব্যক্তিগত রায়ত না থাকা, SA রেকর্ডে আব্দুল আলীর নাম আসা, এবং পরবর্তী registered transaction (১৯৫৭ সালের ২৩৯৮ নং দলিল) আব্দুল আলীর নামের সাথে সামঞ্জস্যপূর্ণ হওয়া — এই সমস্ত পরিস্থিতি SA রেকর্ডের সত্যতাকে সমর্থনকারী পরিস্থিতিগত প্রমাণ (corroborative circumstance) হিসেবে কাজ করে। বিবাদীপক্ষ এই রেকর্ডের বিপরীতে কোনো শক্তিশালী foundational document দেখাইতে পারে নাই।</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(HD)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Nurul Islam vs. Asst. Settlement Officer, 5 SCOB (2015) AD 89:</w:t>
      </w:r>
      <w:r>
        <w:rPr>
          <w:rFonts w:ascii="Kalpurush" w:cs="Kalpurush" w:eastAsia="Kalpurush" w:hAnsi="Kalpurush"/>
          <w:i/>
          <w:iCs/>
          <w:sz w:val="20"/>
          <w:szCs w:val="20"/>
        </w:rPr>
        <w:t xml:space="preserve"> চূড়ান্তভাবে প্রকাশিত SA খতিয়ান statutory presumption বহন 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Azizul Hoque vs. Md. Akbar Ali, 10 BLT (AD) 105:</w:t>
      </w:r>
      <w:r>
        <w:rPr>
          <w:rFonts w:ascii="Kalpurush" w:cs="Kalpurush" w:eastAsia="Kalpurush" w:hAnsi="Kalpurush"/>
          <w:i/>
          <w:iCs/>
          <w:sz w:val="20"/>
          <w:szCs w:val="20"/>
        </w:rPr>
        <w:t xml:space="preserve"> *"The burden of proving the error lies on the challenging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Sufia Bewa vs. Md. Aminul Islam, 19 SCOB [2024] HCD 85, Para 39:</w:t>
      </w:r>
      <w:r>
        <w:rPr>
          <w:rFonts w:ascii="Kalpurush" w:cs="Kalpurush" w:eastAsia="Kalpurush" w:hAnsi="Kalpurush"/>
          <w:i/>
          <w:iCs/>
          <w:sz w:val="20"/>
          <w:szCs w:val="20"/>
        </w:rPr>
        <w:t xml:space="preserve"> বাদীর দুর্বলতায় বিবাদী মালিক হয়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vs. AKM Abdul Hye, 56 DLR (AD) 53:</w:t>
      </w:r>
      <w:r>
        <w:rPr>
          <w:rFonts w:ascii="Kalpurush" w:cs="Kalpurush" w:eastAsia="Kalpurush" w:hAnsi="Kalpurush"/>
          <w:i/>
          <w:iCs/>
          <w:sz w:val="20"/>
          <w:szCs w:val="20"/>
        </w:rPr>
        <w:t xml:space="preserve"> SA/RS records have full statutory presumption of correctness under Section 144A.</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 ১৯৬৯ সালের কথিত বিবিধ মোকদ্দমা (Misc Case 1181) এবং এসি ল্যান্ড ভলিউম সংশোধনীর অসারতা</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১৯৬৯ সালের কথিত Misc Case No. 1181-এর উপর ভিত্তি করিয়া AC Land ভলিউমের একটি এন্ট্রিকে সত্য বলিয়া মানিয়া নিয়াছেন এবং ইহার দ্বারা স্বত্ব পরিবর্তিত হইয়াছে বলিয়া সিদ্ধান্ত দিয়াছেন।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বিবাদীপক্ষ কথিত Misc Case-এর কোনো application, order sheet, judgment, certified copy বা final order আদালতে দাখিল করিতে পারে নাই। *"My Lord, when the alleged root order itself is absent, the fruit derived from it cannot survive independently."* একটি parent proceeding-এর primary record ছাড়া শুধু একটি AC Land volume entry-এর উপর নির্ভর করিয়া substantive tenancy interest পরিবর্তন করা আইনত অসম্ভব। তাছাড়া, একটি Misc Case-এর order দ্বারা (যদি থাকিতও) substantive civil title adjudicated হইতে পারে না, কারণ ইহা একটি summary proceeding — CPC-র সংজ্ঞা অনুযায়ী উহাতে "Order" হয়, "Decree" নহে।</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p>
    <w:p>
      <w:r>
        <w:rPr>
          <w:rFonts w:ascii="Kalpurush" w:cs="Kalpurush" w:eastAsia="Kalpurush" w:hAnsi="Kalpurush"/>
        </w:rPr>
        <w:t xml:space="preserve"/>
      </w:r>
    </w:p>
    <w:p>
      <w:r>
        <w:rPr>
          <w:rFonts w:ascii="Kalpurush" w:cs="Kalpurush" w:eastAsia="Kalpurush" w:hAnsi="Kalpurush"/>
          <w:sz w:val="20"/>
          <w:szCs w:val="20"/>
        </w:rPr>
        <w:t xml:space="preserve">সংশ্লিষ্ট District Record Room-এর statutory record-এ এমন কোনো সংশোধনী নাই। AC Land-এর volume (working copy) এবং District Record Room-এর statutory record সমপর্যায়ের নহে। *"The most reliable witness in this case is not DW-4 — it is the District Record Room itself."* যদি ১৯৬৯ সালে বৈধ সংশোধন সংঘটিত হইয়া থাকিত, তবে তাহার সর্বপ্রথম প্রতিফলন ঘটিত District Record Room-এর মূল খতিয়ানে। অথচ আজও তাহা অপরিবর্তিত।</w:t>
      </w:r>
    </w:p>
    <w:p>
      <w:r>
        <w:rPr>
          <w:rFonts w:ascii="Kalpurush" w:cs="Kalpurush" w:eastAsia="Kalpurush" w:hAnsi="Kalpurush"/>
        </w:rPr>
        <w:t xml:space="preserve"/>
      </w:r>
    </w:p>
    <w:p>
      <w:r>
        <w:rPr>
          <w:rFonts w:ascii="Kalpurush" w:cs="Kalpurush" w:eastAsia="Kalpurush" w:hAnsi="Kalpurush"/>
          <w:b/>
          <w:bCs/>
          <w:sz w:val="20"/>
          <w:szCs w:val="20"/>
        </w:rPr>
        <w:t xml:space="preserve">সাক্ষীর বিশ্বাসযোগ্যতা সম্পূর্ণ ধ্বংসপ্রাপ্ত:</w:t>
      </w:r>
      <w:r>
        <w:rPr>
          <w:rFonts w:ascii="Kalpurush" w:cs="Kalpurush" w:eastAsia="Kalpurush" w:hAnsi="Kalpurush"/>
          <w:sz w:val="20"/>
          <w:szCs w:val="20"/>
        </w:rPr>
        <w:t xml:space="preserve"> কথিত সংশোধন প্রমাণের জন্য বিবাদীপক্ষের একমাত্র সাক্ষী DW-4 আদালতে সাক্ষ্য দিতে আসিয়া মূল রায়তের নাম বলিয়াছেন "আব্দুল আলীম" — অথচ রেকর্ডে নাম রহিয়াছে "আব্দুল আলী সেক"। তিনি আরও স্বীকার করিয়াছেন যে ভলিউম নোটটি ভিন্ন কালিতে লিখিত এবং ইহা কেন লিখা হইয়াছে বলিতে পারেন না। যিনি কথিত সংশোধনের একমাত্র সাক্ষী, তিনি সংশোধনের বিষয়বস্তু অর্থাৎ রায়তের নামটিই সঠিকভাবে বলিতে পারেন নাই।</w:t>
      </w:r>
    </w:p>
    <w:p>
      <w:r>
        <w:rPr>
          <w:rFonts w:ascii="Kalpurush" w:cs="Kalpurush" w:eastAsia="Kalpurush" w:hAnsi="Kalpurush"/>
        </w:rPr>
        <w:t xml:space="preserve"/>
      </w:r>
    </w:p>
    <w:p>
      <w:r>
        <w:rPr>
          <w:rFonts w:ascii="Kalpurush" w:cs="Kalpurush" w:eastAsia="Kalpurush" w:hAnsi="Kalpurush"/>
          <w:b/>
          <w:bCs/>
          <w:sz w:val="20"/>
          <w:szCs w:val="20"/>
        </w:rPr>
        <w:t xml:space="preserve">Selective Entry:</w:t>
      </w:r>
      <w:r>
        <w:rPr>
          <w:rFonts w:ascii="Kalpurush" w:cs="Kalpurush" w:eastAsia="Kalpurush" w:hAnsi="Kalpurush"/>
          <w:sz w:val="20"/>
          <w:szCs w:val="20"/>
        </w:rPr>
        <w:t xml:space="preserve"> কথিত এই সংশোধনীর কারণে যদি সোনাভানু মালিক হন, তবে বিবাদীপক্ষের নিজস্ব দাবি অনুযায়ীই আব্দুল করিমের অপর দুই সন্তানের বিধবা বেলুয়া ও কমলাও ওয়ারিশ ছিলেন। প্রকৃত বিচারিক আদেশ কেবল একজনের নাম এতটা selective ভাবে সংযুক্ত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উত্তরহীন প্রশ্ন:</w:t>
      </w:r>
      <w:r>
        <w:rPr>
          <w:rFonts w:ascii="Kalpurush" w:cs="Kalpurush" w:eastAsia="Kalpurush" w:hAnsi="Kalpurush"/>
          <w:sz w:val="20"/>
          <w:szCs w:val="20"/>
        </w:rPr>
        <w:t xml:space="preserve"> Record Room-এর মূল খতিয়ান আজও অপরিবর্তিত কেন? Register of Alterations-এ কোনো এন্ট্রি নাই কেন? সংশোধিত খতিয়ানের Certified Copy কোথায়? বিবাদীপক্ষ এই প্রশ্নগুলির একটিরও উত্তর দিতে পারেন নাই — যাহা Evidence Act Section 114(g)-এর অধীনে প্রতিকূল অনুমান (adverse inference) বাধ্যতামূলক করিয়া তোলে।</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Malay Miah vs. Maharam Ali, 27 BLD (HD) 544:</w:t>
      </w:r>
      <w:r>
        <w:rPr>
          <w:rFonts w:ascii="Kalpurush" w:cs="Kalpurush" w:eastAsia="Kalpurush" w:hAnsi="Kalpurush"/>
          <w:i/>
          <w:iCs/>
          <w:sz w:val="20"/>
          <w:szCs w:val="20"/>
        </w:rPr>
        <w:t xml:space="preserve"> Misc Case একটি summary proceeding এবং ইহা substantive civil title adjudicate করিতে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Mainuddin Ahammed vs. Bangladesh, 7 SCOB [2016] HCD 135:</w:t>
      </w:r>
      <w:r>
        <w:rPr>
          <w:rFonts w:ascii="Kalpurush" w:cs="Kalpurush" w:eastAsia="Kalpurush" w:hAnsi="Kalpurush"/>
          <w:i/>
          <w:iCs/>
          <w:sz w:val="20"/>
          <w:szCs w:val="20"/>
        </w:rPr>
        <w:t xml:space="preserve"> Notice ও hearing ছাড়া SA Khatian সংশোধন void।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Nurul Islam vs. Charge Officer, 10 SCOB [2018] HCD 235:</w:t>
      </w:r>
      <w:r>
        <w:rPr>
          <w:rFonts w:ascii="Kalpurush" w:cs="Kalpurush" w:eastAsia="Kalpurush" w:hAnsi="Kalpurush"/>
          <w:i/>
          <w:iCs/>
          <w:sz w:val="20"/>
          <w:szCs w:val="20"/>
        </w:rPr>
        <w:t xml:space="preserve"> চূড়ান্তভাবে প্রকাশিত SA Khatian পরবর্তীতে reopening ultra vires।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r>
        <w:rPr>
          <w:rFonts w:ascii="Kalpurush" w:cs="Kalpurush" w:eastAsia="Kalpurush" w:hAnsi="Kalpurush"/>
          <w:i/>
          <w:iCs/>
          <w:sz w:val="20"/>
          <w:szCs w:val="20"/>
        </w:rPr>
        <w:t xml:space="preserve"> Parent judicial order sheet ছাড়া ভিন্ন কালিতে/হাতে লেখা ভলিউম এন্ট্রি অকার্যকর।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Aslam vs. Salauddin, 18 BLC (HD) 235:</w:t>
      </w:r>
      <w:r>
        <w:rPr>
          <w:rFonts w:ascii="Kalpurush" w:cs="Kalpurush" w:eastAsia="Kalpurush" w:hAnsi="Kalpurush"/>
          <w:i/>
          <w:iCs/>
          <w:sz w:val="20"/>
          <w:szCs w:val="20"/>
        </w:rPr>
        <w:t xml:space="preserve"> Section 143-এর অধীন mutation কোনো judicial court-এর আদেশ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Osmanullah vs. Faizullah, 4 BLC (HD) 438:</w:t>
      </w:r>
      <w:r>
        <w:rPr>
          <w:rFonts w:ascii="Kalpurush" w:cs="Kalpurush" w:eastAsia="Kalpurush" w:hAnsi="Kalpurush"/>
          <w:i/>
          <w:iCs/>
          <w:sz w:val="20"/>
          <w:szCs w:val="20"/>
        </w:rPr>
        <w:t xml:space="preserve"> নোটিশ ছাড়া Section 143A-এর অধীন ex-parte আদেশ void ab initio।</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 ১৯৭৫ সালের ৩৫৯৬ নং দলিলে স্ববিরোধী অবস্থান (Self-Destructive Admission)</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আদালত বিবাদীপক্ষের ১৯৭৫ সালের ৩৫৯৬ নং দলিলটি গ্রহণ করিয়াছেন এবং ইহার উপর ভিত্তি করিয়া তাহাদের দাবিকে সত্য বলিয়া ধরিয়া নিয়াছেন।</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বিবাদীপক্ষের দাবি অনুযায়ী ১৯৬৯ সালের কথিত correction-এর ফলে SA ২৩৮ খতিয়ানটি শুধুমাত্র একটি দাগের (১২৫৯ দাগ) সম্পত্তিতে সীমাবদ্ধ হইয়াছে। অথচ তাহাদের নিজেদের ১৯৭৫ সালের রেজিস্ট্রিকৃত দলিলে (নং ৩৫৯৬) SA ২৩৮-এর অধীনে </w:t>
      </w:r>
      <w:r>
        <w:rPr>
          <w:rFonts w:ascii="Kalpurush" w:cs="Kalpurush" w:eastAsia="Kalpurush" w:hAnsi="Kalpurush"/>
          <w:b/>
          <w:bCs/>
          <w:sz w:val="20"/>
          <w:szCs w:val="20"/>
        </w:rPr>
        <w:t xml:space="preserve">ছয়টি দাগের</w:t>
      </w:r>
      <w:r>
        <w:rPr>
          <w:rFonts w:ascii="Kalpurush" w:cs="Kalpurush" w:eastAsia="Kalpurush" w:hAnsi="Kalpurush"/>
          <w:sz w:val="20"/>
          <w:szCs w:val="20"/>
        </w:rPr>
        <w:t xml:space="preserve"> (১২৫৯, ৭৫, ৩, ৫৪, ১২৫২ ও ১২২০) বর্ণনা রহিয়াছে।</w:t>
      </w:r>
    </w:p>
    <w:p>
      <w:r>
        <w:rPr>
          <w:rFonts w:ascii="Kalpurush" w:cs="Kalpurush" w:eastAsia="Kalpurush" w:hAnsi="Kalpurush"/>
        </w:rPr>
        <w:t xml:space="preserve"/>
      </w:r>
    </w:p>
    <w:p>
      <w:r>
        <w:rPr>
          <w:rFonts w:ascii="Kalpurush" w:cs="Kalpurush" w:eastAsia="Kalpurush" w:hAnsi="Kalpurush"/>
          <w:sz w:val="20"/>
          <w:szCs w:val="20"/>
        </w:rPr>
        <w:t xml:space="preserve">*Respondents cannot simultaneously assert: (i) that SA 238 stood corrected in 1969 and reduced to one dag; and (ii) execute a registered deed in 1975 describing six dags under the same SA khatian. Both propositions cannot stand together.*</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দাবি</w:t>
            </w:r>
          </w:p>
        </w:tc>
        <w:tc>
          <w:p>
            <w:r>
              <w:rPr>
                <w:rFonts w:ascii="Kalpurush" w:cs="Kalpurush" w:eastAsia="Kalpurush" w:hAnsi="Kalpurush"/>
                <w:sz w:val="20"/>
                <w:szCs w:val="20"/>
              </w:rPr>
              <w:t xml:space="preserve">তাহাদের নিজেদের ১৯৭৫ সালের দলিল</w:t>
            </w:r>
          </w:p>
        </w:tc>
      </w:tr>
      <w:tr>
        <w:tc>
          <w:p>
            <w:r>
              <w:rPr>
                <w:rFonts w:ascii="Kalpurush" w:cs="Kalpurush" w:eastAsia="Kalpurush" w:hAnsi="Kalpurush"/>
                <w:sz w:val="20"/>
                <w:szCs w:val="20"/>
              </w:rPr>
              <w:t xml:space="preserve">১৯৬৯ সংশোধনে SA ২৩৮-এ মাত্র </w:t>
            </w:r>
            <w:r>
              <w:rPr>
                <w:rFonts w:ascii="Kalpurush" w:cs="Kalpurush" w:eastAsia="Kalpurush" w:hAnsi="Kalpurush"/>
                <w:b/>
                <w:bCs/>
                <w:sz w:val="20"/>
                <w:szCs w:val="20"/>
              </w:rPr>
              <w:t xml:space="preserve">১টি দাগ</w:t>
            </w:r>
          </w:p>
        </w:tc>
        <w:tc>
          <w:p>
            <w:r>
              <w:rPr>
                <w:rFonts w:ascii="Kalpurush" w:cs="Kalpurush" w:eastAsia="Kalpurush" w:hAnsi="Kalpurush"/>
                <w:sz w:val="20"/>
                <w:szCs w:val="20"/>
              </w:rPr>
              <w:t xml:space="preserve">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স্পষ্টভাবে বর্ণিত</w:t>
            </w:r>
          </w:p>
        </w:tc>
      </w:tr>
      <w:tr>
        <w:tc>
          <w:p>
            <w:r>
              <w:rPr>
                <w:rFonts w:ascii="Kalpurush" w:cs="Kalpurush" w:eastAsia="Kalpurush" w:hAnsi="Kalpurush"/>
                <w:sz w:val="20"/>
                <w:szCs w:val="20"/>
              </w:rPr>
              <w:t xml:space="preserve">AC Land Volume Entry-র উপর নির্ভরশীল</w:t>
            </w:r>
          </w:p>
        </w:tc>
        <w:tc>
          <w:p>
            <w:r>
              <w:rPr>
                <w:rFonts w:ascii="Kalpurush" w:cs="Kalpurush" w:eastAsia="Kalpurush" w:hAnsi="Kalpurush"/>
                <w:sz w:val="20"/>
                <w:szCs w:val="20"/>
              </w:rPr>
              <w:t xml:space="preserve">AC Land Volume Entry-র সাথেই সাংঘর্ষিক</w:t>
            </w:r>
          </w:p>
        </w:tc>
      </w:tr>
    </w:tbl>
    <w:p>
      <w:r>
        <w:rPr>
          <w:rFonts w:ascii="Kalpurush" w:cs="Kalpurush" w:eastAsia="Kalpurush" w:hAnsi="Kalpurush"/>
        </w:rPr>
        <w:t xml:space="preserve"/>
      </w:r>
    </w:p>
    <w:p>
      <w:r>
        <w:rPr>
          <w:rFonts w:ascii="Kalpurush" w:cs="Kalpurush" w:eastAsia="Kalpurush" w:hAnsi="Kalpurush"/>
          <w:sz w:val="20"/>
          <w:szCs w:val="20"/>
        </w:rPr>
        <w:t xml:space="preserve">এই internal inconsistency প্রমাণ করে যে তাহাদের correction theory বানোয়াট এবং বিবাদীরা নিজেরাও ১৯৬৯ সালের কথিত সংশোধনকে বাস্তবে কার্যকর বলিয়া বিশ্বাস করেন নাই।</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r>
        <w:rPr>
          <w:rFonts w:ascii="Kalpurush" w:cs="Kalpurush" w:eastAsia="Kalpurush" w:hAnsi="Kalpurush"/>
          <w:sz w:val="20"/>
          <w:szCs w:val="20"/>
        </w:rPr>
        <w:t xml:space="preserve"> ইহা ছাড়াও একই দলিলে দুইটি স্বতন্ত্র অসঙ্গতি রহিয়াছে:</w:t>
      </w:r>
    </w:p>
    <w:p>
      <w:r>
        <w:rPr>
          <w:rFonts w:ascii="Kalpurush" w:cs="Kalpurush" w:eastAsia="Kalpurush" w:hAnsi="Kalpurush"/>
        </w:rPr>
        <w:t xml:space="preserve"/>
      </w:r>
    </w:p>
    <w:p>
      <w:r>
        <w:rPr>
          <w:rFonts w:ascii="Kalpurush" w:cs="Kalpurush" w:eastAsia="Kalpurush" w:hAnsi="Kalpurush"/>
          <w:b/>
          <w:bCs/>
          <w:sz w:val="20"/>
          <w:szCs w:val="20"/>
        </w:rPr>
        <w:t xml:space="preserve">নামের অসঙ্গতি:</w:t>
      </w:r>
      <w:r>
        <w:rPr>
          <w:rFonts w:ascii="Kalpurush" w:cs="Kalpurush" w:eastAsia="Kalpurush" w:hAnsi="Kalpurush"/>
          <w:sz w:val="20"/>
          <w:szCs w:val="20"/>
        </w:rPr>
        <w:t xml:space="preserve"> আরজিতে বেলুয়ার স্বামীর নাম "আব্দুল কদ্দুস" — কিন্তু এই ১৯৭৫ সালের দলিলে নাম "সোবান"। বিবাদীরা এর কোনো ব্যাখ্যা দেন নাই।</w:t>
      </w:r>
    </w:p>
    <w:p>
      <w:r>
        <w:rPr>
          <w:rFonts w:ascii="Kalpurush" w:cs="Kalpurush" w:eastAsia="Kalpurush" w:hAnsi="Kalpurush"/>
        </w:rPr>
        <w:t xml:space="preserve"/>
      </w:r>
    </w:p>
    <w:p>
      <w:r>
        <w:rPr>
          <w:rFonts w:ascii="Kalpurush" w:cs="Kalpurush" w:eastAsia="Kalpurush" w:hAnsi="Kalpurush"/>
          <w:b/>
          <w:bCs/>
          <w:sz w:val="20"/>
          <w:szCs w:val="20"/>
        </w:rPr>
        <w:t xml:space="preserve">গাণিতিক অসম্ভাবতা:</w:t>
      </w:r>
      <w:r>
        <w:rPr>
          <w:rFonts w:ascii="Kalpurush" w:cs="Kalpurush" w:eastAsia="Kalpurush" w:hAnsi="Kalpurush"/>
          <w:sz w:val="20"/>
          <w:szCs w:val="20"/>
        </w:rPr>
        <w:t xml:space="preserve"> বিবাদীদের দাবি ৩৪৯ শতাংশ + সরকারি অংশ ১৩৭ শতাংশ = ৪৮৬ শতাংশ। কিন্তু দাগের মোট জমি মাত্র ৪৭৭ শতাংশ। বাদীপক্ষের হিসাব (৩৪০ + ১৩৭ = ৪৭৭) সঠিক বলিয়া প্রমাণিত। স্বত্ব নিয়ে বিতর্ক থাকিতে পারে — </w:t>
      </w:r>
      <w:r>
        <w:rPr>
          <w:rFonts w:ascii="Kalpurush" w:cs="Kalpurush" w:eastAsia="Kalpurush" w:hAnsi="Kalpurush"/>
          <w:b/>
          <w:bCs/>
          <w:sz w:val="20"/>
          <w:szCs w:val="20"/>
        </w:rPr>
        <w:t xml:space="preserve">গণিত নিয়ে থাকিতে পারে না।</w:t>
      </w:r>
    </w:p>
    <w:p>
      <w:r>
        <w:rPr>
          <w:rFonts w:ascii="Kalpurush" w:cs="Kalpurush" w:eastAsia="Kalpurush" w:hAnsi="Kalpurush"/>
        </w:rPr>
        <w:t xml:space="preserve"/>
      </w:r>
    </w:p>
    <w:p>
      <w:r>
        <w:rPr>
          <w:rFonts w:ascii="Kalpurush" w:cs="Kalpurush" w:eastAsia="Kalpurush" w:hAnsi="Kalpurush"/>
          <w:sz w:val="20"/>
          <w:szCs w:val="20"/>
        </w:rPr>
        <w:t xml:space="preserve">বিবাদীপক্ষের নিজস্ব দলিল (Deed 3596/1975) সরাসরি তাহাদের নিজেদের alleged 1969 correction-এর দাবির সাথে সাংঘর্ষিক। ইহা Evidence Act-এর admission principle অনুযায়ী তাহাদের নিজেদের case-এর বিরুদ্ধে একটি শক্তিশালী দালিলিক সাক্ষ্য।</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1872, Sections 17, 18 ও 21:</w:t>
      </w:r>
      <w:r>
        <w:rPr>
          <w:rFonts w:ascii="Kalpurush" w:cs="Kalpurush" w:eastAsia="Kalpurush" w:hAnsi="Kalpurush"/>
          <w:i/>
          <w:iCs/>
          <w:sz w:val="20"/>
          <w:szCs w:val="20"/>
        </w:rPr>
        <w:t xml:space="preserve"> নিজের দলিলের বিবরণ Admission হিসেবে গণ্য এবং পক্ষকে আবদ্ধ 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Doctrine of Approbate and Reprobate:</w:t>
      </w:r>
      <w:r>
        <w:rPr>
          <w:rFonts w:ascii="Kalpurush" w:cs="Kalpurush" w:eastAsia="Kalpurush" w:hAnsi="Kalpurush"/>
          <w:i/>
          <w:iCs/>
          <w:sz w:val="20"/>
          <w:szCs w:val="20"/>
        </w:rPr>
        <w:t xml:space="preserve"> *"A party cannot be allowed to approbate and reprobate — assert one dag for litigation and execute a registered deed for six dags under the same khatian."* একই পক্ষ একই বিষয়ে দুইটি পরস্পরবিরোধী অবস্থান একইসাথে গ্রহণ করিতে পারে না।</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 হটচপট (Hotchpot) এবং পক্ষভুক্তির (Non-joinder) ভ্রান্ত প্রয়োগ</w:t>
      </w:r>
    </w:p>
    <w:p>
      <w:r>
        <w:rPr>
          <w:rFonts w:ascii="Kalpurush" w:cs="Kalpurush" w:eastAsia="Kalpurush" w:hAnsi="Kalpurush"/>
        </w:rPr>
        <w:t xml:space="preserve"/>
      </w:r>
    </w:p>
    <w:p>
      <w:r>
        <w:rPr>
          <w:rFonts w:ascii="Kalpurush" w:cs="Kalpurush" w:eastAsia="Kalpurush" w:hAnsi="Kalpurush"/>
          <w:b/>
          <w:bCs/>
          <w:sz w:val="20"/>
          <w:szCs w:val="20"/>
        </w:rPr>
        <w:t xml:space="preserve">ক. বিজ্ঞ ট্রায়াল কোর্টের সিদ্ধান্ত:</w:t>
      </w:r>
      <w:r>
        <w:rPr>
          <w:rFonts w:ascii="Kalpurush" w:cs="Kalpurush" w:eastAsia="Kalpurush" w:hAnsi="Kalpurush"/>
          <w:sz w:val="20"/>
          <w:szCs w:val="20"/>
        </w:rPr>
        <w:t xml:space="preserve"> বিজ্ঞ ট্রায়াল কোর্ট সিদ্ধান্ত দিয়াছেন যে, ১২৫৯ নম্বর দাগের সরকারি খাস জমি বাটোয়ারার অন্তর্ভুক্ত না করায় মামলাটি Hotchpot defect-এ দুষ্ট এবং সরকারকে পক্ষভুক্ত না করায় (Non-joinder) মামলাটি অচল — যদিও একই রায়ে বিজ্ঞ আদালত নিজেই স্বীকার করিয়াছেন: *"অত্রাকারে ও প্রকারে মামলা চলিতে আইনগত কোনো বাধা নাই।"*</w:t>
      </w:r>
    </w:p>
    <w:p>
      <w:r>
        <w:rPr>
          <w:rFonts w:ascii="Kalpurush" w:cs="Kalpurush" w:eastAsia="Kalpurush" w:hAnsi="Kalpurush"/>
        </w:rPr>
        <w:t xml:space="preserve"/>
      </w:r>
    </w:p>
    <w:p>
      <w:r>
        <w:rPr>
          <w:rFonts w:ascii="Kalpurush" w:cs="Kalpurush" w:eastAsia="Kalpurush" w:hAnsi="Kalpurush"/>
          <w:b/>
          <w:bCs/>
          <w:sz w:val="20"/>
          <w:szCs w:val="20"/>
        </w:rPr>
        <w:t xml:space="preserve">খ. কেন এই সিদ্ধান্ত অসম্ভব:</w:t>
      </w:r>
      <w:r>
        <w:rPr>
          <w:rFonts w:ascii="Kalpurush" w:cs="Kalpurush" w:eastAsia="Kalpurush" w:hAnsi="Kalpurush"/>
          <w:sz w:val="20"/>
          <w:szCs w:val="20"/>
        </w:rPr>
        <w:t xml:space="preserve"> দাগ একই হইতে পারে, কিন্তু খতিয়ান/tenancy identity পৃথক হওয়া সম্ভব। SA ২৩৮ একটি পৃথক ব্যক্তিগত tenancy। বাদীরা অন্য খতিয়ানের অন্তর্ভুক্ত সরকারি জমির উপর কোনো স্বত্ব বা বাটোয়ারা দাবি করেন নাই। যে জমির উপর কোনো share দাবি করা হয় নাই, তাহা বাদ দেওয়া কোনোভাবেই hotchpot defect সৃষ্টি করে না — বরং সরকারি জমি আনিলে সেই অংশে সহঅংশীদারিত্বের অবসান হইয়াছে বলিয়া মামলাই চলিত না। যেহেতু সরকারের বিরুদ্ধে কোনো প্রতিকার চাওয়া হয় নাই, তাই সরকারকে necessary party হিসেবে যুক্ত করার আইনগত বাধ্যবাধকতা নাই।</w:t>
      </w:r>
    </w:p>
    <w:p>
      <w:r>
        <w:rPr>
          <w:rFonts w:ascii="Kalpurush" w:cs="Kalpurush" w:eastAsia="Kalpurush" w:hAnsi="Kalpurush"/>
        </w:rPr>
        <w:t xml:space="preserve"/>
      </w:r>
    </w:p>
    <w:p>
      <w:r>
        <w:rPr>
          <w:rFonts w:ascii="Kalpurush" w:cs="Kalpurush" w:eastAsia="Kalpurush" w:hAnsi="Kalpurush"/>
          <w:b/>
          <w:bCs/>
          <w:sz w:val="20"/>
          <w:szCs w:val="20"/>
        </w:rPr>
        <w:t xml:space="preserve">গ. বিরোধী সাক্ষ্য বা দালিলিক প্রমাণ:</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পক্ষ</w:t>
            </w:r>
          </w:p>
        </w:tc>
        <w:tc>
          <w:p>
            <w:r>
              <w:rPr>
                <w:rFonts w:ascii="Kalpurush" w:cs="Kalpurush" w:eastAsia="Kalpurush" w:hAnsi="Kalpurush"/>
                <w:sz w:val="20"/>
                <w:szCs w:val="20"/>
              </w:rPr>
              <w:t xml:space="preserve">দাবি</w:t>
            </w:r>
          </w:p>
        </w:tc>
        <w:tc>
          <w:p>
            <w:r>
              <w:rPr>
                <w:rFonts w:ascii="Kalpurush" w:cs="Kalpurush" w:eastAsia="Kalpurush" w:hAnsi="Kalpurush"/>
                <w:sz w:val="20"/>
                <w:szCs w:val="20"/>
              </w:rPr>
              <w:t xml:space="preserve">সরকারি অংশ</w:t>
            </w:r>
          </w:p>
        </w:tc>
        <w:tc>
          <w:p>
            <w:r>
              <w:rPr>
                <w:rFonts w:ascii="Kalpurush" w:cs="Kalpurush" w:eastAsia="Kalpurush" w:hAnsi="Kalpurush"/>
                <w:sz w:val="20"/>
                <w:szCs w:val="20"/>
              </w:rPr>
              <w:t xml:space="preserve">মোট</w:t>
            </w:r>
          </w:p>
        </w:tc>
      </w:tr>
      <w:tr>
        <w:tc>
          <w:p>
            <w:r>
              <w:rPr>
                <w:rFonts w:ascii="Kalpurush" w:cs="Kalpurush" w:eastAsia="Kalpurush" w:hAnsi="Kalpurush"/>
                <w:sz w:val="20"/>
                <w:szCs w:val="20"/>
              </w:rPr>
              <w:t xml:space="preserve">বাদীপক্ষ</w:t>
            </w:r>
          </w:p>
        </w:tc>
        <w:tc>
          <w:p>
            <w:r>
              <w:rPr>
                <w:rFonts w:ascii="Kalpurush" w:cs="Kalpurush" w:eastAsia="Kalpurush" w:hAnsi="Kalpurush"/>
                <w:sz w:val="20"/>
                <w:szCs w:val="20"/>
              </w:rPr>
              <w:t xml:space="preserve">৩৪০</w:t>
            </w:r>
          </w:p>
        </w:tc>
        <w:tc>
          <w:p>
            <w:r>
              <w:rPr>
                <w:rFonts w:ascii="Kalpurush" w:cs="Kalpurush" w:eastAsia="Kalpurush" w:hAnsi="Kalpurush"/>
                <w:sz w:val="20"/>
                <w:szCs w:val="20"/>
              </w:rPr>
              <w:t xml:space="preserve">+ ১৩৭</w:t>
            </w:r>
          </w:p>
        </w:tc>
        <w:tc>
          <w:p>
            <w:r>
              <w:rPr>
                <w:rFonts w:ascii="Kalpurush" w:cs="Kalpurush" w:eastAsia="Kalpurush" w:hAnsi="Kalpurush"/>
                <w:sz w:val="20"/>
                <w:szCs w:val="20"/>
              </w:rPr>
              <w:t xml:space="preserve">= ৪৭৭ ✓ (দাগের মোট জমির সমান)</w:t>
            </w:r>
          </w:p>
        </w:tc>
      </w:tr>
      <w:tr>
        <w:tc>
          <w:p>
            <w:r>
              <w:rPr>
                <w:rFonts w:ascii="Kalpurush" w:cs="Kalpurush" w:eastAsia="Kalpurush" w:hAnsi="Kalpurush"/>
                <w:sz w:val="20"/>
                <w:szCs w:val="20"/>
              </w:rPr>
              <w:t xml:space="preserve">বিবাদীপক্ষ</w:t>
            </w:r>
          </w:p>
        </w:tc>
        <w:tc>
          <w:p>
            <w:r>
              <w:rPr>
                <w:rFonts w:ascii="Kalpurush" w:cs="Kalpurush" w:eastAsia="Kalpurush" w:hAnsi="Kalpurush"/>
                <w:sz w:val="20"/>
                <w:szCs w:val="20"/>
              </w:rPr>
              <w:t xml:space="preserve">৩৪৯</w:t>
            </w:r>
          </w:p>
        </w:tc>
        <w:tc>
          <w:p>
            <w:r>
              <w:rPr>
                <w:rFonts w:ascii="Kalpurush" w:cs="Kalpurush" w:eastAsia="Kalpurush" w:hAnsi="Kalpurush"/>
                <w:sz w:val="20"/>
                <w:szCs w:val="20"/>
              </w:rPr>
              <w:t xml:space="preserve">+ ১৩৭</w:t>
            </w:r>
          </w:p>
        </w:tc>
        <w:tc>
          <w:p>
            <w:r>
              <w:rPr>
                <w:rFonts w:ascii="Kalpurush" w:cs="Kalpurush" w:eastAsia="Kalpurush" w:hAnsi="Kalpurush"/>
                <w:sz w:val="20"/>
                <w:szCs w:val="20"/>
              </w:rPr>
              <w:t xml:space="preserve">= ৪৮৬ ✗ (দাগের মোট ছাড়াইয়া যায়)</w:t>
            </w:r>
          </w:p>
        </w:tc>
      </w:tr>
    </w:tbl>
    <w:p>
      <w:r>
        <w:rPr>
          <w:rFonts w:ascii="Kalpurush" w:cs="Kalpurush" w:eastAsia="Kalpurush" w:hAnsi="Kalpurush"/>
        </w:rPr>
        <w:t xml:space="preserve"/>
      </w:r>
    </w:p>
    <w:p>
      <w:r>
        <w:rPr>
          <w:rFonts w:ascii="Kalpurush" w:cs="Kalpurush" w:eastAsia="Kalpurush" w:hAnsi="Kalpurush"/>
          <w:sz w:val="20"/>
          <w:szCs w:val="20"/>
        </w:rPr>
        <w:t xml:space="preserve">রেকর্ড দৃষ্টে স্পষ্ট যে SA ২৩৮ একটি সুনির্দিষ্ট খতিয়ান এবং বাদীরা শুধুমাত্র এই খতিয়ানভুক্ত জমির বাটোয়ারা চাহিয়াছেন। উপরন্তু বিবাদীরা কোনো saham বা allotment প্রার্থনা করেন নাই — কেবল dismissal চাহিয়াছেন, যাহা প্রমাণ করে তাহাদের উদ্দেশ্য বন্টন নহে, বরং বন্টন বন্ধ রাখা।</w:t>
      </w:r>
    </w:p>
    <w:p>
      <w:r>
        <w:rPr>
          <w:rFonts w:ascii="Kalpurush" w:cs="Kalpurush" w:eastAsia="Kalpurush" w:hAnsi="Kalpurush"/>
        </w:rPr>
        <w:t xml:space="preserve"/>
      </w:r>
    </w:p>
    <w:p>
      <w:r>
        <w:rPr>
          <w:rFonts w:ascii="Kalpurush" w:cs="Kalpurush" w:eastAsia="Kalpurush" w:hAnsi="Kalpurush"/>
          <w:b/>
          <w:bCs/>
          <w:sz w:val="20"/>
          <w:szCs w:val="20"/>
        </w:rPr>
        <w:t xml:space="preserve">ঘ. প্রযোজ্য আইনি নজির (Authority):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Shahjalan Akon vs. Murshida Khanam, 27 BLD (HD) 229:</w:t>
      </w:r>
      <w:r>
        <w:rPr>
          <w:rFonts w:ascii="Kalpurush" w:cs="Kalpurush" w:eastAsia="Kalpurush" w:hAnsi="Kalpurush"/>
          <w:i/>
          <w:iCs/>
          <w:sz w:val="20"/>
          <w:szCs w:val="20"/>
        </w:rPr>
        <w:t xml:space="preserve"> পৃথক খতিয়ান পৃথক tenancy সৃষ্টি করে; সংলগ্ন সরকারি জমি বাদ দিলে hotchpot defect তৈরি হয় পণ্ডিত হয়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প্রাইভেট কো-শেয়ারারদের মধ্যে বাটোয়ারা মামলায় সরকার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Necessary party না হইলে non-joinder মামলা খারিজের কারণ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Chinmoy Chowdhury vs. Sree Mridul Chowdhury, 23 BLD (AD) 83:</w:t>
      </w:r>
      <w:r>
        <w:rPr>
          <w:rFonts w:ascii="Kalpurush" w:cs="Kalpurush" w:eastAsia="Kalpurush" w:hAnsi="Kalpurush"/>
          <w:i/>
          <w:iCs/>
          <w:sz w:val="20"/>
          <w:szCs w:val="20"/>
        </w:rPr>
        <w:t xml:space="preserve"> *"Civil courts' jurisdiction cannot be made dependent on the mercy of a dishonest or reckless defendant. All incidental questions of title can be decided in a partition suit."*</w:t>
      </w:r>
    </w:p>
    <w:p>
      <w:r>
        <w:rPr>
          <w:rFonts w:ascii="Kalpurush" w:cs="Kalpurush" w:eastAsia="Kalpurush" w:hAnsi="Kalpurush"/>
        </w:rPr>
        <w:t xml:space="preserve"/>
      </w:r>
    </w:p>
    <w:p>
      <w:r>
        <w:rPr>
          <w:rFonts w:ascii="Kalpurush" w:cs="Kalpurush" w:eastAsia="Kalpurush" w:hAnsi="Kalpurush"/>
          <w:sz w:val="20"/>
          <w:szCs w:val="20"/>
        </w:rPr>
        <w:t xml:space="preserve">অতএব বিজ্ঞ ট্রায়াল কোর্টের এই সিদ্ধান্ত আইন ও সাক্ষ্যের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উপসংহার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মূল প্রশ্ন হইল কার দাবির পেছনে একটি সম্পূর্ণ ও আইনসম্মত দালিলিক চেইন রহিয়াছে।</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আপীল্যান্টদের চেইন:</w:t>
      </w:r>
      <w:r>
        <w:rPr>
          <w:rFonts w:ascii="Kalpurush" w:cs="Kalpurush" w:eastAsia="Kalpurush" w:hAnsi="Kalpurush"/>
          <w:sz w:val="20"/>
          <w:szCs w:val="20"/>
        </w:rPr>
        <w:t xml:space="preserve"> CS খাস → State Acquisition → SA 238 (Abdul Ali) → subsequent registered transaction (1957) → preserved District Record। এই চেইনের প্রতিটি গুরুত্বপূর্ণ লিঙ্ক দালিলিক প্রমাণ দ্বারা প্রতিষ্ঠিত।</w:t>
      </w:r>
    </w:p>
    <w:p>
      <w:r>
        <w:rPr>
          <w:rFonts w:ascii="Kalpurush" w:cs="Kalpurush" w:eastAsia="Kalpurush" w:hAnsi="Kalpurush"/>
        </w:rPr>
        <w:t xml:space="preserve"/>
      </w:r>
    </w:p>
    <w:p>
      <w:r>
        <w:rPr>
          <w:rFonts w:ascii="Kalpurush" w:cs="Kalpurush" w:eastAsia="Kalpurush" w:hAnsi="Kalpurush"/>
          <w:b/>
          <w:bCs/>
          <w:sz w:val="20"/>
          <w:szCs w:val="20"/>
        </w:rPr>
        <w:t xml:space="preserve">বিবাদীপক্ষের চেইন:</w:t>
      </w:r>
      <w:r>
        <w:rPr>
          <w:rFonts w:ascii="Kalpurush" w:cs="Kalpurush" w:eastAsia="Kalpurush" w:hAnsi="Kalpurush"/>
          <w:sz w:val="20"/>
          <w:szCs w:val="20"/>
        </w:rPr>
        <w:t xml:space="preserve"> কথিত 1934 settlement → কথিত inheritance → কথিত Misc Case 1181/1969 → কথিত correction → unexplained AC Land volume entry। এই চেইনের সবচেয়ে গুরুত্বপূর্ণ লিঙ্কগুলির (root tenancy এবং correction order) কোনো primary evidence নাই।</w:t>
      </w:r>
    </w:p>
    <w:p>
      <w:r>
        <w:rPr>
          <w:rFonts w:ascii="Kalpurush" w:cs="Kalpurush" w:eastAsia="Kalpurush" w:hAnsi="Kalpurush"/>
        </w:rPr>
        <w:t xml:space="preserve"/>
      </w:r>
    </w:p>
    <w:p>
      <w:r>
        <w:rPr>
          <w:rFonts w:ascii="Kalpurush" w:cs="Kalpurush" w:eastAsia="Kalpurush" w:hAnsi="Kalpurush"/>
          <w:sz w:val="20"/>
          <w:szCs w:val="20"/>
        </w:rPr>
        <w:t xml:space="preserve">আমরা বলিতেছি না যে SA record কখনও ভুল হইতে পারে না। আমরা বলিতেছি — যে পক্ষ বলিতেছে SA 238 ভুল, সংশোধিত, এবং একজন নতুন ব্যক্তিকে তাহার মধ্যে substantive interest দেওয়া হইয়াছিল, সেই পক্ষকে অন্তত সেই correction-এর legal source (যেমন Misc Case 1181-এর primary order) দেখাইতে হইবে। </w:t>
      </w:r>
      <w:r>
        <w:rPr>
          <w:rFonts w:ascii="Kalpurush" w:cs="Kalpurush" w:eastAsia="Kalpurush" w:hAnsi="Kalpurush"/>
          <w:b/>
          <w:bCs/>
          <w:sz w:val="20"/>
          <w:szCs w:val="20"/>
        </w:rPr>
        <w:t xml:space="preserve">Consequential volume entry কখনো foundational proof-এর বিকল্প হইতে পারে না। একাধিক দুর্বল circumstance-কে একত্র করিয়া একটি missing foundation পূরণ করা যায় না — ইহাই বিজ্ঞ ট্রায়াল কোর্টের রায়ের মৌলিক দুর্বলতা।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বিনীত প্রার্থনা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আদালতের নিকট বিনীত প্রার্থনা এই যে —</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বিজ্ঞ নিম্ন আদালতের ০৫/০৪/২০২৬ তারিখের judgment এবং ০৯/০৪/২০২৬ তারিখের decree বাতিল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 প্রতিফলিত আপীল্যান্টদের predecessor আব্দুল আলীর স্বত্ব নির্ধারণপূর্বক আপীল্যান্ট/বাদীপক্ষ ও ১নং রেসপন্ডেন্টের অনুকূলে বাটোয়ারার প্রাথমিক ডিক্রি (Preliminary Decree)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একজন অ্যাডভোকেট কমিশনার নিয়োগ করিয়া সরকারের খাস খতিয়ানভুক্ত সম্পত্তিতে হস্তক্ষেপ না করিয়া কেবল SA ২৩৮ নং খতিয়ানের জমি বন্টনের নির্দেশ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আপিল মঞ্জুর করিয়া ন্যায়বিচার নিশ্চিত করা হউক।</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2026-08-14T09:17:12.611Z</dcterms:created>
  <dcterms:modified xsi:type="dcterms:W3CDTF">2026-08-14T09:17:12.615Z</dcterms:modified>
</cp:coreProperties>
</file>

<file path=docProps/custom.xml><?xml version="1.0" encoding="utf-8"?>
<Properties xmlns="http://schemas.openxmlformats.org/officeDocument/2006/custom-properties" xmlns:vt="http://schemas.openxmlformats.org/officeDocument/2006/docPropsVTypes"/>
</file>