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সারাংশ: আপীল মামলা নং ৩৮/২০২৬</w:t>
      </w:r>
    </w:p>
    <w:p>
      <w:r>
        <w:rPr>
          <w:rFonts w:ascii="Kalpurush" w:cs="Kalpurush" w:eastAsia="Kalpurush" w:hAnsi="Kalpurush"/>
          <w:sz w:val="20"/>
          <w:szCs w:val="20"/>
        </w:rPr>
        <w:t xml:space="preserve">(বাটোয়ারা মামলা নং ৬৬/২০১৬)</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w:t>
      </w:r>
      <w:r>
        <w:rPr>
          <w:rFonts w:ascii="Kalpurush" w:cs="Kalpurush" w:eastAsia="Kalpurush" w:hAnsi="Kalpurush"/>
          <w:sz w:val="20"/>
          <w:szCs w:val="20"/>
        </w:rPr>
        <w:t xml:space="preserve"> বনাম </w:t>
      </w:r>
      <w:r>
        <w:rPr>
          <w:rFonts w:ascii="Kalpurush" w:cs="Kalpurush" w:eastAsia="Kalpurush" w:hAnsi="Kalpurush"/>
          <w:b/>
          <w:bCs/>
          <w:sz w:val="20"/>
          <w:szCs w:val="20"/>
        </w:rPr>
        <w:t xml:space="preserve">আলহাজ উদ্দিন ও অন্যান্য (রেসপন্ডেন্ট)</w:t>
      </w:r>
    </w:p>
    <w:p>
      <w:r>
        <w:rPr>
          <w:rFonts w:ascii="Kalpurush" w:cs="Kalpurush" w:eastAsia="Kalpurush" w:hAnsi="Kalpurush"/>
        </w:rPr>
        <w:t xml:space="preserve"/>
      </w:r>
    </w:p>
    <w:p>
      <w:r>
        <w:rPr>
          <w:rFonts w:ascii="Kalpurush" w:cs="Kalpurush" w:eastAsia="Kalpurush" w:hAnsi="Kalpurush"/>
          <w:sz w:val="20"/>
          <w:szCs w:val="20"/>
        </w:rPr>
        <w:t xml:space="preserve">এই সারাংশটি শুনানিকালে মহামান্য আদালতের সহায়তার জন্য প্রস্তুতকৃত। বিজ্ঞ ট্রায়াল কোর্টের রায় মূলত অনুমাননির্ভর এবং আইনি নীতিমালার পরিপন্থী।</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দালিলিক ধারাবাহিকতার অভাব ও স্বয়ংক্রিয় বিলুপ্তি</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r>
        <w:rPr>
          <w:rFonts w:ascii="Kalpurush" w:cs="Kalpurush" w:eastAsia="Kalpurush" w:hAnsi="Kalpurush"/>
          <w:sz w:val="20"/>
          <w:szCs w:val="20"/>
        </w:rPr>
        <w:t xml:space="preserve"> আদালত বিবাদীপক্ষের দাবি অনুযায়ী ধরিয়া নিয়াছেন যে আব্দুল করিম ১৯৩৪ সালে পত্তনমূলে নালিশী জমির রায়ত ছিলেন।</w:t>
      </w:r>
    </w:p>
    <w:p>
      <w:r>
        <w:rPr>
          <w:rFonts w:ascii="Kalpurush" w:cs="Kalpurush" w:eastAsia="Kalpurush" w:hAnsi="Kalpurush"/>
          <w:b/>
          <w:bCs/>
          <w:sz w:val="20"/>
          <w:szCs w:val="20"/>
        </w:rPr>
        <w:t xml:space="preserve">অসম্ভবতার কারণ:</w:t>
      </w:r>
      <w:r>
        <w:rPr>
          <w:rFonts w:ascii="Kalpurush" w:cs="Kalpurush" w:eastAsia="Kalpurush" w:hAnsi="Kalpurush"/>
          <w:sz w:val="20"/>
          <w:szCs w:val="20"/>
        </w:rPr>
        <w:t xml:space="preserve"> আব্দুল করিম কীভাবে রায়ত হইলেন, তাহার কোনো দালিলিক প্রমাণ (পাট্টা, কবুলিয়ত) নাই। তাছাড়া, SAT Act-এর ধারা ৮৬ মূলে অনিবন্ধিত পত্তন স্বয়ংক্রিয়ভাবে বিলুপ্ত।</w:t>
      </w:r>
    </w:p>
    <w:p>
      <w:r>
        <w:rPr>
          <w:rFonts w:ascii="Kalpurush" w:cs="Kalpurush" w:eastAsia="Kalpurush" w:hAnsi="Kalpurush"/>
          <w:b/>
          <w:bCs/>
          <w:sz w:val="20"/>
          <w:szCs w:val="20"/>
        </w:rPr>
        <w:t xml:space="preserve">বিরোধী সাক্ষ্য:</w:t>
      </w:r>
      <w:r>
        <w:rPr>
          <w:rFonts w:ascii="Kalpurush" w:cs="Kalpurush" w:eastAsia="Kalpurush" w:hAnsi="Kalpurush"/>
          <w:sz w:val="20"/>
          <w:szCs w:val="20"/>
        </w:rPr>
        <w:t xml:space="preserve"> CS রেকর্ডে (খতিয়ান ২) আব্দুল করিম ব্যক্তিগত রায়ত ছিলেন না, ইহা নবাব এস্টেটের খাস জমি ছিল। </w:t>
      </w:r>
    </w:p>
    <w:p>
      <w:r>
        <w:rPr>
          <w:rFonts w:ascii="Kalpurush" w:cs="Kalpurush" w:eastAsia="Kalpurush" w:hAnsi="Kalpurush"/>
          <w:b/>
          <w:bCs/>
          <w:sz w:val="20"/>
          <w:szCs w:val="20"/>
        </w:rPr>
        <w:t xml:space="preserve">খণ্ডনকারী নজির:</w:t>
      </w:r>
      <w:r>
        <w:rPr>
          <w:rFonts w:ascii="Kalpurush" w:cs="Kalpurush" w:eastAsia="Kalpurush" w:hAnsi="Kalpurush"/>
          <w:sz w:val="20"/>
          <w:szCs w:val="20"/>
        </w:rPr>
        <w:t xml:space="preserve"> 12 BLC (AD) 79, 4 SCOB [2015] HCD 52, 6 BLD (AD) 70 এবং 42 DLR (HD) 434 (যথাযথ কর্তৃপক্ষের অনুমোদন ছাড়া কথিত পত্তন আইনত অকার্যকর এবং State Acquisition-এর ফলে বিলুপ্ত)।</w:t>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SA ২৩৮ নং খতিয়ান ও Burden of Proof</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r>
        <w:rPr>
          <w:rFonts w:ascii="Kalpurush" w:cs="Kalpurush" w:eastAsia="Kalpurush" w:hAnsi="Kalpurush"/>
          <w:sz w:val="20"/>
          <w:szCs w:val="20"/>
        </w:rPr>
        <w:t xml:space="preserve"> আদালত SA ২৩৮ খতিয়ানকে ভুল ধরিয়া নিয়া বাদীদের উপর তাহা সঠিক প্রমাণের দায়ভার চাপাইয়াছেন।</w:t>
      </w:r>
    </w:p>
    <w:p>
      <w:r>
        <w:rPr>
          <w:rFonts w:ascii="Kalpurush" w:cs="Kalpurush" w:eastAsia="Kalpurush" w:hAnsi="Kalpurush"/>
          <w:b/>
          <w:bCs/>
          <w:sz w:val="20"/>
          <w:szCs w:val="20"/>
        </w:rPr>
        <w:t xml:space="preserve">অসম্ভবতার কারণ:</w:t>
      </w:r>
      <w:r>
        <w:rPr>
          <w:rFonts w:ascii="Kalpurush" w:cs="Kalpurush" w:eastAsia="Kalpurush" w:hAnsi="Kalpurush"/>
          <w:sz w:val="20"/>
          <w:szCs w:val="20"/>
        </w:rPr>
        <w:t xml:space="preserve"> চূড়ান্তভাবে প্রকাশিত SA রেকর্ডের (Sec 144A) statutory presumption of correctness রহিয়াছে। ভুল প্রমাণের দায়ভার বিবাদীপক্ষের।</w:t>
      </w:r>
    </w:p>
    <w:p>
      <w:r>
        <w:rPr>
          <w:rFonts w:ascii="Kalpurush" w:cs="Kalpurush" w:eastAsia="Kalpurush" w:hAnsi="Kalpurush"/>
          <w:b/>
          <w:bCs/>
          <w:sz w:val="20"/>
          <w:szCs w:val="20"/>
        </w:rPr>
        <w:t xml:space="preserve">বিরোধী সাক্ষ্য:</w:t>
      </w:r>
      <w:r>
        <w:rPr>
          <w:rFonts w:ascii="Kalpurush" w:cs="Kalpurush" w:eastAsia="Kalpurush" w:hAnsi="Kalpurush"/>
          <w:sz w:val="20"/>
          <w:szCs w:val="20"/>
        </w:rPr>
        <w:t xml:space="preserve"> SA ২৩৮ নং খতিয়ানে এককভাবে আব্দুল আলীর নাম এবং পরবর্তী ১৯৫৭ সালের ২৩৯৮ নং registered transaction রেকর্ডের সত্যতা প্রমাণ করে।</w:t>
      </w:r>
    </w:p>
    <w:p>
      <w:r>
        <w:rPr>
          <w:rFonts w:ascii="Kalpurush" w:cs="Kalpurush" w:eastAsia="Kalpurush" w:hAnsi="Kalpurush"/>
          <w:b/>
          <w:bCs/>
          <w:sz w:val="20"/>
          <w:szCs w:val="20"/>
        </w:rPr>
        <w:t xml:space="preserve">খণ্ডনকারী নজির:</w:t>
      </w:r>
      <w:r>
        <w:rPr>
          <w:rFonts w:ascii="Kalpurush" w:cs="Kalpurush" w:eastAsia="Kalpurush" w:hAnsi="Kalpurush"/>
          <w:sz w:val="20"/>
          <w:szCs w:val="20"/>
        </w:rPr>
        <w:t xml:space="preserve"> 50 DLR (HD) 186, 5 SCOB (2015) AD 89, 10 BLT (AD) 105, 45 DLR (AD) 124, 19 SCOB [2024] HCD 85 এবং 56 DLR (AD) 53 (এসএ রেকর্ডের পূর্ণ presumption রহিয়াছে; ভুল প্রমাণের দায়িত্ব চ্যালেঞ্জকারীর)।</w:t>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কথিত বিবিধ মোকদ্দমা (Misc Case 1181) এবং ভলিউম সংশোধনী</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r>
        <w:rPr>
          <w:rFonts w:ascii="Kalpurush" w:cs="Kalpurush" w:eastAsia="Kalpurush" w:hAnsi="Kalpurush"/>
          <w:sz w:val="20"/>
          <w:szCs w:val="20"/>
        </w:rPr>
        <w:t xml:space="preserve"> আদালত ১৯৬৯ সালের Misc Case 1181-এর উপর ভিত্তি করিয়া AC Land ভলিউমের সংশোধনী সত্য বলিয়া মানিয়া নিয়াছেন।</w:t>
      </w:r>
    </w:p>
    <w:p>
      <w:r>
        <w:rPr>
          <w:rFonts w:ascii="Kalpurush" w:cs="Kalpurush" w:eastAsia="Kalpurush" w:hAnsi="Kalpurush"/>
          <w:b/>
          <w:bCs/>
          <w:sz w:val="20"/>
          <w:szCs w:val="20"/>
        </w:rPr>
        <w:t xml:space="preserve">অসম্ভবতার কারণ:</w:t>
      </w:r>
      <w:r>
        <w:rPr>
          <w:rFonts w:ascii="Kalpurush" w:cs="Kalpurush" w:eastAsia="Kalpurush" w:hAnsi="Kalpurush"/>
          <w:sz w:val="20"/>
          <w:szCs w:val="20"/>
        </w:rPr>
        <w:t xml:space="preserve"> কথিত Misc Case-এর কোনো primary record (application, judgment, order sheet) দাখিল করা হয় নাই। Parent proceeding ছাড়া শুধু volume entry-এর উপর নির্ভর করিয়া substantive title পরিবর্তন আইনত অসম্ভব।</w:t>
      </w:r>
    </w:p>
    <w:p>
      <w:r>
        <w:rPr>
          <w:rFonts w:ascii="Kalpurush" w:cs="Kalpurush" w:eastAsia="Kalpurush" w:hAnsi="Kalpurush"/>
          <w:b/>
          <w:bCs/>
          <w:sz w:val="20"/>
          <w:szCs w:val="20"/>
        </w:rPr>
        <w:t xml:space="preserve">বিরোধী সাক্ষ্য:</w:t>
      </w:r>
      <w:r>
        <w:rPr>
          <w:rFonts w:ascii="Kalpurush" w:cs="Kalpurush" w:eastAsia="Kalpurush" w:hAnsi="Kalpurush"/>
          <w:sz w:val="20"/>
          <w:szCs w:val="20"/>
        </w:rPr>
        <w:t xml:space="preserve"> District Record Room-এর statutory record-এ কোনো সংশোধনী নাই। DW-4 সাক্ষ্য দিতে আসিয়া মূল রায়তের নাম ভুল বলিয়াছেন এবং ভিন্ন কালির এন্ট্রির ব্যাখ্যা দিতে পারেন নাই। </w:t>
      </w:r>
    </w:p>
    <w:p>
      <w:r>
        <w:rPr>
          <w:rFonts w:ascii="Kalpurush" w:cs="Kalpurush" w:eastAsia="Kalpurush" w:hAnsi="Kalpurush"/>
          <w:b/>
          <w:bCs/>
          <w:sz w:val="20"/>
          <w:szCs w:val="20"/>
        </w:rPr>
        <w:t xml:space="preserve">খণ্ডনকারী নজির:</w:t>
      </w:r>
      <w:r>
        <w:rPr>
          <w:rFonts w:ascii="Kalpurush" w:cs="Kalpurush" w:eastAsia="Kalpurush" w:hAnsi="Kalpurush"/>
          <w:sz w:val="20"/>
          <w:szCs w:val="20"/>
        </w:rPr>
        <w:t xml:space="preserve"> 27 BLD (HD) 544, 53 DLR 19, 7 SCOB [2016] HCD 135, 10 SCOB [2018] HCD 235, 1 BLT (HD) 18, 18 BLC (HD) 235 এবং 4 BLC (HD) 438 (parent order ছাড়া ভলিউম ভুক্তি প্রতারণামূলক; Section 143/143A বা Misc Case দ্বারা title adjudicate হইতে পারে না)।</w:t>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১৯৭৫ সালের ৩৫৯৬ নং দলিলে স্ববিরোধী অবস্থান (Admission)</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r>
        <w:rPr>
          <w:rFonts w:ascii="Kalpurush" w:cs="Kalpurush" w:eastAsia="Kalpurush" w:hAnsi="Kalpurush"/>
          <w:sz w:val="20"/>
          <w:szCs w:val="20"/>
        </w:rPr>
        <w:t xml:space="preserve"> আদালত বিবাদীপক্ষের ১৯৭৫ সালের ৩৫৯৬ নং দলিলটি গ্রহণ করিয়াছেন।</w:t>
      </w:r>
    </w:p>
    <w:p>
      <w:r>
        <w:rPr>
          <w:rFonts w:ascii="Kalpurush" w:cs="Kalpurush" w:eastAsia="Kalpurush" w:hAnsi="Kalpurush"/>
          <w:b/>
          <w:bCs/>
          <w:sz w:val="20"/>
          <w:szCs w:val="20"/>
        </w:rPr>
        <w:t xml:space="preserve">অসম্ভবতার কারণ:</w:t>
      </w:r>
      <w:r>
        <w:rPr>
          <w:rFonts w:ascii="Kalpurush" w:cs="Kalpurush" w:eastAsia="Kalpurush" w:hAnsi="Kalpurush"/>
          <w:sz w:val="20"/>
          <w:szCs w:val="20"/>
        </w:rPr>
        <w:t xml:space="preserve"> বিবাদীদের alleged 1969 correction অনুযায়ী SA ২৩৮ খতিয়ান এক দাগের (১২৫৯) সম্পত্তিতে সীমাবদ্ধ। অথচ তাহাদের নিজেদের ১৯৭৫ সালের দলিলে ৬টি দাগের বর্ণনা রহিয়াছে। উপরন্তু দলিলে নামের অসামঞ্জস্য (কদ্দুস বনাম সোবান) এবং গাণিতিক অসম্ভাব্যতা (৩৪৯+১৩৭=৪৮৬, যেখানে মোট জমি ৪৭৭) বিদ্যমান।</w:t>
      </w:r>
    </w:p>
    <w:p>
      <w:r>
        <w:rPr>
          <w:rFonts w:ascii="Kalpurush" w:cs="Kalpurush" w:eastAsia="Kalpurush" w:hAnsi="Kalpurush"/>
          <w:b/>
          <w:bCs/>
          <w:sz w:val="20"/>
          <w:szCs w:val="20"/>
        </w:rPr>
        <w:t xml:space="preserve">বিরোধী সাক্ষ্য:</w:t>
      </w:r>
      <w:r>
        <w:rPr>
          <w:rFonts w:ascii="Kalpurush" w:cs="Kalpurush" w:eastAsia="Kalpurush" w:hAnsi="Kalpurush"/>
          <w:sz w:val="20"/>
          <w:szCs w:val="20"/>
        </w:rPr>
        <w:t xml:space="preserve"> বিবাদীপক্ষের নিজস্ব দলিল সরাসরি তাহাদের correction theory-এর সাথে সাংঘর্ষিক।</w:t>
      </w:r>
    </w:p>
    <w:p>
      <w:r>
        <w:rPr>
          <w:rFonts w:ascii="Kalpurush" w:cs="Kalpurush" w:eastAsia="Kalpurush" w:hAnsi="Kalpurush"/>
          <w:b/>
          <w:bCs/>
          <w:sz w:val="20"/>
          <w:szCs w:val="20"/>
        </w:rPr>
        <w:t xml:space="preserve">খণ্ডনকারী নজির:</w:t>
      </w:r>
      <w:r>
        <w:rPr>
          <w:rFonts w:ascii="Kalpurush" w:cs="Kalpurush" w:eastAsia="Kalpurush" w:hAnsi="Kalpurush"/>
          <w:sz w:val="20"/>
          <w:szCs w:val="20"/>
        </w:rPr>
        <w:t xml:space="preserve"> Evidence Act-এর Section 17, 18, 21 এবং 114(গ), ও Doctrine of Approbate and Reprobate (নিজের দলিলের বিবরণ পক্ষকে আবদ্ধ করে)।</w:t>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হটচপট (Hotchpot) এবং পক্ষভুক্তি (Non-joinder)</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r>
        <w:rPr>
          <w:rFonts w:ascii="Kalpurush" w:cs="Kalpurush" w:eastAsia="Kalpurush" w:hAnsi="Kalpurush"/>
          <w:sz w:val="20"/>
          <w:szCs w:val="20"/>
        </w:rPr>
        <w:t xml:space="preserve"> ১২৫৯ দাগের সরকারি খাস জমি বাটোয়ারায় অন্তর্ভুক্ত না করায় Hotchpot defect এবং সরকারকে পক্ষভুক্ত না করায় মামলাটি অচল বলিয়া সিদ্ধান্ত দিয়াছেন।</w:t>
      </w:r>
    </w:p>
    <w:p>
      <w:r>
        <w:rPr>
          <w:rFonts w:ascii="Kalpurush" w:cs="Kalpurush" w:eastAsia="Kalpurush" w:hAnsi="Kalpurush"/>
          <w:b/>
          <w:bCs/>
          <w:sz w:val="20"/>
          <w:szCs w:val="20"/>
        </w:rPr>
        <w:t xml:space="preserve">অসম্ভবতার কারণ:</w:t>
      </w:r>
      <w:r>
        <w:rPr>
          <w:rFonts w:ascii="Kalpurush" w:cs="Kalpurush" w:eastAsia="Kalpurush" w:hAnsi="Kalpurush"/>
          <w:sz w:val="20"/>
          <w:szCs w:val="20"/>
        </w:rPr>
        <w:t xml:space="preserve"> SA ২৩৮ একটি পৃথক ব্যক্তিগত tenancy। বাদীরা অন্য খতিয়ানের সরকারি জমির উপর কোনো দাবি করেন নাই। সরকারের বিরুদ্ধে কোনো প্রতিকার না চাওয়ায় তাহারা necessary party নহে।</w:t>
      </w:r>
    </w:p>
    <w:p>
      <w:r>
        <w:rPr>
          <w:rFonts w:ascii="Kalpurush" w:cs="Kalpurush" w:eastAsia="Kalpurush" w:hAnsi="Kalpurush"/>
          <w:b/>
          <w:bCs/>
          <w:sz w:val="20"/>
          <w:szCs w:val="20"/>
        </w:rPr>
        <w:t xml:space="preserve">বিরোধী সাক্ষ্য:</w:t>
      </w:r>
      <w:r>
        <w:rPr>
          <w:rFonts w:ascii="Kalpurush" w:cs="Kalpurush" w:eastAsia="Kalpurush" w:hAnsi="Kalpurush"/>
          <w:sz w:val="20"/>
          <w:szCs w:val="20"/>
        </w:rPr>
        <w:t xml:space="preserve"> বাদীর গাণিতিক হিসাব (৩৪০+১৩৭=৪৭৭) সঠিক। বিবাদীরা কোনো saham প্রার্থনা না করায় প্রমাণিত হয় যে তাহারা কেবল বন্টন বাধাগ্রস্ত করিতে চায়।</w:t>
      </w:r>
    </w:p>
    <w:p>
      <w:r>
        <w:rPr>
          <w:rFonts w:ascii="Kalpurush" w:cs="Kalpurush" w:eastAsia="Kalpurush" w:hAnsi="Kalpurush"/>
          <w:b/>
          <w:bCs/>
          <w:sz w:val="20"/>
          <w:szCs w:val="20"/>
        </w:rPr>
        <w:t xml:space="preserve">খণ্ডনকারী নজির:</w:t>
      </w:r>
      <w:r>
        <w:rPr>
          <w:rFonts w:ascii="Kalpurush" w:cs="Kalpurush" w:eastAsia="Kalpurush" w:hAnsi="Kalpurush"/>
          <w:sz w:val="20"/>
          <w:szCs w:val="20"/>
        </w:rPr>
        <w:t xml:space="preserve"> 27 BLD (HD) 229, 49 DLR (AD) 15, 8 SCOB (2016) HCD 1, এবং 23 BLD (AD) 83 (পৃথক খতিয়ান পৃথক tenancy সৃষ্টি করে; প্রাইভেট কো-শেয়ারারদের মধ্যে বাটোয়ারায় সরকার necessary party নহে)।</w:t>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চূড়ান্ত আবেদন</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দাবির পেছনে কোনো আইনি বা দালিলিক ভিত্তি (primary evidence) নাই। Consequential volume entry কখনো foundational proof-এর বিকল্প হইতে পারে না। </w:t>
      </w:r>
    </w:p>
    <w:p>
      <w:r>
        <w:rPr>
          <w:rFonts w:ascii="Kalpurush" w:cs="Kalpurush" w:eastAsia="Kalpurush" w:hAnsi="Kalpurush"/>
          <w:sz w:val="20"/>
          <w:szCs w:val="20"/>
        </w:rPr>
        <w:t xml:space="preserve">বিজ্ঞ নিম্ন আদালতের রায় ও ডিক্রি বাতিল করিয়া SA ২৩৮ নং খতিয়ানের ভিত্তিতে বাটোয়ারা অগ্রসর করার বিনীত প্রার্থনা করিতেছি।</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2026-08-14T09:17:12.665Z</dcterms:created>
  <dcterms:modified xsi:type="dcterms:W3CDTF">2026-08-14T09:17:12.665Z</dcterms:modified>
</cp:coreProperties>
</file>

<file path=docProps/custom.xml><?xml version="1.0" encoding="utf-8"?>
<Properties xmlns="http://schemas.openxmlformats.org/officeDocument/2006/custom-properties" xmlns:vt="http://schemas.openxmlformats.org/officeDocument/2006/docPropsVTypes"/>
</file>