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b/>
          <w:bCs/>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পূর্ণাঙ্গ লিখিত যুক্তিতর্ক (Version 64 — Master Appellate Brief)</w:t>
      </w:r>
    </w:p>
    <w:p>
      <w:r>
        <w:rPr>
          <w:rFonts w:ascii="Kalpurush" w:cs="Kalpurush" w:eastAsia="Kalpurush" w:hAnsi="Kalpurush"/>
        </w:rPr>
        <w:t xml:space="preserve"/>
      </w:r>
    </w:p>
    <w:p>
      <w:r>
        <w:rPr>
          <w:rFonts w:ascii="Kalpurush" w:cs="Kalpurush" w:eastAsia="Kalpurush" w:hAnsi="Kalpurush"/>
          <w:b/>
          <w:bCs/>
          <w:sz w:val="20"/>
          <w:szCs w:val="20"/>
        </w:rPr>
        <w:t xml:space="preserve">তারিখ:</w:t>
      </w:r>
      <w:r>
        <w:rPr>
          <w:rFonts w:ascii="Kalpurush" w:cs="Kalpurush" w:eastAsia="Kalpurush" w:hAnsi="Kalpurush"/>
          <w:sz w:val="20"/>
          <w:szCs w:val="20"/>
        </w:rPr>
        <w:t xml:space="preserve"> ৩০ জুলাই ২০২৬ | </w:t>
      </w:r>
      <w:r>
        <w:rPr>
          <w:rFonts w:ascii="Kalpurush" w:cs="Kalpurush" w:eastAsia="Kalpurush" w:hAnsi="Kalpurush"/>
          <w:b/>
          <w:bCs/>
          <w:sz w:val="20"/>
          <w:szCs w:val="20"/>
        </w:rPr>
        <w:t xml:space="preserve">আদালত:</w:t>
      </w:r>
      <w:r>
        <w:rPr>
          <w:rFonts w:ascii="Kalpurush" w:cs="Kalpurush" w:eastAsia="Kalpurush" w:hAnsi="Kalpurush"/>
          <w:sz w:val="20"/>
          <w:szCs w:val="20"/>
        </w:rPr>
        <w:t xml:space="preserve"> জেলা জজ আদালত, টাঙ্গাইল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EXECUTIVE SUMMARY (প্রারম্ভিক নীতি-সারসংক্ষেপ)</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Why Trial Court Must Be Reversed (কেন ট্রায়াল কোর্টের রায় বাতিলযোগ্য)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নিম্ন আদালতের ০৫-০৪-২০২৬ তারিখের বিতর্কিত রায় ও ডিক্রি টিকিয়া থাকিতে পারে না। এই আপীল মঞ্জুরপূর্বক নিম্ন আদালতের রায় রহিত করার </w:t>
      </w:r>
      <w:r>
        <w:rPr>
          <w:rFonts w:ascii="Kalpurush" w:cs="Kalpurush" w:eastAsia="Kalpurush" w:hAnsi="Kalpurush"/>
          <w:b/>
          <w:bCs/>
          <w:sz w:val="20"/>
          <w:szCs w:val="20"/>
        </w:rPr>
        <w:t xml:space="preserve">৭টি সুনির্দিষ্ট ও অখণ্ডনীয় আইনি কারণ</w:t>
      </w:r>
      <w:r>
        <w:rPr>
          <w:rFonts w:ascii="Kalpurush" w:cs="Kalpurush" w:eastAsia="Kalpurush" w:hAnsi="Kalpurush"/>
          <w:sz w:val="20"/>
          <w:szCs w:val="20"/>
        </w:rPr>
        <w:t xml:space="preserve"> নিম্নে উপস্থাপন করা হইল:</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This judgment cannot stand because —</w:t>
      </w:r>
    </w:p>
    <w:p>
      <w:r>
        <w:rPr>
          <w:rFonts w:ascii="Kalpurush" w:cs="Kalpurush" w:eastAsia="Kalpurush" w:hAnsi="Kalpurush"/>
        </w:rPr>
        <w:t xml:space="preserve"/>
      </w:r>
    </w:p>
    <w:p>
      <w:r>
        <w:rPr>
          <w:rFonts w:ascii="Kalpurush" w:cs="Kalpurush" w:eastAsia="Kalpurush" w:hAnsi="Kalpurush"/>
          <w:sz w:val="20"/>
          <w:szCs w:val="20"/>
        </w:rPr>
        <w:t xml:space="preserve">1. </w:t>
      </w:r>
      <w:r>
        <w:rPr>
          <w:rFonts w:ascii="Kalpurush" w:cs="Kalpurush" w:eastAsia="Kalpurush" w:hAnsi="Kalpurush"/>
          <w:b/>
          <w:bCs/>
          <w:sz w:val="20"/>
          <w:szCs w:val="20"/>
        </w:rPr>
        <w:t xml:space="preserve">Trial Court presumed Abdul Karim was the original raiyat without proof:</w:t>
      </w:r>
      <w:r>
        <w:rPr>
          <w:rFonts w:ascii="Kalpurush" w:cs="Kalpurush" w:eastAsia="Kalpurush" w:hAnsi="Kalpurush"/>
          <w:sz w:val="20"/>
          <w:szCs w:val="20"/>
        </w:rPr>
        <w:t xml:space="preserve"> বিজ্ঞ ট্রায়াল কোর্ট বিবাদীদের পূর্বসূরি আব্দুল করিমকে মূল প্রজা হিসেবে ধরে নিয়েছেন — অথচ বিবাদীরা কোনো পাট্টা, কবুলিয়ত, সিএস খতিয়ান বা চিফ ম্যানেজারের অনুমোদন দাখিল করতে পারেনি।</w:t>
      </w:r>
    </w:p>
    <w:p>
      <w:r>
        <w:rPr>
          <w:rFonts w:ascii="Kalpurush" w:cs="Kalpurush" w:eastAsia="Kalpurush" w:hAnsi="Kalpurush"/>
          <w:sz w:val="20"/>
          <w:szCs w:val="20"/>
        </w:rPr>
        <w:t xml:space="preserve">2. </w:t>
      </w:r>
      <w:r>
        <w:rPr>
          <w:rFonts w:ascii="Kalpurush" w:cs="Kalpurush" w:eastAsia="Kalpurush" w:hAnsi="Kalpurush"/>
          <w:b/>
          <w:bCs/>
          <w:sz w:val="20"/>
          <w:szCs w:val="20"/>
        </w:rPr>
        <w:t xml:space="preserve">Final SA Record enjoys statutory presumption:</w:t>
      </w:r>
      <w:r>
        <w:rPr>
          <w:rFonts w:ascii="Kalpurush" w:cs="Kalpurush" w:eastAsia="Kalpurush" w:hAnsi="Kalpurush"/>
          <w:sz w:val="20"/>
          <w:szCs w:val="20"/>
        </w:rPr>
        <w:t xml:space="preserve"> রাষ্ট্র কর্তৃক সরেজমিনে তদন্তের পর প্রস্তুতকৃত এবং জেলা রেকর্ড রুমে অপরিবর্তিত SA ২৩৮ খতিয়ান (আব্দুল আলী ১৬ আনা প্রজা) SAT Act, 1950-এর Section 144A অনুযায়ী আইনগত নির্ভুলতার পূর্ণ সংবিধিবদ্ধ অনুমান (Statutory Presumption) বহন করে।</w:t>
      </w:r>
    </w:p>
    <w:p>
      <w:r>
        <w:rPr>
          <w:rFonts w:ascii="Kalpurush" w:cs="Kalpurush" w:eastAsia="Kalpurush" w:hAnsi="Kalpurush"/>
          <w:sz w:val="20"/>
          <w:szCs w:val="20"/>
        </w:rPr>
        <w:t xml:space="preserve">3. </w:t>
      </w:r>
      <w:r>
        <w:rPr>
          <w:rFonts w:ascii="Kalpurush" w:cs="Kalpurush" w:eastAsia="Kalpurush" w:hAnsi="Kalpurush"/>
          <w:b/>
          <w:bCs/>
          <w:sz w:val="20"/>
          <w:szCs w:val="20"/>
        </w:rPr>
        <w:t xml:space="preserve">Burden was illegally shifted:</w:t>
      </w:r>
      <w:r>
        <w:rPr>
          <w:rFonts w:ascii="Kalpurush" w:cs="Kalpurush" w:eastAsia="Kalpurush" w:hAnsi="Kalpurush"/>
          <w:sz w:val="20"/>
          <w:szCs w:val="20"/>
        </w:rPr>
        <w:t xml:space="preserve"> বাদী খতিয়ান প্রদর্শন করে প্রমাণের প্রাথমিক দায় (Initial Burden) মেটানোর পর, ট্রায়াল কোর্ট উল্টো বাদীর উপর অন্যায়ভাবে দায়িত্ব চাপিয়েছেন বিবাদীদের অপ্রমাণিত দাবি মিথ্যা প্রমাণ করার (Negative Proof Error), যা Evidence Act-এর Section 103-এর সরাসরি লঙ্ঘন।</w:t>
      </w:r>
    </w:p>
    <w:p>
      <w:r>
        <w:rPr>
          <w:rFonts w:ascii="Kalpurush" w:cs="Kalpurush" w:eastAsia="Kalpurush" w:hAnsi="Kalpurush"/>
          <w:sz w:val="20"/>
          <w:szCs w:val="20"/>
        </w:rPr>
        <w:t xml:space="preserve">4. </w:t>
      </w:r>
      <w:r>
        <w:rPr>
          <w:rFonts w:ascii="Kalpurush" w:cs="Kalpurush" w:eastAsia="Kalpurush" w:hAnsi="Kalpurush"/>
          <w:b/>
          <w:bCs/>
          <w:sz w:val="20"/>
          <w:szCs w:val="20"/>
        </w:rPr>
        <w:t xml:space="preserve">Alleged Misc Case has no parent order:</w:t>
      </w:r>
      <w:r>
        <w:rPr>
          <w:rFonts w:ascii="Kalpurush" w:cs="Kalpurush" w:eastAsia="Kalpurush" w:hAnsi="Kalpurush"/>
          <w:sz w:val="20"/>
          <w:szCs w:val="20"/>
        </w:rPr>
        <w:t xml:space="preserve"> বিবাদীদের দাবিকৃত ১৯৬৯ সালের ১১৮১ নং Misc Case-এর কোনো রায়, ডিক্রি, আদেশনামা বা সার্টিফাইড কপি আদালতে উপস্থিত নাই। Parent Order ছাড়া কোনো সংশোধনীর অস্তিত্ব থাকতে পারে না।</w:t>
      </w:r>
    </w:p>
    <w:p>
      <w:r>
        <w:rPr>
          <w:rFonts w:ascii="Kalpurush" w:cs="Kalpurush" w:eastAsia="Kalpurush" w:hAnsi="Kalpurush"/>
          <w:sz w:val="20"/>
          <w:szCs w:val="20"/>
        </w:rPr>
        <w:t xml:space="preserve">5. </w:t>
      </w:r>
      <w:r>
        <w:rPr>
          <w:rFonts w:ascii="Kalpurush" w:cs="Kalpurush" w:eastAsia="Kalpurush" w:hAnsi="Kalpurush"/>
          <w:b/>
          <w:bCs/>
          <w:sz w:val="20"/>
          <w:szCs w:val="20"/>
        </w:rPr>
        <w:t xml:space="preserve">AC Land note cannot override DC Record Room:</w:t>
      </w:r>
      <w:r>
        <w:rPr>
          <w:rFonts w:ascii="Kalpurush" w:cs="Kalpurush" w:eastAsia="Kalpurush" w:hAnsi="Kalpurush"/>
          <w:sz w:val="20"/>
          <w:szCs w:val="20"/>
        </w:rPr>
        <w:t xml:space="preserve"> সখিপুর AC Land অফিসে ভিন্ন কালিতে লেখা ব্যাখ্যাহীন ভলিউম নোট জেলা প্রশাসকের সেন্ট্রাল রেকর্ড রুমের অপরিবর্তিত statutory record-কে বাতিল করতে পারে না। রাজস্ব কর্মকর্তার স্বত্ব খর্ব করার কোনো এখতিয়ার নাই।</w:t>
      </w:r>
    </w:p>
    <w:p>
      <w:r>
        <w:rPr>
          <w:rFonts w:ascii="Kalpurush" w:cs="Kalpurush" w:eastAsia="Kalpurush" w:hAnsi="Kalpurush"/>
          <w:sz w:val="20"/>
          <w:szCs w:val="20"/>
        </w:rPr>
        <w:t xml:space="preserve">6. </w:t>
      </w:r>
      <w:r>
        <w:rPr>
          <w:rFonts w:ascii="Kalpurush" w:cs="Kalpurush" w:eastAsia="Kalpurush" w:hAnsi="Kalpurush"/>
          <w:b/>
          <w:bCs/>
          <w:sz w:val="20"/>
          <w:szCs w:val="20"/>
        </w:rPr>
        <w:t xml:space="preserve">Respondents' own 1975 deed contradicts them:</w:t>
      </w:r>
      <w:r>
        <w:rPr>
          <w:rFonts w:ascii="Kalpurush" w:cs="Kalpurush" w:eastAsia="Kalpurush" w:hAnsi="Kalpurush"/>
          <w:sz w:val="20"/>
          <w:szCs w:val="20"/>
        </w:rPr>
        <w:t xml:space="preserve"> বিবাদীরা দাবি করে ১৯৬৯ সংশোধনের পর SA ২৩৮ খতিয়ানে মাত্র ১টি দাগ (১২৫৯) ছিল, অথচ তাহাদের নিজেদের রেজিস্ট্রিকৃত ৩৫৯৬/১৯৭৫ নং দলিলে উক্ত খতিয়ানে ৬টি দাগের উল্লেখ রয়েছে — যা তাহাদের নিজেদের কাহিনীর ভিত্তিমূল ধ্বংস করে।</w:t>
      </w:r>
    </w:p>
    <w:p>
      <w:r>
        <w:rPr>
          <w:rFonts w:ascii="Kalpurush" w:cs="Kalpurush" w:eastAsia="Kalpurush" w:hAnsi="Kalpurush"/>
          <w:sz w:val="20"/>
          <w:szCs w:val="20"/>
        </w:rPr>
        <w:t xml:space="preserve">7. </w:t>
      </w:r>
      <w:r>
        <w:rPr>
          <w:rFonts w:ascii="Kalpurush" w:cs="Kalpurush" w:eastAsia="Kalpurush" w:hAnsi="Kalpurush"/>
          <w:b/>
          <w:bCs/>
          <w:sz w:val="20"/>
          <w:szCs w:val="20"/>
        </w:rPr>
        <w:t xml:space="preserve">Therefore the judgment collapses:</w:t>
      </w:r>
      <w:r>
        <w:rPr>
          <w:rFonts w:ascii="Kalpurush" w:cs="Kalpurush" w:eastAsia="Kalpurush" w:hAnsi="Kalpurush"/>
          <w:sz w:val="20"/>
          <w:szCs w:val="20"/>
        </w:rPr>
        <w:t xml:space="preserve"> যখন বিবাদীদের কথিত স্বত্বের মূল (Root Title) এবং কথিত সংশোধন (Parent Order) উভয়ই শূন্যে মিলিয়ে যায়, তখন নিম্ন আদালতের রায় আইনি ভিত্তি হারিয়ে স্বয়ংক্রিয়ভাবে ভেঙে পড়ে (Root and Fruit Doctrine)।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1: The Fatal Error of the Trial Court — The Unproved Root Tenancy</w:t>
      </w:r>
    </w:p>
    <w:p>
      <w:pPr>
        <w:pStyle w:val="Heading3"/>
      </w:pPr>
      <w:r>
        <w:rPr>
          <w:rFonts w:ascii="Kalpurush" w:cs="Kalpurush" w:eastAsia="Kalpurush" w:hAnsi="Kalpurush"/>
          <w:sz w:val="20"/>
          <w:szCs w:val="20"/>
        </w:rPr>
        <w:t xml:space="preserve">*(বিজ্ঞ ট্রায়াল কোর্টের প্রাথমিক মারাত্মক ভুল — প্রাক-SA স্বত্বের অনুপস্থিতি)*</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১.১ Trial Court Held (ট্রায়াল কোর্ট কি সিদ্ধান্ত দিয়েছিলেন)</w:t>
      </w:r>
    </w:p>
    <w:p>
      <w:pPr>
        <w:ind w:left="720"/>
      </w:pPr>
      <w:r>
        <w:rPr>
          <w:rFonts w:ascii="Kalpurush" w:cs="Kalpurush" w:eastAsia="Kalpurush" w:hAnsi="Kalpurush"/>
          <w:i/>
          <w:iCs/>
          <w:sz w:val="20"/>
          <w:szCs w:val="20"/>
        </w:rPr>
        <w:t xml:space="preserve">*"বিজ্ঞ ট্রায়াল কোর্ট বিবাদীদের এই দাবি গ্রহণ করিয়াছেন যে বিবাদীদের পূর্বসূরি আব্দুল করিম ১৩৩৪ বঙ্গাব্দে (১৯৩৪ খ্রিস্টাব্দ) ঢাকা নবাব এস্টেট হইতে বন্দোবস্ত/পত্তন লাভ করিয়া নালিশী সম্পত্তিতে রায়তি স্বত্ব অর্জন করিয়াছিলেন এবং তাহার মৃত্যুর পর আব্দুল আলী এবং সোনাভানু উভয়েই ওয়ারিশসূত্রে প্রজা হন।"*</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১.২ Why This is Legally Wrong (কেন এই সিদ্ধান্ত আইনত মারাত্মক ভুল)</w:t>
      </w:r>
    </w:p>
    <w:p>
      <w:r>
        <w:rPr>
          <w:rFonts w:ascii="Kalpurush" w:cs="Kalpurush" w:eastAsia="Kalpurush" w:hAnsi="Kalpurush"/>
          <w:b/>
          <w:bCs/>
          <w:sz w:val="20"/>
          <w:szCs w:val="20"/>
        </w:rPr>
        <w:t xml:space="preserve">Before treating SA Record as wrong, who proved Abdul Karim was ever the raiyat?</w:t>
      </w:r>
    </w:p>
    <w:p>
      <w:r>
        <w:rPr>
          <w:rFonts w:ascii="Kalpurush" w:cs="Kalpurush" w:eastAsia="Kalpurush" w:hAnsi="Kalpurush"/>
          <w:sz w:val="20"/>
          <w:szCs w:val="20"/>
        </w:rPr>
        <w:t xml:space="preserve">বিজ্ঞ ট্রায়াল কোর্ট একটি মৌলিক ভুল অনুমান (Unproved Assumption) দিয়ে বিচার শুরু করিয়াছেন। বিবাদীরা নালিশী জমিতে আব্দুল করিমের "মূল রায়তি স্বত্ব" (Root Tenancy) প্রমাণের কোনো প্রাথমিক দলিলই আদালতে উপস্থাপন করিতে পারেননি।</w:t>
      </w:r>
    </w:p>
    <w:p>
      <w:r>
        <w:rPr>
          <w:rFonts w:ascii="Kalpurush" w:cs="Kalpurush" w:eastAsia="Kalpurush" w:hAnsi="Kalpurush"/>
        </w:rPr>
        <w:t xml:space="preserve"/>
      </w:r>
    </w:p>
    <w:p>
      <w:r>
        <w:rPr>
          <w:rFonts w:ascii="Kalpurush" w:cs="Kalpurush" w:eastAsia="Kalpurush" w:hAnsi="Kalpurush"/>
          <w:sz w:val="20"/>
          <w:szCs w:val="20"/>
        </w:rPr>
        <w:t xml:space="preserve">1. </w:t>
      </w:r>
      <w:r>
        <w:rPr>
          <w:rFonts w:ascii="Kalpurush" w:cs="Kalpurush" w:eastAsia="Kalpurush" w:hAnsi="Kalpurush"/>
          <w:b/>
          <w:bCs/>
          <w:sz w:val="20"/>
          <w:szCs w:val="20"/>
        </w:rPr>
        <w:t xml:space="preserve">কোনো রেজিস্ট্রিকৃত পাট্টা (Patta) নাই:</w:t>
      </w:r>
      <w:r>
        <w:rPr>
          <w:rFonts w:ascii="Kalpurush" w:cs="Kalpurush" w:eastAsia="Kalpurush" w:hAnsi="Kalpurush"/>
          <w:sz w:val="20"/>
          <w:szCs w:val="20"/>
        </w:rPr>
        <w:t xml:space="preserve"> Registration Act, 1908-এর ধারা ১৭/৪৯ অনুযায়ী ১ বছরের অধিক মেয়াদের পত্তন দলিল রেজিস্ট্রি বাধ্যতামূলক, নতুবা সাক্ষ্যে অগ্রহণযোগ্য।</w:t>
      </w:r>
    </w:p>
    <w:p>
      <w:r>
        <w:rPr>
          <w:rFonts w:ascii="Kalpurush" w:cs="Kalpurush" w:eastAsia="Kalpurush" w:hAnsi="Kalpurush"/>
          <w:sz w:val="20"/>
          <w:szCs w:val="20"/>
        </w:rPr>
        <w:t xml:space="preserve">2. </w:t>
      </w:r>
      <w:r>
        <w:rPr>
          <w:rFonts w:ascii="Kalpurush" w:cs="Kalpurush" w:eastAsia="Kalpurush" w:hAnsi="Kalpurush"/>
          <w:b/>
          <w:bCs/>
          <w:sz w:val="20"/>
          <w:szCs w:val="20"/>
        </w:rPr>
        <w:t xml:space="preserve">কোনো রেজিস্ট্রিকৃত কবুলিয়ত (Kabuliat) নাই:</w:t>
      </w:r>
      <w:r>
        <w:rPr>
          <w:rFonts w:ascii="Kalpurush" w:cs="Kalpurush" w:eastAsia="Kalpurush" w:hAnsi="Kalpurush"/>
          <w:sz w:val="20"/>
          <w:szCs w:val="20"/>
        </w:rPr>
        <w:t xml:space="preserve"> নবাব এস্টেটে প্রস্তাবিত বন্দোবস্তের কোনো কবুলিয়ত নাই।</w:t>
      </w:r>
    </w:p>
    <w:p>
      <w:r>
        <w:rPr>
          <w:rFonts w:ascii="Kalpurush" w:cs="Kalpurush" w:eastAsia="Kalpurush" w:hAnsi="Kalpurush"/>
          <w:sz w:val="20"/>
          <w:szCs w:val="20"/>
        </w:rPr>
        <w:t xml:space="preserve">3. </w:t>
      </w:r>
      <w:r>
        <w:rPr>
          <w:rFonts w:ascii="Kalpurush" w:cs="Kalpurush" w:eastAsia="Kalpurush" w:hAnsi="Kalpurush"/>
          <w:b/>
          <w:bCs/>
          <w:sz w:val="20"/>
          <w:szCs w:val="20"/>
        </w:rPr>
        <w:t xml:space="preserve">CS ২ নং খতিয়ানে কোনো রায়তি নাম নাই:</w:t>
      </w:r>
      <w:r>
        <w:rPr>
          <w:rFonts w:ascii="Kalpurush" w:cs="Kalpurush" w:eastAsia="Kalpurush" w:hAnsi="Kalpurush"/>
          <w:sz w:val="20"/>
          <w:szCs w:val="20"/>
        </w:rPr>
        <w:t xml:space="preserve"> CS খতিয়ানে জমিটি ঢাকা নবাব এস্টেটের "খাস জমি" (Collector / Dhaka Nawab Estate Khass) হিসেবে রেকর্ডকৃত। সেখানে আব্দুল করিমের কোনো নাম নাই।</w:t>
      </w:r>
    </w:p>
    <w:p>
      <w:r>
        <w:rPr>
          <w:rFonts w:ascii="Kalpurush" w:cs="Kalpurush" w:eastAsia="Kalpurush" w:hAnsi="Kalpurush"/>
          <w:sz w:val="20"/>
          <w:szCs w:val="20"/>
        </w:rPr>
        <w:t xml:space="preserve">4. </w:t>
      </w:r>
      <w:r>
        <w:rPr>
          <w:rFonts w:ascii="Kalpurush" w:cs="Kalpurush" w:eastAsia="Kalpurush" w:hAnsi="Kalpurush"/>
          <w:b/>
          <w:bCs/>
          <w:sz w:val="20"/>
          <w:szCs w:val="20"/>
        </w:rPr>
        <w:t xml:space="preserve">Court of Wards Chief Manager-এর অনুমোদন নাই:</w:t>
      </w:r>
      <w:r>
        <w:rPr>
          <w:rFonts w:ascii="Kalpurush" w:cs="Kalpurush" w:eastAsia="Kalpurush" w:hAnsi="Kalpurush"/>
          <w:sz w:val="20"/>
          <w:szCs w:val="20"/>
        </w:rPr>
        <w:t xml:space="preserve"> ঢাকা নবাব এস্টেট Court of Wards-এর অধীন ছিল। Chief Manager-এর লিখিত স্বাক্ষর ও অনুমোদন ছাড়া কোনো নায়েব বা তহশিলদারের ইস্যুকৃত খাজনা রশিদ বা কাগজ আইনত void ab initio (সম্পূর্ণ অকার্যকর)।</w:t>
      </w:r>
    </w:p>
    <w:p>
      <w:r>
        <w:rPr>
          <w:rFonts w:ascii="Kalpurush" w:cs="Kalpurush" w:eastAsia="Kalpurush" w:hAnsi="Kalpurush"/>
          <w:sz w:val="20"/>
          <w:szCs w:val="20"/>
        </w:rPr>
        <w:t xml:space="preserve">5. </w:t>
      </w:r>
      <w:r>
        <w:rPr>
          <w:rFonts w:ascii="Kalpurush" w:cs="Kalpurush" w:eastAsia="Kalpurush" w:hAnsi="Kalpurush"/>
          <w:b/>
          <w:bCs/>
          <w:sz w:val="20"/>
          <w:szCs w:val="20"/>
        </w:rPr>
        <w:t xml:space="preserve">খাজনার রসিদ স্বত্ব সৃষ্টি করে না:</w:t>
      </w:r>
      <w:r>
        <w:rPr>
          <w:rFonts w:ascii="Kalpurush" w:cs="Kalpurush" w:eastAsia="Kalpurush" w:hAnsi="Kalpurush"/>
          <w:sz w:val="20"/>
          <w:szCs w:val="20"/>
        </w:rPr>
        <w:t xml:space="preserve"> বিবাদীদের দাখিলকৃত কথিত ১৩৩৪ বঙ্গাব্দের রসিদ কেবল খাজনা প্রাপ্তির প্রমাণ, ইহা স্বত্ব (Title) বা রায়তি প্রজা অধিকার সৃষ্টির দলিল নহে।</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১.৩ Applicable Law (প্রযোজ্য আইন)</w:t>
      </w:r>
    </w:p>
    <w:p>
      <w:pPr>
        <w:pStyle w:val="ListParagraph"/>
        <w:numPr>
          <w:ilvl w:val="0"/>
          <w:numId w:val="1"/>
        </w:numPr>
      </w:pPr>
      <w:r>
        <w:rPr>
          <w:rFonts w:ascii="Kalpurush" w:cs="Kalpurush" w:eastAsia="Kalpurush" w:hAnsi="Kalpurush"/>
          <w:b/>
          <w:bCs/>
          <w:sz w:val="20"/>
          <w:szCs w:val="20"/>
        </w:rPr>
        <w:t xml:space="preserve">Registration Act, 1908 (Sections 17 &amp; 49):</w:t>
      </w:r>
      <w:r>
        <w:rPr>
          <w:rFonts w:ascii="Kalpurush" w:cs="Kalpurush" w:eastAsia="Kalpurush" w:hAnsi="Kalpurush"/>
          <w:sz w:val="20"/>
          <w:szCs w:val="20"/>
        </w:rPr>
        <w:t xml:space="preserve"> অনিবন্ধিত পত্তন দলিল সাক্ষ্য হিসেবে সম্পূর্ণ অগ্রহণযোগ্য।</w:t>
      </w:r>
    </w:p>
    <w:p>
      <w:pPr>
        <w:pStyle w:val="ListParagraph"/>
        <w:numPr>
          <w:ilvl w:val="0"/>
          <w:numId w:val="1"/>
        </w:numPr>
      </w:pPr>
      <w:r>
        <w:rPr>
          <w:rFonts w:ascii="Kalpurush" w:cs="Kalpurush" w:eastAsia="Kalpurush" w:hAnsi="Kalpurush"/>
          <w:b/>
          <w:bCs/>
          <w:sz w:val="20"/>
          <w:szCs w:val="20"/>
        </w:rPr>
        <w:t xml:space="preserve">SAT Act, 1950 (Section 86):</w:t>
      </w:r>
      <w:r>
        <w:rPr>
          <w:rFonts w:ascii="Kalpurush" w:cs="Kalpurush" w:eastAsia="Kalpurush" w:hAnsi="Kalpurush"/>
          <w:sz w:val="20"/>
          <w:szCs w:val="20"/>
        </w:rPr>
        <w:t xml:space="preserve"> রাষ্ট্রীয় অধিগ্রহণের পর প্রাক-SA যুগের যেকোনো অনিবন্ধিত পত্তন বা স্বত্ব আইনের বলেই সম্পূর্ণ বিলুপ্ত হইয়াছে।</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১.৪ Applicable Precedent (প্রযোজ্য নজির)</w:t>
      </w:r>
    </w:p>
    <w:p>
      <w:pPr>
        <w:ind w:left="720"/>
      </w:pPr>
      <w:r>
        <w:rPr>
          <w:rFonts w:ascii="Kalpurush" w:cs="Kalpurush" w:eastAsia="Kalpurush" w:hAnsi="Kalpurush"/>
          <w:b/>
          <w:bCs/>
          <w:i/>
          <w:iCs/>
          <w:sz w:val="20"/>
          <w:szCs w:val="20"/>
        </w:rPr>
        <w:t xml:space="preserve">Md. Shajahan Bhuiyan vs. Md. Nurul Alam, 4 SCOB [2015] HCD 52:</w:t>
      </w:r>
    </w:p>
    <w:p>
      <w:pPr>
        <w:ind w:left="720"/>
      </w:pPr>
      <w:r>
        <w:rPr>
          <w:rFonts w:ascii="Kalpurush" w:cs="Kalpurush" w:eastAsia="Kalpurush" w:hAnsi="Kalpurush"/>
          <w:i/>
          <w:iCs/>
          <w:sz w:val="20"/>
          <w:szCs w:val="20"/>
        </w:rPr>
        <w:t xml:space="preserve">*"Irrespective of whatever title or right was acquired by virtue of the unregistered patta... it had extinguished as a result of State Acquisition under Section 86 of the SAT Act, 1950."*</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Harun-al-Rashid Mollah vs. Bangladesh, 12 BLC (AD) 79:</w:t>
      </w:r>
    </w:p>
    <w:p>
      <w:pPr>
        <w:ind w:left="720"/>
      </w:pPr>
      <w:r>
        <w:rPr>
          <w:rFonts w:ascii="Kalpurush" w:cs="Kalpurush" w:eastAsia="Kalpurush" w:hAnsi="Kalpurush"/>
          <w:i/>
          <w:iCs/>
          <w:sz w:val="20"/>
          <w:szCs w:val="20"/>
        </w:rPr>
        <w:t xml:space="preserve">*"Settlement or rent receipts of Court of Wards / Dhaka Nawab Estate without the signature or written approval of the Chief Manager are void ab initio and confer no title."*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Noor Mohammad Khan vs. Government, 42 DLR (HD) 434:</w:t>
      </w:r>
    </w:p>
    <w:p>
      <w:pPr>
        <w:ind w:left="720"/>
      </w:pPr>
      <w:r>
        <w:rPr>
          <w:rFonts w:ascii="Kalpurush" w:cs="Kalpurush" w:eastAsia="Kalpurush" w:hAnsi="Kalpurush"/>
          <w:i/>
          <w:iCs/>
          <w:sz w:val="20"/>
          <w:szCs w:val="20"/>
        </w:rPr>
        <w:t xml:space="preserve">*"Salami receipts or amalnamas issued without the approval of the Chief Manager of Court of Wards cannot create tenancy rights over landlord's land."*</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১.৫ Application to This Case (বর্তমান মামলায় আইনের প্রয়োগ)</w:t>
      </w:r>
    </w:p>
    <w:p>
      <w:r>
        <w:rPr>
          <w:rFonts w:ascii="Kalpurush" w:cs="Kalpurush" w:eastAsia="Kalpurush" w:hAnsi="Kalpurush"/>
          <w:sz w:val="20"/>
          <w:szCs w:val="20"/>
        </w:rPr>
        <w:t xml:space="preserve">নালিশী হতেয়া মৌজা আতিয়া পরগণার অন্তর্ভুক্ত ঢাকা নবাব এস্টেটের জমি ছিল। CS ২ নং খতিয়ানে জমিটি নবাব এস্টেটের খাস জমি। বিবাদীরা কোনো রেজিস্ট্রিকৃত পাট্টা, কবুলিয়ত বা চিফ ম্যানেজারের অনুমোদনপত্র দেখাতে পারেননি। রাষ্ট্রীয় অধিগ্রহণের (SAT Act 1952) পর বিবাদীদের কথিত প্রাক-SA পত্তনের যেকোনো দাবি ধারা ৮৬ অনুযায়ী স্বয়ংক্রিয়ভাবে বিলুপ্ত হইয়াছে।</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১.৬ Conclusion (উপসংহার)</w:t>
      </w:r>
    </w:p>
    <w:p>
      <w:r>
        <w:rPr>
          <w:rFonts w:ascii="Kalpurush" w:cs="Kalpurush" w:eastAsia="Kalpurush" w:hAnsi="Kalpurush"/>
          <w:sz w:val="20"/>
          <w:szCs w:val="20"/>
        </w:rPr>
        <w:t xml:space="preserve">বিজ্ঞ ট্রায়াল কোর্ট বিবাদীদের অপ্রমাণিত ও আইনিভাবে বিলুপ্ত প্রাক-SA দাবিকে সত্য অনুমান করিয়া মামলার শুরুতেই চরম আইনি ভুল করিয়াছেন।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2: State Recognition &amp; Presumption of Correctness</w:t>
      </w:r>
    </w:p>
    <w:p>
      <w:pPr>
        <w:pStyle w:val="Heading3"/>
      </w:pPr>
      <w:r>
        <w:rPr>
          <w:rFonts w:ascii="Kalpurush" w:cs="Kalpurush" w:eastAsia="Kalpurush" w:hAnsi="Kalpurush"/>
          <w:sz w:val="20"/>
          <w:szCs w:val="20"/>
        </w:rPr>
        <w:t xml:space="preserve">*(রাষ্ট্রীয় স্বীকৃতি এবং সংবিধিবদ্ধ নির্ভুলতার অনুমান)*</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২.১ Trial Court Held (ট্রায়াল কোর্ট কি সিদ্ধান্ত দিয়েছিলেন)</w:t>
      </w:r>
    </w:p>
    <w:p>
      <w:pPr>
        <w:ind w:left="720"/>
      </w:pPr>
      <w:r>
        <w:rPr>
          <w:rFonts w:ascii="Kalpurush" w:cs="Kalpurush" w:eastAsia="Kalpurush" w:hAnsi="Kalpurush"/>
          <w:i/>
          <w:iCs/>
          <w:sz w:val="20"/>
          <w:szCs w:val="20"/>
        </w:rPr>
        <w:t xml:space="preserve">*"বিজ্ঞ ট্রায়াল কোর্ট ধরিয়া লইয়াছেন যে, SA ২৩৮ নং খতিয়ান প্রস্তুতকালে ভুলক্রমে কেবল আব্দুল আলীর নাম রেকর্ড করা হইয়াছিল এবং বাদীকে নির্দেশ দিয়াছেন এই খতিয়ান যে নির্ভুল তাহা বিবাদীদের দাবির বিরুদ্ধে প্রমাণ করার জন্য।"*</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২.২ Why This is Legally Wrong (কেন এই সিদ্ধান্ত আইনত মারাত্মক ভুল)</w:t>
      </w:r>
    </w:p>
    <w:p>
      <w:r>
        <w:rPr>
          <w:rFonts w:ascii="Kalpurush" w:cs="Kalpurush" w:eastAsia="Kalpurush" w:hAnsi="Kalpurush"/>
          <w:sz w:val="20"/>
          <w:szCs w:val="20"/>
        </w:rPr>
        <w:t xml:space="preserve">এটি প্রমাণের দায়ভারের বেআইনি স্থানান্তর (Illegal Shift of Burden of Proof)। </w:t>
      </w:r>
    </w:p>
    <w:p>
      <w:r>
        <w:rPr>
          <w:rFonts w:ascii="Kalpurush" w:cs="Kalpurush" w:eastAsia="Kalpurush" w:hAnsi="Kalpurush"/>
          <w:sz w:val="20"/>
          <w:szCs w:val="20"/>
        </w:rPr>
        <w:t xml:space="preserve">1. রাষ্ট্র ১৯৫২ সালে জমি অধিগ্রহণের পর সরেজমিনে জরিপ পরিচালনা করিয়া আব্দুল আলীকে প্রত্যক্ষ দখলদার ও প্রজা হিসেবে স্বীকৃতি দিয়া SA ২৩৮ নং খতিয়ান প্রস্তুত ও চূড়ান্ত প্রকাশ করে।</w:t>
      </w:r>
    </w:p>
    <w:p>
      <w:r>
        <w:rPr>
          <w:rFonts w:ascii="Kalpurush" w:cs="Kalpurush" w:eastAsia="Kalpurush" w:hAnsi="Kalpurush"/>
          <w:sz w:val="20"/>
          <w:szCs w:val="20"/>
        </w:rPr>
        <w:t xml:space="preserve">2. SAT Act, 1950-এর Section 144A অনুযায়ী এই অবশেষে প্রকাশিত খতিয়ানের পেছনে নির্ভুলতার আইনি অনুমান (Statutory Presumption of Correctness) বহাল রয়েছে।</w:t>
      </w:r>
    </w:p>
    <w:p>
      <w:r>
        <w:rPr>
          <w:rFonts w:ascii="Kalpurush" w:cs="Kalpurush" w:eastAsia="Kalpurush" w:hAnsi="Kalpurush"/>
          <w:sz w:val="20"/>
          <w:szCs w:val="20"/>
        </w:rPr>
        <w:t xml:space="preserve">3. বাদী খতিয়ান (প্রদর্শনী-৪) উপস্থাপনের মাধ্যমে Initial Burden সম্পূর্ণ মিটাইয়াছেন। প্রমাণের দায়িত্ব সম্পূর্ণ বিবাদীদের উপর স্থানান্তরিত হইয়াছে। বাদীকে বিবাদীদের অপ্রমাণিত দাবি মিথ্যা (disprove) প্রমাণ করতে বলা আইনি ভুলের চরম রূপ।</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২.৩ Applicable Law (প্রযোজ্য আইন)</w:t>
      </w:r>
    </w:p>
    <w:p>
      <w:pPr>
        <w:pStyle w:val="ListParagraph"/>
        <w:numPr>
          <w:ilvl w:val="0"/>
          <w:numId w:val="1"/>
        </w:numPr>
      </w:pPr>
      <w:r>
        <w:rPr>
          <w:rFonts w:ascii="Kalpurush" w:cs="Kalpurush" w:eastAsia="Kalpurush" w:hAnsi="Kalpurush"/>
          <w:b/>
          <w:bCs/>
          <w:sz w:val="20"/>
          <w:szCs w:val="20"/>
        </w:rPr>
        <w:t xml:space="preserve">SAT Act, 1950 (Section 144A):</w:t>
      </w:r>
      <w:r>
        <w:rPr>
          <w:rFonts w:ascii="Kalpurush" w:cs="Kalpurush" w:eastAsia="Kalpurush" w:hAnsi="Kalpurush"/>
          <w:sz w:val="20"/>
          <w:szCs w:val="20"/>
        </w:rPr>
        <w:t xml:space="preserve"> খতিয়ান চূড়ান্তভাবে প্রকাশিত হইবার পর উহা সংবিধিবদ্ধ নির্ভুলতার অনুমান লাভ করে।</w:t>
      </w:r>
    </w:p>
    <w:p>
      <w:pPr>
        <w:pStyle w:val="ListParagraph"/>
        <w:numPr>
          <w:ilvl w:val="0"/>
          <w:numId w:val="1"/>
        </w:numPr>
      </w:pPr>
      <w:r>
        <w:rPr>
          <w:rFonts w:ascii="Kalpurush" w:cs="Kalpurush" w:eastAsia="Kalpurush" w:hAnsi="Kalpurush"/>
          <w:b/>
          <w:bCs/>
          <w:sz w:val="20"/>
          <w:szCs w:val="20"/>
        </w:rPr>
        <w:t xml:space="preserve">Evidence Act, 1872 (Section 103):</w:t>
      </w:r>
      <w:r>
        <w:rPr>
          <w:rFonts w:ascii="Kalpurush" w:cs="Kalpurush" w:eastAsia="Kalpurush" w:hAnsi="Kalpurush"/>
          <w:sz w:val="20"/>
          <w:szCs w:val="20"/>
        </w:rPr>
        <w:t xml:space="preserve"> যিনি কোনো তথ্যের অস্তিত্ব দাবি করেন (যেমন: খতিয়ান ভুল বা সংশোধিত হয়েছে), প্রমাণের দায়িত্ব সম্পূর্ণ তাঁহার।</w:t>
      </w:r>
    </w:p>
    <w:p>
      <w:pPr>
        <w:pStyle w:val="ListParagraph"/>
        <w:numPr>
          <w:ilvl w:val="0"/>
          <w:numId w:val="1"/>
        </w:numPr>
      </w:pPr>
      <w:r>
        <w:rPr>
          <w:rFonts w:ascii="Kalpurush" w:cs="Kalpurush" w:eastAsia="Kalpurush" w:hAnsi="Kalpurush"/>
          <w:b/>
          <w:bCs/>
          <w:sz w:val="20"/>
          <w:szCs w:val="20"/>
        </w:rPr>
        <w:t xml:space="preserve">Evidence Act, 1872 (Section 106):</w:t>
      </w:r>
      <w:r>
        <w:rPr>
          <w:rFonts w:ascii="Kalpurush" w:cs="Kalpurush" w:eastAsia="Kalpurush" w:hAnsi="Kalpurush"/>
          <w:sz w:val="20"/>
          <w:szCs w:val="20"/>
        </w:rPr>
        <w:t xml:space="preserve"> বিশেষ তথ্য প্রমাণের দায়িত্ব সেই ব্যক্তির উপরই বর্তায় যাহার বিশেষ জ্ঞানে তাহা রহিয়াছে।</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২.৪ Applicable Precedent (প্রযোজ্য নজির)</w:t>
      </w:r>
    </w:p>
    <w:p>
      <w:pPr>
        <w:ind w:left="720"/>
      </w:pPr>
      <w:r>
        <w:rPr>
          <w:rFonts w:ascii="Kalpurush" w:cs="Kalpurush" w:eastAsia="Kalpurush" w:hAnsi="Kalpurush"/>
          <w:b/>
          <w:bCs/>
          <w:i/>
          <w:iCs/>
          <w:sz w:val="20"/>
          <w:szCs w:val="20"/>
        </w:rPr>
        <w:t xml:space="preserve">Government of Bangladesh vs. AKM Abdul Hye, 56 DLR (AD) 53:</w:t>
      </w:r>
    </w:p>
    <w:p>
      <w:pPr>
        <w:ind w:left="720"/>
      </w:pPr>
      <w:r>
        <w:rPr>
          <w:rFonts w:ascii="Kalpurush" w:cs="Kalpurush" w:eastAsia="Kalpurush" w:hAnsi="Kalpurush"/>
          <w:i/>
          <w:iCs/>
          <w:sz w:val="20"/>
          <w:szCs w:val="20"/>
        </w:rPr>
        <w:t xml:space="preserve">*"SA and RS records of rights carry full statutory presumption of correctness under Section 144A of the SAT Act until rebutted by clear, cogent and positive evidence."*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Dayal Chandra Mondal vs. Asst. Custodian, 50 DLR 186:</w:t>
      </w:r>
    </w:p>
    <w:p>
      <w:pPr>
        <w:ind w:left="720"/>
      </w:pPr>
      <w:r>
        <w:rPr>
          <w:rFonts w:ascii="Kalpurush" w:cs="Kalpurush" w:eastAsia="Kalpurush" w:hAnsi="Kalpurush"/>
          <w:i/>
          <w:iCs/>
          <w:sz w:val="20"/>
          <w:szCs w:val="20"/>
        </w:rPr>
        <w:t xml:space="preserve">*"A record of rights finally published and revised under section 144A of the S.A.T. Act has a presumption of correctness and that presumption continues till it is rebutted by reliable evidence."*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Sekandar Ali vs. Md. Ismail, 35 DLR (AD) 230:</w:t>
      </w:r>
    </w:p>
    <w:p>
      <w:pPr>
        <w:ind w:left="720"/>
      </w:pPr>
      <w:r>
        <w:rPr>
          <w:rFonts w:ascii="Kalpurush" w:cs="Kalpurush" w:eastAsia="Kalpurush" w:hAnsi="Kalpurush"/>
          <w:i/>
          <w:iCs/>
          <w:sz w:val="20"/>
          <w:szCs w:val="20"/>
        </w:rPr>
        <w:t xml:space="preserve">*"The entry in the record-of-rights carries a statutory presumption of correctness. The onus lies heavily on the party who asserts that the entry is incorrect to prove it by positive evidence."*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Nuruddin Ahmed vs. Md. Jaman, 45 DLR (AD) 124:</w:t>
      </w:r>
    </w:p>
    <w:p>
      <w:pPr>
        <w:ind w:left="720"/>
      </w:pPr>
      <w:r>
        <w:rPr>
          <w:rFonts w:ascii="Kalpurush" w:cs="Kalpurush" w:eastAsia="Kalpurush" w:hAnsi="Kalpurush"/>
          <w:i/>
          <w:iCs/>
          <w:sz w:val="20"/>
          <w:szCs w:val="20"/>
        </w:rPr>
        <w:t xml:space="preserve">*"A trial court sometimes confuses 'plaintiff must prove' with 'plaintiff must disprove every counter-assertion'. This is erroneous."*</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২.৫ Application to This Case (বর্তমান মামলায় আইনের প্রয়োগ)</w:t>
      </w:r>
    </w:p>
    <w:p>
      <w:r>
        <w:rPr>
          <w:rFonts w:ascii="Kalpurush" w:cs="Kalpurush" w:eastAsia="Kalpurush" w:hAnsi="Kalpurush"/>
          <w:sz w:val="20"/>
          <w:szCs w:val="20"/>
        </w:rPr>
        <w:t xml:space="preserve">বাদীপক্ষ জেলা প্রশাসকের রেকর্ড রুমের সইমোহরি SA ২৩৮ খতিয়ান দাখিল করিয়াছেন। এই খতিয়ানে আব্দুল আলী একক প্রজা (১৬ আনা) হিসেবে স্বীকৃত। বিবাদীরা ৫০ বছরেও দেওয়ানি আদালতে খতিয়ান সংশোধনের মামলা করেননি, জরিপ প্রক্রিয়ার কোনো স্তরে আপত্তি বা আপীল করেননি। ফলে Statutory Presumption বাদীর পক্ষে নিরবচ্ছিন্নভাবে বহাল রহিয়াছে।</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২.৬ Conclusion (উপসংহার)</w:t>
      </w:r>
    </w:p>
    <w:p>
      <w:r>
        <w:rPr>
          <w:rFonts w:ascii="Kalpurush" w:cs="Kalpurush" w:eastAsia="Kalpurush" w:hAnsi="Kalpurush"/>
          <w:sz w:val="20"/>
          <w:szCs w:val="20"/>
        </w:rPr>
        <w:t xml:space="preserve">ট্রায়াল কোর্ট Evidence Act Section 103 এবং SAT Act Section 144A লঙ্ঘন করিয়া বাদীর উপর অহেতুক দায় চাপাইয়াছেন, যা সম্পূর্ণ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3: Collapse of the Correction Theory — Ghost Misc Case 1181/1969</w:t>
      </w:r>
    </w:p>
    <w:p>
      <w:pPr>
        <w:pStyle w:val="Heading3"/>
      </w:pPr>
      <w:r>
        <w:rPr>
          <w:rFonts w:ascii="Kalpurush" w:cs="Kalpurush" w:eastAsia="Kalpurush" w:hAnsi="Kalpurush"/>
          <w:sz w:val="20"/>
          <w:szCs w:val="20"/>
        </w:rPr>
        <w:t xml:space="preserve">*(কথিত ১৯৬৯ সালের মিস মোকদ্দমা ও সংশোধন তত্ত্বের পূর্ণাঙ্গ ধস)*</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৩.১ Trial Court Held (ট্রায়াল কোর্ট কি সিদ্ধান্ত দিয়েছিলেন)</w:t>
      </w:r>
    </w:p>
    <w:p>
      <w:pPr>
        <w:ind w:left="720"/>
      </w:pPr>
      <w:r>
        <w:rPr>
          <w:rFonts w:ascii="Kalpurush" w:cs="Kalpurush" w:eastAsia="Kalpurush" w:hAnsi="Kalpurush"/>
          <w:i/>
          <w:iCs/>
          <w:sz w:val="20"/>
          <w:szCs w:val="20"/>
        </w:rPr>
        <w:t xml:space="preserve">*"বিজ্ঞ ট্রায়াল কোর্ট বিবাদীদের এই মৌখিক দাবি বিশ্বাস করিয়াছেন যে, ১৯৬৯ সালের ১১৮১ নং Misc Case-এর আদেশের মাধ্যমে SA ২৩৮ খতিয়ানে সোনাভানুর নাম অন্তর্ভুক্ত ও খতিয়ান সংশোধিত হইয়াছে।"*</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৩.২ Why This is Legally Wrong (কেন এই সিদ্ধান্ত আইনত মারাত্মক ভুল)</w:t>
      </w:r>
    </w:p>
    <w:p>
      <w:r>
        <w:rPr>
          <w:rFonts w:ascii="Kalpurush" w:cs="Kalpurush" w:eastAsia="Kalpurush" w:hAnsi="Kalpurush"/>
          <w:sz w:val="20"/>
          <w:szCs w:val="20"/>
        </w:rPr>
        <w:t xml:space="preserve">এটি একটি সম্পূর্ণ কাল্পনিক ও অপ্রমাণিত "Ghost Case"-এর উপর আদালতের বিচারিক নির্ভরতা।</w:t>
      </w:r>
    </w:p>
    <w:p>
      <w:r>
        <w:rPr>
          <w:rFonts w:ascii="Kalpurush" w:cs="Kalpurush" w:eastAsia="Kalpurush" w:hAnsi="Kalpurush"/>
          <w:sz w:val="20"/>
          <w:szCs w:val="20"/>
        </w:rPr>
        <w:t xml:space="preserve">1. </w:t>
      </w:r>
      <w:r>
        <w:rPr>
          <w:rFonts w:ascii="Kalpurush" w:cs="Kalpurush" w:eastAsia="Kalpurush" w:hAnsi="Kalpurush"/>
          <w:b/>
          <w:bCs/>
          <w:sz w:val="20"/>
          <w:szCs w:val="20"/>
        </w:rPr>
        <w:t xml:space="preserve">কোনো সার্টিফাইড কপি নাই:</w:t>
      </w:r>
      <w:r>
        <w:rPr>
          <w:rFonts w:ascii="Kalpurush" w:cs="Kalpurush" w:eastAsia="Kalpurush" w:hAnsi="Kalpurush"/>
          <w:sz w:val="20"/>
          <w:szCs w:val="20"/>
        </w:rPr>
        <w:t xml:space="preserve"> বিবাদীরা উক্ত কথিত Misc Case-এর কোনো Judgment, Decree, Order Sheet বা Certified Copy আদালতে দাখিল করেননি।</w:t>
      </w:r>
    </w:p>
    <w:p>
      <w:r>
        <w:rPr>
          <w:rFonts w:ascii="Kalpurush" w:cs="Kalpurush" w:eastAsia="Kalpurush" w:hAnsi="Kalpurush"/>
          <w:sz w:val="20"/>
          <w:szCs w:val="20"/>
        </w:rPr>
        <w:t xml:space="preserve">2. </w:t>
      </w:r>
      <w:r>
        <w:rPr>
          <w:rFonts w:ascii="Kalpurush" w:cs="Kalpurush" w:eastAsia="Kalpurush" w:hAnsi="Kalpurush"/>
          <w:b/>
          <w:bCs/>
          <w:sz w:val="20"/>
          <w:szCs w:val="20"/>
        </w:rPr>
        <w:t xml:space="preserve">Misc Case-এ Title Adjudication অসম্ভব:</w:t>
      </w:r>
      <w:r>
        <w:rPr>
          <w:rFonts w:ascii="Kalpurush" w:cs="Kalpurush" w:eastAsia="Kalpurush" w:hAnsi="Kalpurush"/>
          <w:sz w:val="20"/>
          <w:szCs w:val="20"/>
        </w:rPr>
        <w:t xml:space="preserve"> দেওয়ানি কার্যবিধির বিধান অনুযায়ী Misc Case-এ কেবল প্রশাসনিক/প্রক্রিয়াগত Order হয় (CPC s.2(14)), কোনো স্বত্বের Decree হয় না (CPC s.2(2))। স্বত্ব ঘোষণা কেবল নিয়মিত দেওয়ানি স্যুটেই সম্ভব (Specific Relief Act s.42)।</w:t>
      </w:r>
    </w:p>
    <w:p>
      <w:r>
        <w:rPr>
          <w:rFonts w:ascii="Kalpurush" w:cs="Kalpurush" w:eastAsia="Kalpurush" w:hAnsi="Kalpurush"/>
          <w:sz w:val="20"/>
          <w:szCs w:val="20"/>
        </w:rPr>
        <w:t xml:space="preserve">3. </w:t>
      </w:r>
      <w:r>
        <w:rPr>
          <w:rFonts w:ascii="Kalpurush" w:cs="Kalpurush" w:eastAsia="Kalpurush" w:hAnsi="Kalpurush"/>
          <w:b/>
          <w:bCs/>
          <w:sz w:val="20"/>
          <w:szCs w:val="20"/>
        </w:rPr>
        <w:t xml:space="preserve">The Root and Fruit Theory (মূল ও ফলের তত্ত্ব):</w:t>
      </w:r>
      <w:r>
        <w:rPr>
          <w:rFonts w:ascii="Kalpurush" w:cs="Kalpurush" w:eastAsia="Kalpurush" w:hAnsi="Kalpurush"/>
          <w:sz w:val="20"/>
          <w:szCs w:val="20"/>
        </w:rPr>
        <w:t xml:space="preserve"> যখন মূল আইনি আদেশ (Parent Order) আদালতে সম্পূর্ণ অনুপস্থিত ও অপ্রমাণিত, তখন সেই আদেশের ফলশ্রুতির কোনো আইনি অস্তিত্ব থাকিতে পারে না। Root ধসে পড়লে Fruit-ও ধসে পড়ে।</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৩.৩ Applicable Law (প্রযোজ্য আইন)</w:t>
      </w:r>
    </w:p>
    <w:p>
      <w:pPr>
        <w:pStyle w:val="ListParagraph"/>
        <w:numPr>
          <w:ilvl w:val="0"/>
          <w:numId w:val="1"/>
        </w:numPr>
      </w:pPr>
      <w:r>
        <w:rPr>
          <w:rFonts w:ascii="Kalpurush" w:cs="Kalpurush" w:eastAsia="Kalpurush" w:hAnsi="Kalpurush"/>
          <w:b/>
          <w:bCs/>
          <w:sz w:val="20"/>
          <w:szCs w:val="20"/>
        </w:rPr>
        <w:t xml:space="preserve">Code of Civil Procedure, 1908 (Section 2(2) vs 2(14)):</w:t>
      </w:r>
      <w:r>
        <w:rPr>
          <w:rFonts w:ascii="Kalpurush" w:cs="Kalpurush" w:eastAsia="Kalpurush" w:hAnsi="Kalpurush"/>
          <w:sz w:val="20"/>
          <w:szCs w:val="20"/>
        </w:rPr>
        <w:t xml:space="preserve"> Misc Case-এ স্বত্বের ডিগ্রি প্রদান সম্ভব নহে।</w:t>
      </w:r>
    </w:p>
    <w:p>
      <w:pPr>
        <w:pStyle w:val="ListParagraph"/>
        <w:numPr>
          <w:ilvl w:val="0"/>
          <w:numId w:val="1"/>
        </w:numPr>
      </w:pPr>
      <w:r>
        <w:rPr>
          <w:rFonts w:ascii="Kalpurush" w:cs="Kalpurush" w:eastAsia="Kalpurush" w:hAnsi="Kalpurush"/>
          <w:b/>
          <w:bCs/>
          <w:sz w:val="20"/>
          <w:szCs w:val="20"/>
        </w:rPr>
        <w:t xml:space="preserve">Evidence Act, 1872 (Section 114(g)):</w:t>
      </w:r>
      <w:r>
        <w:rPr>
          <w:rFonts w:ascii="Kalpurush" w:cs="Kalpurush" w:eastAsia="Kalpurush" w:hAnsi="Kalpurush"/>
          <w:sz w:val="20"/>
          <w:szCs w:val="20"/>
        </w:rPr>
        <w:t xml:space="preserve"> সর্বউৎকৃষ্ট প্রাতিষ্ঠানিক প্রমাণ (Certified Copy of Order Sheet) আদালতে দাখিল না করার কারণে বিবাদীদের বিরুদ্ধে প্রতিকূল অনুমান (Adverse Inference) গ্রহণ বাধ্যবাধকতা।</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৩.৪ Applicable Precedent (প্রযোজ্য নজির)</w:t>
      </w:r>
    </w:p>
    <w:p>
      <w:pPr>
        <w:ind w:left="720"/>
      </w:pPr>
      <w:r>
        <w:rPr>
          <w:rFonts w:ascii="Kalpurush" w:cs="Kalpurush" w:eastAsia="Kalpurush" w:hAnsi="Kalpurush"/>
          <w:b/>
          <w:bCs/>
          <w:i/>
          <w:iCs/>
          <w:sz w:val="20"/>
          <w:szCs w:val="20"/>
        </w:rPr>
        <w:t xml:space="preserve">27 BLD (HD) 544:</w:t>
      </w:r>
    </w:p>
    <w:p>
      <w:pPr>
        <w:ind w:left="720"/>
      </w:pPr>
      <w:r>
        <w:rPr>
          <w:rFonts w:ascii="Kalpurush" w:cs="Kalpurush" w:eastAsia="Kalpurush" w:hAnsi="Kalpurush"/>
          <w:i/>
          <w:iCs/>
          <w:sz w:val="20"/>
          <w:szCs w:val="20"/>
        </w:rPr>
        <w:t xml:space="preserve">*"Question of title cannot be decided in a miscellaneous proceeding. Declaration of title requires a properly constituted civil suit."*</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Root and Fruit Doctrine (Supreme Court of Bangladesh):</w:t>
      </w:r>
    </w:p>
    <w:p>
      <w:pPr>
        <w:ind w:left="720"/>
      </w:pPr>
      <w:r>
        <w:rPr>
          <w:rFonts w:ascii="Kalpurush" w:cs="Kalpurush" w:eastAsia="Kalpurush" w:hAnsi="Kalpurush"/>
          <w:i/>
          <w:iCs/>
          <w:sz w:val="20"/>
          <w:szCs w:val="20"/>
        </w:rPr>
        <w:t xml:space="preserve">*"When the alleged parent judicial order itself is missing or non-existent, any entry or note purported to have been made pursuant to such order is void ab initio and legally non-existent."*</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৩.৫ Application to This Case (বর্তমান মামলায় আইনের প্রয়োগ)</w:t>
      </w:r>
    </w:p>
    <w:p>
      <w:r>
        <w:rPr>
          <w:rFonts w:ascii="Kalpurush" w:cs="Kalpurush" w:eastAsia="Kalpurush" w:hAnsi="Kalpurush"/>
          <w:sz w:val="20"/>
          <w:szCs w:val="20"/>
        </w:rPr>
        <w:t xml:space="preserve">বিবাদীরা আদালতে একটি কাগজের টুকরাও দেখাইতে পারেননি যে মুনসেফ কোর্ট বা সেটেলমেন্ট কোর্টে ১৯৬৯ সালে ১১৮১ নং কোনো মামলা রেকর্ড করা হইয়াছিল বা বিচার হইয়াছিল। সার্টিফাইড কপির অনুপস্থিতি প্রমাণ করে যে এইরূপ কোনো আইনি আদেশ বাস্তবে কখনো ছিল না।</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৩.৬ Conclusion (উপসংহার)</w:t>
      </w:r>
    </w:p>
    <w:p>
      <w:r>
        <w:rPr>
          <w:rFonts w:ascii="Kalpurush" w:cs="Kalpurush" w:eastAsia="Kalpurush" w:hAnsi="Kalpurush"/>
          <w:sz w:val="20"/>
          <w:szCs w:val="20"/>
        </w:rPr>
        <w:t xml:space="preserve">একটি অপ্রমাণিত ও কাগজহীন Ghost Misc Case-এর উপর ভিত্তি করিয়া রাষ্ট্রীয় জরিপ ও খতিয়ান বাতিল ঘোষণা করা আইনের চরম বিকৃতি।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4: AC Land Volume Note Has No Legal Force</w:t>
      </w:r>
    </w:p>
    <w:p>
      <w:pPr>
        <w:pStyle w:val="Heading3"/>
      </w:pPr>
      <w:r>
        <w:rPr>
          <w:rFonts w:ascii="Kalpurush" w:cs="Kalpurush" w:eastAsia="Kalpurush" w:hAnsi="Kalpurush"/>
          <w:sz w:val="20"/>
          <w:szCs w:val="20"/>
        </w:rPr>
        <w:t xml:space="preserve">*(সখিপুর AC Land ভলিউম নোটের আইনি মূল্যহীনতা ও এখতিয়ারহীনতা)*</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৪.১ Trial Court Held (ট্রায়াল কোর্ট কি সিদ্ধান্ত দিয়েছিলেন)</w:t>
      </w:r>
    </w:p>
    <w:p>
      <w:pPr>
        <w:ind w:left="720"/>
      </w:pPr>
      <w:r>
        <w:rPr>
          <w:rFonts w:ascii="Kalpurush" w:cs="Kalpurush" w:eastAsia="Kalpurush" w:hAnsi="Kalpurush"/>
          <w:i/>
          <w:iCs/>
          <w:sz w:val="20"/>
          <w:szCs w:val="20"/>
        </w:rPr>
        <w:t xml:space="preserve">*"বিজ্ঞ ট্রায়াল কোর্ট সখিপুর AC Land কার্যালয়ের ভলিউমে লিখিত মার্জিন নোটকে প্রাধান্য দিয়া DC Record Room-এর মূল অপরিবর্তিত খতিয়ানকে অকার্যকর গণ্য করিয়াছেন।"*</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৪.২ Why This is Legally Wrong (কেন এই সিদ্ধান্ত আইনত মারাত্মক ভুল)</w:t>
      </w:r>
    </w:p>
    <w:p>
      <w:r>
        <w:rPr>
          <w:rFonts w:ascii="Kalpurush" w:cs="Kalpurush" w:eastAsia="Kalpurush" w:hAnsi="Kalpurush"/>
          <w:sz w:val="20"/>
          <w:szCs w:val="20"/>
        </w:rPr>
        <w:t xml:space="preserve">সখিপুর AC Land কার্যালয়ের ভলিউম নোট কোনো স্বাধীন আইনি দলিল নহে; ইহা একটি সাবসিডিয়ারি ওয়ার্কিং কপি (Subsidiary Working Volume) মাত্র।</w:t>
      </w:r>
    </w:p>
    <w:p>
      <w:r>
        <w:rPr>
          <w:rFonts w:ascii="Kalpurush" w:cs="Kalpurush" w:eastAsia="Kalpurush" w:hAnsi="Kalpurush"/>
          <w:sz w:val="20"/>
          <w:szCs w:val="20"/>
        </w:rPr>
        <w:t xml:space="preserve">1. </w:t>
      </w:r>
      <w:r>
        <w:rPr>
          <w:rFonts w:ascii="Kalpurush" w:cs="Kalpurush" w:eastAsia="Kalpurush" w:hAnsi="Kalpurush"/>
          <w:b/>
          <w:bCs/>
          <w:sz w:val="20"/>
          <w:szCs w:val="20"/>
        </w:rPr>
        <w:t xml:space="preserve">রাজস্ব কর্মকর্তার এখতিয়ারের সীমা (Ultra Vires):</w:t>
      </w:r>
      <w:r>
        <w:rPr>
          <w:rFonts w:ascii="Kalpurush" w:cs="Kalpurush" w:eastAsia="Kalpurush" w:hAnsi="Kalpurush"/>
          <w:sz w:val="20"/>
          <w:szCs w:val="20"/>
        </w:rPr>
        <w:t xml:space="preserve"> AC Land বা রাজস্ব কর্মকর্তা কোনো আদালত নন। Mutation বা করণিক ভুল সংশোধনের নামে কারো বিদ্যমান স্বত্ব কর্তন করিয়া বা নতুন অংশীদার যুক্ত করিয়া Title Adjudication করার কোনো ক্ষমতা AC Land-এর নাই।</w:t>
      </w:r>
    </w:p>
    <w:p>
      <w:r>
        <w:rPr>
          <w:rFonts w:ascii="Kalpurush" w:cs="Kalpurush" w:eastAsia="Kalpurush" w:hAnsi="Kalpurush"/>
          <w:sz w:val="20"/>
          <w:szCs w:val="20"/>
        </w:rPr>
        <w:t xml:space="preserve">2. </w:t>
      </w:r>
      <w:r>
        <w:rPr>
          <w:rFonts w:ascii="Kalpurush" w:cs="Kalpurush" w:eastAsia="Kalpurush" w:hAnsi="Kalpurush"/>
          <w:b/>
          <w:bCs/>
          <w:sz w:val="20"/>
          <w:szCs w:val="20"/>
        </w:rPr>
        <w:t xml:space="preserve">বৈধ Mutation-এর ৭টি আবশ্যিক ধাপের সবকয়টি অনুপস্থিত:</w:t>
      </w:r>
      <w:r>
        <w:rPr>
          <w:rFonts w:ascii="Kalpurush" w:cs="Kalpurush" w:eastAsia="Kalpurush" w:hAnsi="Kalpurush"/>
          <w:sz w:val="20"/>
          <w:szCs w:val="20"/>
        </w:rPr>
        <w:t xml:space="preserve"> আবেদন, ফাইল, নোটিশ, তদন্ত প্রতিবেদন, লিখিত আদেশ, জেলা রেকর্ড রুমে সংশোধন এবং Register of Alterations-এ এন্ট্রি — সবকয়টি ধাপ শূন্য।</w:t>
      </w:r>
    </w:p>
    <w:p>
      <w:r>
        <w:rPr>
          <w:rFonts w:ascii="Kalpurush" w:cs="Kalpurush" w:eastAsia="Kalpurush" w:hAnsi="Kalpurush"/>
          <w:sz w:val="20"/>
          <w:szCs w:val="20"/>
        </w:rPr>
        <w:t xml:space="preserve">3. </w:t>
      </w:r>
      <w:r>
        <w:rPr>
          <w:rFonts w:ascii="Kalpurush" w:cs="Kalpurush" w:eastAsia="Kalpurush" w:hAnsi="Kalpurush"/>
          <w:b/>
          <w:bCs/>
          <w:sz w:val="20"/>
          <w:szCs w:val="20"/>
        </w:rPr>
        <w:t xml:space="preserve">DC Record Room-এর ৫০ বছরের নীরবতা:</w:t>
      </w:r>
      <w:r>
        <w:rPr>
          <w:rFonts w:ascii="Kalpurush" w:cs="Kalpurush" w:eastAsia="Kalpurush" w:hAnsi="Kalpurush"/>
          <w:sz w:val="20"/>
          <w:szCs w:val="20"/>
        </w:rPr>
        <w:t xml:space="preserve"> জেলা প্রশাসকের সেন্ট্রাল রেকর্ড রুমের মূল SA ২৩৮ খতিয়ান আজও আব্দুল আলীর নামেই অপরিবর্তিত রহিয়াছে।</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৪.৩ Applicable Law (প্রযোজ্য আইন)</w:t>
      </w:r>
    </w:p>
    <w:p>
      <w:pPr>
        <w:pStyle w:val="ListParagraph"/>
        <w:numPr>
          <w:ilvl w:val="0"/>
          <w:numId w:val="1"/>
        </w:numPr>
      </w:pPr>
      <w:r>
        <w:rPr>
          <w:rFonts w:ascii="Kalpurush" w:cs="Kalpurush" w:eastAsia="Kalpurush" w:hAnsi="Kalpurush"/>
          <w:b/>
          <w:bCs/>
          <w:sz w:val="20"/>
          <w:szCs w:val="20"/>
        </w:rPr>
        <w:t xml:space="preserve">SAT Act, 1950 (Section 143 vs 144):</w:t>
      </w:r>
      <w:r>
        <w:rPr>
          <w:rFonts w:ascii="Kalpurush" w:cs="Kalpurush" w:eastAsia="Kalpurush" w:hAnsi="Kalpurush"/>
          <w:sz w:val="20"/>
          <w:szCs w:val="20"/>
        </w:rPr>
        <w:t xml:space="preserve"> ধারা ১৪৩-এর অধীন নামজারির এখতিয়ার কেবল প্রশাসনিক খাজনা আদায়ের উদ্দেশ্যে; উহা স্বত্ব সৃষ্টি বা বিনষ্ট করে না।</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৪.৪ Applicable Precedent (প্রযোজ্য নজির)</w:t>
      </w:r>
    </w:p>
    <w:p>
      <w:pPr>
        <w:ind w:left="720"/>
      </w:pPr>
      <w:r>
        <w:rPr>
          <w:rFonts w:ascii="Kalpurush" w:cs="Kalpurush" w:eastAsia="Kalpurush" w:hAnsi="Kalpurush"/>
          <w:b/>
          <w:bCs/>
          <w:i/>
          <w:iCs/>
          <w:sz w:val="20"/>
          <w:szCs w:val="20"/>
        </w:rPr>
        <w:t xml:space="preserve">Mrigangka Mohan Dhali vs. Chitta Ranjan Mondol, 18 SCOB [2023] AD 20 (পাঁচ বিচারপতির আপীল বিভাগ):</w:t>
      </w:r>
    </w:p>
    <w:p>
      <w:pPr>
        <w:ind w:left="720"/>
      </w:pPr>
      <w:r>
        <w:rPr>
          <w:rFonts w:ascii="Kalpurush" w:cs="Kalpurush" w:eastAsia="Kalpurush" w:hAnsi="Kalpurush"/>
          <w:i/>
          <w:iCs/>
          <w:sz w:val="20"/>
          <w:szCs w:val="20"/>
        </w:rPr>
        <w:t xml:space="preserve">*"An administrative ROR entry or procured mutation note cannot override an established title or statutory presumption attached to a finally published record."*</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Aslam vs. Salauddin, 18 BLC (HD) 235:</w:t>
      </w:r>
    </w:p>
    <w:p>
      <w:pPr>
        <w:ind w:left="720"/>
      </w:pPr>
      <w:r>
        <w:rPr>
          <w:rFonts w:ascii="Kalpurush" w:cs="Kalpurush" w:eastAsia="Kalpurush" w:hAnsi="Kalpurush"/>
          <w:i/>
          <w:iCs/>
          <w:sz w:val="20"/>
          <w:szCs w:val="20"/>
        </w:rPr>
        <w:t xml:space="preserve">*"A Revenue Officer acting in a mutation case under Section 143 is not a Court. Mutation entries do not create or extinguish title."*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29 BLC (HD) 160:</w:t>
      </w:r>
    </w:p>
    <w:p>
      <w:pPr>
        <w:ind w:left="720"/>
      </w:pPr>
      <w:r>
        <w:rPr>
          <w:rFonts w:ascii="Kalpurush" w:cs="Kalpurush" w:eastAsia="Kalpurush" w:hAnsi="Kalpurush"/>
          <w:i/>
          <w:iCs/>
          <w:sz w:val="20"/>
          <w:szCs w:val="20"/>
        </w:rPr>
        <w:t xml:space="preserve">*"If in correcting an alleged error in the khatian, the ownership or title of the recorded raiyat is affected, the Revenue Officer has no jurisdiction to touch the record."*</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Shahera Khatun vs. State, 53 DLR 19:</w:t>
      </w:r>
    </w:p>
    <w:p>
      <w:pPr>
        <w:ind w:left="720"/>
      </w:pPr>
      <w:r>
        <w:rPr>
          <w:rFonts w:ascii="Kalpurush" w:cs="Kalpurush" w:eastAsia="Kalpurush" w:hAnsi="Kalpurush"/>
          <w:i/>
          <w:iCs/>
          <w:sz w:val="20"/>
          <w:szCs w:val="20"/>
        </w:rPr>
        <w:t xml:space="preserve">*"A volume note or isolated entry in the mutation register carries no statutory presumption of correctness without the underlying parent order."*</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Fazlur Rahman vs. Bangladesh, 1 BLT (HD) 18:</w:t>
      </w:r>
    </w:p>
    <w:p>
      <w:pPr>
        <w:ind w:left="720"/>
      </w:pPr>
      <w:r>
        <w:rPr>
          <w:rFonts w:ascii="Kalpurush" w:cs="Kalpurush" w:eastAsia="Kalpurush" w:hAnsi="Kalpurush"/>
          <w:i/>
          <w:iCs/>
          <w:sz w:val="20"/>
          <w:szCs w:val="20"/>
        </w:rPr>
        <w:t xml:space="preserve">*"SA Khatian changes made in separate ink or handwriting without a parent judicial order sheet are fraudulent and must be excised from the record."*</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৪.৫ Application to This Case (বর্তমান মামলায় আইনের প্রয়োগ)</w:t>
      </w:r>
    </w:p>
    <w:p>
      <w:r>
        <w:rPr>
          <w:rFonts w:ascii="Kalpurush" w:cs="Kalpurush" w:eastAsia="Kalpurush" w:hAnsi="Kalpurush"/>
          <w:sz w:val="20"/>
          <w:szCs w:val="20"/>
        </w:rPr>
        <w:t xml:space="preserve">DW-4 স্বীকার করেছেন সখিপুর AC Land অফিসে ভলিউম নোটটি ভিন্ন কালিতে এবং ভিন্ন হাতের লেখায় যুক্ত। কোনো Parent Order বা Register of Alterations Entry ছাড়া এই নোট সম্পূর্ণ আইনবহির্ভূত ও জালিয়াতিপূর্ণ।</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৪.৬ Conclusion (উপসংহার)</w:t>
      </w:r>
    </w:p>
    <w:p>
      <w:r>
        <w:rPr>
          <w:rFonts w:ascii="Kalpurush" w:cs="Kalpurush" w:eastAsia="Kalpurush" w:hAnsi="Kalpurush"/>
          <w:sz w:val="20"/>
          <w:szCs w:val="20"/>
        </w:rPr>
        <w:t xml:space="preserve">একটি এখতিয়ারহীন রাজস্ব কর্মকর্তার কালির নোট দিয়ে জেলা রেকর্ড রুমের মূল সংবিধিবদ্ধ রেকর্ড বাতিল করার সিদ্ধান্ত আইনত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5: Respondents' Story Defeats Itself — Factual Contradictions</w:t>
      </w:r>
    </w:p>
    <w:p>
      <w:pPr>
        <w:pStyle w:val="Heading3"/>
      </w:pPr>
      <w:r>
        <w:rPr>
          <w:rFonts w:ascii="Kalpurush" w:cs="Kalpurush" w:eastAsia="Kalpurush" w:hAnsi="Kalpurush"/>
          <w:sz w:val="20"/>
          <w:szCs w:val="20"/>
        </w:rPr>
        <w:t xml:space="preserve">*(বিবাদীদের নিজেদের সাজানো কাহিনীর অভ্যন্তরীণ ধস ও অবিশ্বাস্য সত্য-সংঘর্ষ)*</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৫.১ Trial Court Held (ট্রায়াল কোর্ট কি সিদ্ধান্ত দিয়েছিলেন)</w:t>
      </w:r>
    </w:p>
    <w:p>
      <w:pPr>
        <w:ind w:left="720"/>
      </w:pPr>
      <w:r>
        <w:rPr>
          <w:rFonts w:ascii="Kalpurush" w:cs="Kalpurush" w:eastAsia="Kalpurush" w:hAnsi="Kalpurush"/>
          <w:i/>
          <w:iCs/>
          <w:sz w:val="20"/>
          <w:szCs w:val="20"/>
        </w:rPr>
        <w:t xml:space="preserve">*"বিজ্ঞ ট্রায়াল কোর্ট বিবাদীদের বর্ণনাকৃত ঘটনাপ্রবাহকে সত্য বলিয়া বিশ্বাস করিয়াছেন এবং তাহাদের সাক্ষ্য-প্রমাণকে নির্ভরযোগ্য বিবেচনা করিয়াছেন।"*</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৫.২ Why This is Legally Wrong (কেন এই সিদ্ধান্ত আইনত মারাত্মক ভুল)</w:t>
      </w:r>
    </w:p>
    <w:p>
      <w:r>
        <w:rPr>
          <w:rFonts w:ascii="Kalpurush" w:cs="Kalpurush" w:eastAsia="Kalpurush" w:hAnsi="Kalpurush"/>
          <w:sz w:val="20"/>
          <w:szCs w:val="20"/>
        </w:rPr>
        <w:t xml:space="preserve">বিবাদীদের নিজেদের কাগজপত্র ও সাক্ষীদের জবানবন্দিতে এমন ৫টি অখণ্ডনীয় Factual Contradiction রহিয়াছে, যা বিচারিক দৃষ্টিতে তাহাদের সমস্ত কাহিনীর বিশ্বস্ততা মুহূর্তের মধ্যে ধ্বংস করিয়া দেয়:</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১. বিবাদীদের নিজেদের ১৯৭৫ সালের রেজিস্ট্রিকৃত দলিলের আত্মঘাতী স্বীকারোক্তি:</w:t>
      </w:r>
    </w:p>
    <w:p>
      <w:pPr>
        <w:pStyle w:val="ListParagraph"/>
        <w:numPr>
          <w:ilvl w:val="0"/>
          <w:numId w:val="1"/>
        </w:numPr>
      </w:pPr>
      <w:r>
        <w:rPr>
          <w:rFonts w:ascii="Kalpurush" w:cs="Kalpurush" w:eastAsia="Kalpurush" w:hAnsi="Kalpurush"/>
          <w:b/>
          <w:bCs/>
          <w:sz w:val="20"/>
          <w:szCs w:val="20"/>
        </w:rPr>
        <w:t xml:space="preserve">বিবাদীদের আদালতে দাবি:</w:t>
      </w:r>
      <w:r>
        <w:rPr>
          <w:rFonts w:ascii="Kalpurush" w:cs="Kalpurush" w:eastAsia="Kalpurush" w:hAnsi="Kalpurush"/>
          <w:sz w:val="20"/>
          <w:szCs w:val="20"/>
        </w:rPr>
        <w:t xml:space="preserve"> ১৯৬৯ সালের সংশোধনের পর SA ২৩৮ খতিয়ানে জমি ছিল </w:t>
      </w:r>
      <w:r>
        <w:rPr>
          <w:rFonts w:ascii="Kalpurush" w:cs="Kalpurush" w:eastAsia="Kalpurush" w:hAnsi="Kalpurush"/>
          <w:b/>
          <w:bCs/>
          <w:sz w:val="20"/>
          <w:szCs w:val="20"/>
        </w:rPr>
        <w:t xml:space="preserve">মাত্র ১টি দাগে (১২৫৯ দাগ)</w:t>
      </w:r>
      <w:r>
        <w:rPr>
          <w:rFonts w:ascii="Kalpurush" w:cs="Kalpurush" w:eastAsia="Kalpurush" w:hAnsi="Kalpurush"/>
          <w:sz w:val="20"/>
          <w:szCs w:val="20"/>
        </w:rPr>
        <w:t xml:space="preserve">।</w:t>
      </w:r>
    </w:p>
    <w:p>
      <w:pPr>
        <w:pStyle w:val="ListParagraph"/>
        <w:numPr>
          <w:ilvl w:val="0"/>
          <w:numId w:val="1"/>
        </w:numPr>
      </w:pPr>
      <w:r>
        <w:rPr>
          <w:rFonts w:ascii="Kalpurush" w:cs="Kalpurush" w:eastAsia="Kalpurush" w:hAnsi="Kalpurush"/>
          <w:b/>
          <w:bCs/>
          <w:sz w:val="20"/>
          <w:szCs w:val="20"/>
        </w:rPr>
        <w:t xml:space="preserve">বিবাদীদের নিজেদের ৩৫৯৬/১৯৭৫ নং রেজিস্ট্রিকৃত দলিল (Exhibit Kha-1):</w:t>
      </w:r>
      <w:r>
        <w:rPr>
          <w:rFonts w:ascii="Kalpurush" w:cs="Kalpurush" w:eastAsia="Kalpurush" w:hAnsi="Kalpurush"/>
          <w:sz w:val="20"/>
          <w:szCs w:val="20"/>
        </w:rPr>
        <w:t xml:space="preserve"> উক্ত দলিলে বিবাদীরা স্পষ্ট উল্লেখ করিয়াছেন যে SA ২৩৮ খতিয়ানের অধীনে ১টি নহে, </w:t>
      </w:r>
      <w:r>
        <w:rPr>
          <w:rFonts w:ascii="Kalpurush" w:cs="Kalpurush" w:eastAsia="Kalpurush" w:hAnsi="Kalpurush"/>
          <w:b/>
          <w:bCs/>
          <w:sz w:val="20"/>
          <w:szCs w:val="20"/>
        </w:rPr>
        <w:t xml:space="preserve">৬টি দাগ</w:t>
      </w:r>
      <w:r>
        <w:rPr>
          <w:rFonts w:ascii="Kalpurush" w:cs="Kalpurush" w:eastAsia="Kalpurush" w:hAnsi="Kalpurush"/>
          <w:sz w:val="20"/>
          <w:szCs w:val="20"/>
        </w:rPr>
        <w:t xml:space="preserve"> বিদ্যমান!</w:t>
      </w:r>
    </w:p>
    <w:p>
      <w:pPr>
        <w:pStyle w:val="ListParagraph"/>
        <w:numPr>
          <w:ilvl w:val="0"/>
          <w:numId w:val="1"/>
        </w:numPr>
      </w:pPr>
      <w:r>
        <w:rPr>
          <w:rFonts w:ascii="Kalpurush" w:cs="Kalpurush" w:eastAsia="Kalpurush" w:hAnsi="Kalpurush"/>
          <w:b/>
          <w:bCs/>
          <w:sz w:val="20"/>
          <w:szCs w:val="20"/>
        </w:rPr>
        <w:t xml:space="preserve">আইনি প্রভাব:</w:t>
      </w:r>
      <w:r>
        <w:rPr>
          <w:rFonts w:ascii="Kalpurush" w:cs="Kalpurush" w:eastAsia="Kalpurush" w:hAnsi="Kalpurush"/>
          <w:sz w:val="20"/>
          <w:szCs w:val="20"/>
        </w:rPr>
        <w:t xml:space="preserve"> যদি ১৯৬৯ সালে খতিয়ান ১টি দাগে রূপান্তরিত হইয়া থাকিত, তবে ১৯৭৫ সালে নিজেদের দলিলে ৬টি দাগ কীভাবে আসিল? ইহা প্রমাণ করে যে বিবাদীরা নিজেরাও ১৯৬৯ সালের কথিত সংশোধনকে বাস্তবে সত্য বলিয়া বিশ্বাস করতেন 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২. বিবাদীদের নিজ সাক্ষী DW-4-এর মারাত্মক স্বীকারোক্তি:</w:t>
      </w:r>
    </w:p>
    <w:p>
      <w:pPr>
        <w:pStyle w:val="ListParagraph"/>
        <w:numPr>
          <w:ilvl w:val="0"/>
          <w:numId w:val="1"/>
        </w:numPr>
      </w:pPr>
      <w:r>
        <w:rPr>
          <w:rFonts w:ascii="Kalpurush" w:cs="Kalpurush" w:eastAsia="Kalpurush" w:hAnsi="Kalpurush"/>
          <w:sz w:val="20"/>
          <w:szCs w:val="20"/>
        </w:rPr>
        <w:t xml:space="preserve">DW-4 (AC Land প্রতিনিধি) জেরায় স্বীকার করেন যে ভলিউম নোটটি </w:t>
      </w:r>
      <w:r>
        <w:rPr>
          <w:rFonts w:ascii="Kalpurush" w:cs="Kalpurush" w:eastAsia="Kalpurush" w:hAnsi="Kalpurush"/>
          <w:b/>
          <w:bCs/>
          <w:sz w:val="20"/>
          <w:szCs w:val="20"/>
        </w:rPr>
        <w:t xml:space="preserve">ভিন্ন কালিতে ও ভিন্ন হাতের লেখায়</w:t>
      </w:r>
      <w:r>
        <w:rPr>
          <w:rFonts w:ascii="Kalpurush" w:cs="Kalpurush" w:eastAsia="Kalpurush" w:hAnsi="Kalpurush"/>
          <w:sz w:val="20"/>
          <w:szCs w:val="20"/>
        </w:rPr>
        <w:t xml:space="preserve"> যুক্ত।</w:t>
      </w:r>
    </w:p>
    <w:p>
      <w:pPr>
        <w:pStyle w:val="ListParagraph"/>
        <w:numPr>
          <w:ilvl w:val="0"/>
          <w:numId w:val="1"/>
        </w:numPr>
      </w:pPr>
      <w:r>
        <w:rPr>
          <w:rFonts w:ascii="Kalpurush" w:cs="Kalpurush" w:eastAsia="Kalpurush" w:hAnsi="Kalpurush"/>
          <w:sz w:val="20"/>
          <w:szCs w:val="20"/>
        </w:rPr>
        <w:t xml:space="preserve">DW-4 মার্জিন নোটের মূল আইনি ফাইল বা কারণ দর্শাইতে সম্পূর্ণ ব্যর্থ হন।</w:t>
      </w:r>
    </w:p>
    <w:p>
      <w:pPr>
        <w:pStyle w:val="ListParagraph"/>
        <w:numPr>
          <w:ilvl w:val="0"/>
          <w:numId w:val="1"/>
        </w:numPr>
      </w:pPr>
      <w:r>
        <w:rPr>
          <w:rFonts w:ascii="Kalpurush" w:cs="Kalpurush" w:eastAsia="Kalpurush" w:hAnsi="Kalpurush"/>
          <w:sz w:val="20"/>
          <w:szCs w:val="20"/>
        </w:rPr>
        <w:t xml:space="preserve">DW-4 সাক্ষ্যদানকালে মূল রেকর্ডভুক্ত প্রজা "আব্দুল আলী"-র পরিবর্তে বারবার </w:t>
      </w:r>
      <w:r>
        <w:rPr>
          <w:rFonts w:ascii="Kalpurush" w:cs="Kalpurush" w:eastAsia="Kalpurush" w:hAnsi="Kalpurush"/>
          <w:b/>
          <w:bCs/>
          <w:sz w:val="20"/>
          <w:szCs w:val="20"/>
        </w:rPr>
        <w:t xml:space="preserve">"আব্দুল আলীম"</w:t>
      </w:r>
      <w:r>
        <w:rPr>
          <w:rFonts w:ascii="Kalpurush" w:cs="Kalpurush" w:eastAsia="Kalpurush" w:hAnsi="Kalpurush"/>
          <w:sz w:val="20"/>
          <w:szCs w:val="20"/>
        </w:rPr>
        <w:t xml:space="preserve"> নাম উচ্চারণ করেন — যা জালিয়াতির প্রচ্ছন্ন আলামত।</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৩. সোনাভানুর বোনদের বাদ পড়া (Selective Fraud):</w:t>
      </w:r>
    </w:p>
    <w:p>
      <w:pPr>
        <w:pStyle w:val="ListParagraph"/>
        <w:numPr>
          <w:ilvl w:val="0"/>
          <w:numId w:val="1"/>
        </w:numPr>
      </w:pPr>
      <w:r>
        <w:rPr>
          <w:rFonts w:ascii="Kalpurush" w:cs="Kalpurush" w:eastAsia="Kalpurush" w:hAnsi="Kalpurush"/>
          <w:sz w:val="20"/>
          <w:szCs w:val="20"/>
        </w:rPr>
        <w:t xml:space="preserve">বিবাদীরা দাবি করে আব্দুল করিমের উত্তরাধিকারী হিসেবে সোনাভানুর নাম অন্তর্ভুক্ত হইয়াছে। কিন্তু আব্দুল করিমের অন্য দুই কন্যা </w:t>
      </w:r>
      <w:r>
        <w:rPr>
          <w:rFonts w:ascii="Kalpurush" w:cs="Kalpurush" w:eastAsia="Kalpurush" w:hAnsi="Kalpurush"/>
          <w:b/>
          <w:bCs/>
          <w:sz w:val="20"/>
          <w:szCs w:val="20"/>
        </w:rPr>
        <w:t xml:space="preserve">বেলুয়া ও কমলা</w:t>
      </w:r>
      <w:r>
        <w:rPr>
          <w:rFonts w:ascii="Kalpurush" w:cs="Kalpurush" w:eastAsia="Kalpurush" w:hAnsi="Kalpurush"/>
          <w:sz w:val="20"/>
          <w:szCs w:val="20"/>
        </w:rPr>
        <w:t xml:space="preserve">-র নাম কেন বাদ পড়িল? কেবল সোনাভানুর নাম ঢুকানো প্রশাসনিক কারসাজির অকাট্য আলামত।</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৪. গাণিতিক অসম্ভবতা (Arithmetic Impossibility of Fraud):</w:t>
      </w:r>
    </w:p>
    <w:p>
      <w:pPr>
        <w:pStyle w:val="ListParagraph"/>
        <w:numPr>
          <w:ilvl w:val="0"/>
          <w:numId w:val="1"/>
        </w:numPr>
      </w:pPr>
      <w:r>
        <w:rPr>
          <w:rFonts w:ascii="Kalpurush" w:cs="Kalpurush" w:eastAsia="Kalpurush" w:hAnsi="Kalpurush"/>
          <w:sz w:val="20"/>
          <w:szCs w:val="20"/>
        </w:rPr>
        <w:t xml:space="preserve">বিবাদীদের দাবি করা পরিমাণ: ৩৪৯ শতাংশ।</w:t>
      </w:r>
    </w:p>
    <w:p>
      <w:pPr>
        <w:pStyle w:val="ListParagraph"/>
        <w:numPr>
          <w:ilvl w:val="0"/>
          <w:numId w:val="1"/>
        </w:numPr>
      </w:pPr>
      <w:r>
        <w:rPr>
          <w:rFonts w:ascii="Kalpurush" w:cs="Kalpurush" w:eastAsia="Kalpurush" w:hAnsi="Kalpurush"/>
          <w:sz w:val="20"/>
          <w:szCs w:val="20"/>
        </w:rPr>
        <w:t xml:space="preserve">সরকারি খাস জমির পরিমাণ: ১৩৭ শতাংশ।</w:t>
      </w:r>
    </w:p>
    <w:p>
      <w:pPr>
        <w:pStyle w:val="ListParagraph"/>
        <w:numPr>
          <w:ilvl w:val="0"/>
          <w:numId w:val="1"/>
        </w:numPr>
      </w:pPr>
      <w:r>
        <w:rPr>
          <w:rFonts w:ascii="Kalpurush" w:cs="Kalpurush" w:eastAsia="Kalpurush" w:hAnsi="Kalpurush"/>
          <w:sz w:val="20"/>
          <w:szCs w:val="20"/>
        </w:rPr>
        <w:t xml:space="preserve">মোট যোগফল: </w:t>
      </w:r>
      <w:r>
        <w:rPr>
          <w:rFonts w:ascii="Kalpurush" w:cs="Kalpurush" w:eastAsia="Kalpurush" w:hAnsi="Kalpurush"/>
          <w:b/>
          <w:bCs/>
          <w:sz w:val="20"/>
          <w:szCs w:val="20"/>
        </w:rPr>
        <w:t xml:space="preserve">৪৮৬ শতাংশ</w:t>
      </w:r>
      <w:r>
        <w:rPr>
          <w:rFonts w:ascii="Kalpurush" w:cs="Kalpurush" w:eastAsia="Kalpurush" w:hAnsi="Kalpurush"/>
          <w:sz w:val="20"/>
          <w:szCs w:val="20"/>
        </w:rPr>
        <w:t xml:space="preserve">।</w:t>
      </w:r>
    </w:p>
    <w:p>
      <w:pPr>
        <w:pStyle w:val="ListParagraph"/>
        <w:numPr>
          <w:ilvl w:val="0"/>
          <w:numId w:val="1"/>
        </w:numPr>
      </w:pPr>
      <w:r>
        <w:rPr>
          <w:rFonts w:ascii="Kalpurush" w:cs="Kalpurush" w:eastAsia="Kalpurush" w:hAnsi="Kalpurush"/>
          <w:sz w:val="20"/>
          <w:szCs w:val="20"/>
        </w:rPr>
        <w:t xml:space="preserve">অথচ ১২৫৯ দাগের প্রকৃত মোট আয়তন: </w:t>
      </w:r>
      <w:r>
        <w:rPr>
          <w:rFonts w:ascii="Kalpurush" w:cs="Kalpurush" w:eastAsia="Kalpurush" w:hAnsi="Kalpurush"/>
          <w:b/>
          <w:bCs/>
          <w:sz w:val="20"/>
          <w:szCs w:val="20"/>
        </w:rPr>
        <w:t xml:space="preserve">৪৭৭ শতাংশ</w:t>
      </w:r>
      <w:r>
        <w:rPr>
          <w:rFonts w:ascii="Kalpurush" w:cs="Kalpurush" w:eastAsia="Kalpurush" w:hAnsi="Kalpurush"/>
          <w:sz w:val="20"/>
          <w:szCs w:val="20"/>
        </w:rPr>
        <w:t xml:space="preserve"> (৯ শতাংশ অতিরিক্ত — বাস্তবে সম্পূর্ণ অসম্ভব!)।</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৫. সেন্ট্রাল রেকর্ড রুমের ৫০ বছরের নিরবচ্ছিন্ন নীরবতা:</w:t>
      </w:r>
    </w:p>
    <w:p>
      <w:pPr>
        <w:pStyle w:val="ListParagraph"/>
        <w:numPr>
          <w:ilvl w:val="0"/>
          <w:numId w:val="1"/>
        </w:numPr>
      </w:pPr>
      <w:r>
        <w:rPr>
          <w:rFonts w:ascii="Kalpurush" w:cs="Kalpurush" w:eastAsia="Kalpurush" w:hAnsi="Kalpurush"/>
          <w:sz w:val="20"/>
          <w:szCs w:val="20"/>
        </w:rPr>
        <w:t xml:space="preserve">জেলা প্রশাসকের সেন্ট্রাল রেকর্ড রুমে আজও SA ২৩৮ খতিয়ান আব্দুল আলীর নামেই বহাল রহিয়াছে।</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৫.৩ Applicable Law &amp; Precedent (প্রযোজ্য আইন ও নজির)</w:t>
      </w:r>
    </w:p>
    <w:p>
      <w:pPr>
        <w:pStyle w:val="ListParagraph"/>
        <w:numPr>
          <w:ilvl w:val="0"/>
          <w:numId w:val="1"/>
        </w:numPr>
      </w:pPr>
      <w:r>
        <w:rPr>
          <w:rFonts w:ascii="Kalpurush" w:cs="Kalpurush" w:eastAsia="Kalpurush" w:hAnsi="Kalpurush"/>
          <w:b/>
          <w:bCs/>
          <w:sz w:val="20"/>
          <w:szCs w:val="20"/>
        </w:rPr>
        <w:t xml:space="preserve">Evidence Act, 1872 (Sections 17, 18 &amp; 21):</w:t>
      </w:r>
      <w:r>
        <w:rPr>
          <w:rFonts w:ascii="Kalpurush" w:cs="Kalpurush" w:eastAsia="Kalpurush" w:hAnsi="Kalpurush"/>
          <w:sz w:val="20"/>
          <w:szCs w:val="20"/>
        </w:rPr>
        <w:t xml:space="preserve"> বিবাদীদের নিজস্ব দলিলের বিবরণ তাহাদের বিরুদ্ধে চূড়ান্ত Admission।</w:t>
      </w:r>
    </w:p>
    <w:p>
      <w:pPr>
        <w:pStyle w:val="ListParagraph"/>
        <w:numPr>
          <w:ilvl w:val="0"/>
          <w:numId w:val="1"/>
        </w:numPr>
      </w:pPr>
      <w:r>
        <w:rPr>
          <w:rFonts w:ascii="Kalpurush" w:cs="Kalpurush" w:eastAsia="Kalpurush" w:hAnsi="Kalpurush"/>
          <w:b/>
          <w:bCs/>
          <w:sz w:val="20"/>
          <w:szCs w:val="20"/>
        </w:rPr>
        <w:t xml:space="preserve">Evidence Act, 1872 (Section 114(g)):</w:t>
      </w:r>
      <w:r>
        <w:rPr>
          <w:rFonts w:ascii="Kalpurush" w:cs="Kalpurush" w:eastAsia="Kalpurush" w:hAnsi="Kalpurush"/>
          <w:sz w:val="20"/>
          <w:szCs w:val="20"/>
        </w:rPr>
        <w:t xml:space="preserve"> স্ববিরোধী তথ্যের ব্যাখ্যা না দেওয়ার বিরূপ প্রভাব।</w:t>
      </w:r>
    </w:p>
    <w:p>
      <w:pPr>
        <w:pStyle w:val="ListParagraph"/>
        <w:numPr>
          <w:ilvl w:val="0"/>
          <w:numId w:val="1"/>
        </w:numPr>
      </w:pPr>
      <w:r>
        <w:rPr>
          <w:rFonts w:ascii="Kalpurush" w:cs="Kalpurush" w:eastAsia="Kalpurush" w:hAnsi="Kalpurush"/>
          <w:b/>
          <w:bCs/>
          <w:sz w:val="20"/>
          <w:szCs w:val="20"/>
        </w:rPr>
        <w:t xml:space="preserve">Doctrine of Approbate and Reprobate:</w:t>
      </w:r>
      <w:r>
        <w:rPr>
          <w:rFonts w:ascii="Kalpurush" w:cs="Kalpurush" w:eastAsia="Kalpurush" w:hAnsi="Kalpurush"/>
          <w:sz w:val="20"/>
          <w:szCs w:val="20"/>
        </w:rPr>
        <w:t xml:space="preserve"> *"A party cannot be allowed to approbate and reprobate — assert 1 dag for suit purposes and execute deeds for 6 dags under the same khatian."*</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৫.৪ Application &amp; Conclusion (প্রয়োগ ও উপসংহার)</w:t>
      </w:r>
    </w:p>
    <w:p>
      <w:r>
        <w:rPr>
          <w:rFonts w:ascii="Kalpurush" w:cs="Kalpurush" w:eastAsia="Kalpurush" w:hAnsi="Kalpurush"/>
          <w:sz w:val="20"/>
          <w:szCs w:val="20"/>
        </w:rPr>
        <w:t xml:space="preserve">এই ৫টি স্ববিরোধী সত্য প্রমাণ করে যে বিবাদীরা আদালতে মিথ্যা প্রতিরক্ষা সৃষ্টি করিয়াছেন। ট্রায়াল কোর্ট এই প্রাথমিক সত্যসমূহ উপেক্ষা করিয়া গুরুতর ভুল করিয়াছেন।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6: Partition Suit Was Fully Maintainable</w:t>
      </w:r>
    </w:p>
    <w:p>
      <w:pPr>
        <w:pStyle w:val="Heading3"/>
      </w:pPr>
      <w:r>
        <w:rPr>
          <w:rFonts w:ascii="Kalpurush" w:cs="Kalpurush" w:eastAsia="Kalpurush" w:hAnsi="Kalpurush"/>
          <w:sz w:val="20"/>
          <w:szCs w:val="20"/>
        </w:rPr>
        <w:t xml:space="preserve">*(বাটোয়ারা মামলার রক্ষণীয়তা, খাস জমি ও সরকারের পক্ষভুক্তি)*</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৬.১ Trial Court Held (ট্রায়াল কোর্ট কি সিদ্ধান্ত দিয়েছিলেন)</w:t>
      </w:r>
    </w:p>
    <w:p>
      <w:pPr>
        <w:ind w:left="720"/>
      </w:pPr>
      <w:r>
        <w:rPr>
          <w:rFonts w:ascii="Kalpurush" w:cs="Kalpurush" w:eastAsia="Kalpurush" w:hAnsi="Kalpurush"/>
          <w:i/>
          <w:iCs/>
          <w:sz w:val="20"/>
          <w:szCs w:val="20"/>
        </w:rPr>
        <w:t xml:space="preserve">*"বিজ্ঞ ট্রায়াল কোর্ট রায় দিয়াছেন যে, ১২৫৯ দাগের সমুদয় জমি (সরকারি খাস জমি সহ) বাটোয়ারায় না আনায় মামলাটি আংশিক বাটোয়ারার দোষে (Hotchpot Defect) দুষ্ট এবং সরকারকে পক্ষ না করায় Non-joinder দোষে মামলাটি খারিজযোগ্য।"*</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৬.২ Why This is Legally Wrong (কেন এই সিদ্ধান্ত আইনত মারাত্মক ভুল)</w:t>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Incidental Title Adjudication:</w:t>
      </w:r>
      <w:r>
        <w:rPr>
          <w:rFonts w:ascii="Kalpurush" w:cs="Kalpurush" w:eastAsia="Kalpurush" w:hAnsi="Kalpurush"/>
          <w:sz w:val="20"/>
          <w:szCs w:val="20"/>
        </w:rPr>
        <w:t xml:space="preserve"> দেওয়ানি আদালতের সম্পূর্ণ এখতিয়ার রহিয়াছে বাটোয়ারা মামলার ভেতরেই প্রাসঙ্গিক স্বত্ব (incidental title) পরীক্ষা ও সিদ্ধান্ত প্রদান করার।</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Hotchpot Rule-এর সঠিক প্রয়োগ:</w:t>
      </w:r>
      <w:r>
        <w:rPr>
          <w:rFonts w:ascii="Kalpurush" w:cs="Kalpurush" w:eastAsia="Kalpurush" w:hAnsi="Kalpurush"/>
          <w:sz w:val="20"/>
          <w:szCs w:val="20"/>
        </w:rPr>
        <w:t xml:space="preserve"> SA ২৩৮ একটি পৃথক ব্যক্তিমালিকানাধীন খতিয়ান (৩৪-৩৯ শতাংশ)। সরকারি খাস জমি সম্পূর্ণ ভিন্ন খতিয়ানভুক্ত। পৃথক খতিয়ানের জমি ব্যক্তিমালিকানাধীন বাটোয়ারায় আনা বাধ্যতামূলক নহে।</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Government-এর Non-joinder:</w:t>
      </w:r>
      <w:r>
        <w:rPr>
          <w:rFonts w:ascii="Kalpurush" w:cs="Kalpurush" w:eastAsia="Kalpurush" w:hAnsi="Kalpurush"/>
          <w:sz w:val="20"/>
          <w:szCs w:val="20"/>
        </w:rPr>
        <w:t xml:space="preserve"> ব্যক্তিমালিকানাধীন বাটোয়ারা মামলায় সরকার আবশ্যকীয় পক্ষ (Necessary Party) নহে।</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৬.৩ Applicable Law &amp; Precedent (প্রযোজ্য আইন ও নজির)</w:t>
      </w:r>
    </w:p>
    <w:p>
      <w:pPr>
        <w:ind w:left="720"/>
      </w:pPr>
      <w:r>
        <w:rPr>
          <w:rFonts w:ascii="Kalpurush" w:cs="Kalpurush" w:eastAsia="Kalpurush" w:hAnsi="Kalpurush"/>
          <w:b/>
          <w:bCs/>
          <w:i/>
          <w:iCs/>
          <w:sz w:val="20"/>
          <w:szCs w:val="20"/>
        </w:rPr>
        <w:t xml:space="preserve">Safaruddin vs. Fazlul Huq, 49 DLR (AD) 15:</w:t>
      </w:r>
    </w:p>
    <w:p>
      <w:pPr>
        <w:ind w:left="720"/>
      </w:pPr>
      <w:r>
        <w:rPr>
          <w:rFonts w:ascii="Kalpurush" w:cs="Kalpurush" w:eastAsia="Kalpurush" w:hAnsi="Kalpurush"/>
          <w:i/>
          <w:iCs/>
          <w:sz w:val="20"/>
          <w:szCs w:val="20"/>
        </w:rPr>
        <w:t xml:space="preserve">*"The Government is not a necessary party in a private partition suit between co-sharers where no relief is sought against the State."*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Shahjahan Akon vs. Murshida Khanam, 27 BLD (HD) 229:</w:t>
      </w:r>
    </w:p>
    <w:p>
      <w:pPr>
        <w:ind w:left="720"/>
      </w:pPr>
      <w:r>
        <w:rPr>
          <w:rFonts w:ascii="Kalpurush" w:cs="Kalpurush" w:eastAsia="Kalpurush" w:hAnsi="Kalpurush"/>
          <w:i/>
          <w:iCs/>
          <w:sz w:val="20"/>
          <w:szCs w:val="20"/>
        </w:rPr>
        <w:t xml:space="preserve">*"Separate khatians create separate tenancies; no hotchpot defect arises from leaving out adjacent government plots or land under different tenancies."*</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Syed Nurul Huda vs. Govt. of Bangladesh, 8 SCOB (2016) HCD 1:</w:t>
      </w:r>
    </w:p>
    <w:p>
      <w:pPr>
        <w:ind w:left="720"/>
      </w:pPr>
      <w:r>
        <w:rPr>
          <w:rFonts w:ascii="Kalpurush" w:cs="Kalpurush" w:eastAsia="Kalpurush" w:hAnsi="Kalpurush"/>
          <w:i/>
          <w:iCs/>
          <w:sz w:val="20"/>
          <w:szCs w:val="20"/>
        </w:rPr>
        <w:t xml:space="preserve">*"A suit for partition cannot fail merely for non-joinder of parties unless the party omitted is a necessary party whose absence prevents an effective decree."*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৬.৪ Conclusion (উপসংহার)</w:t>
      </w:r>
    </w:p>
    <w:p>
      <w:r>
        <w:rPr>
          <w:rFonts w:ascii="Kalpurush" w:cs="Kalpurush" w:eastAsia="Kalpurush" w:hAnsi="Kalpurush"/>
          <w:sz w:val="20"/>
          <w:szCs w:val="20"/>
        </w:rPr>
        <w:t xml:space="preserve">ট্রায়াল কোর্টের Hotchpot ও Non-joinder সংক্রান্ত সিদ্ধান্ত আইনগত নজিরসমূহের সরাসরি পরিপন্থী এবং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7: Expanded Bench Questions &amp; Bulletproof Answers</w:t>
      </w:r>
    </w:p>
    <w:p>
      <w:pPr>
        <w:pStyle w:val="Heading3"/>
      </w:pPr>
      <w:r>
        <w:rPr>
          <w:rFonts w:ascii="Kalpurush" w:cs="Kalpurush" w:eastAsia="Kalpurush" w:hAnsi="Kalpurush"/>
          <w:sz w:val="20"/>
          <w:szCs w:val="20"/>
        </w:rPr>
        <w:t xml:space="preserve">*(বিচারকের সম্ভাব্য ১৫টি তীক্ষ্ণ প্রশ্ন ও অখণ্ডনীয় আইনি জবাব)*</w:t>
      </w:r>
    </w:p>
    <w:p>
      <w:r>
        <w:rPr>
          <w:rFonts w:ascii="Kalpurush" w:cs="Kalpurush" w:eastAsia="Kalpurush" w:hAnsi="Kalpurush"/>
        </w:rPr>
        <w:t xml:space="preserve"/>
      </w:r>
    </w:p>
    <w:p>
      <w:r>
        <w:rPr>
          <w:rFonts w:ascii="Kalpurush" w:cs="Kalpurush" w:eastAsia="Kalpurush" w:hAnsi="Kalpurush"/>
          <w:b/>
          <w:bCs/>
          <w:sz w:val="20"/>
          <w:szCs w:val="20"/>
        </w:rPr>
        <w:t xml:space="preserve">Q1: বিবাদীরা Misc Case 1181/1969-এর সার্টিফাইড কপি কেন উপস্থাপন করতে পারল 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বিবাদীরা Misc Case-এর সার্টিফাইড কপি দিতে পারেনি কারণ বাস্তবে কোনো বিচারিক আদেশের অস্তিত্বই ছিল না। Evidence Act Section 114(g) অনুযায়ী প্রাতিষ্ঠানিক নথি গোপন করার জন্য বিবাদীদের বিরুদ্ধে Adverse Inference গ্রহণ বাধ্যতামূলক।"*</w:t>
      </w:r>
    </w:p>
    <w:p>
      <w:r>
        <w:rPr>
          <w:rFonts w:ascii="Kalpurush" w:cs="Kalpurush" w:eastAsia="Kalpurush" w:hAnsi="Kalpurush"/>
        </w:rPr>
        <w:t xml:space="preserve"/>
      </w:r>
    </w:p>
    <w:p>
      <w:r>
        <w:rPr>
          <w:rFonts w:ascii="Kalpurush" w:cs="Kalpurush" w:eastAsia="Kalpurush" w:hAnsi="Kalpurush"/>
          <w:b/>
          <w:bCs/>
          <w:sz w:val="20"/>
          <w:szCs w:val="20"/>
        </w:rPr>
        <w:t xml:space="preserve">Q2: AC Land ভলিউমে তো নোট লেখা আছে, আদালত কি তা উপেক্ষা করতে পারে?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53 DLR 19 এবং 1 BLT 18 অনুযায়ী Parent Order ছাড়া Volume Note-এর কোনো আইনি অস্তিত্ব নাই। Root না থাকলে Fruit বাতিল হতে বাধ্য।"*</w:t>
      </w:r>
    </w:p>
    <w:p>
      <w:r>
        <w:rPr>
          <w:rFonts w:ascii="Kalpurush" w:cs="Kalpurush" w:eastAsia="Kalpurush" w:hAnsi="Kalpurush"/>
        </w:rPr>
        <w:t xml:space="preserve"/>
      </w:r>
    </w:p>
    <w:p>
      <w:r>
        <w:rPr>
          <w:rFonts w:ascii="Kalpurush" w:cs="Kalpurush" w:eastAsia="Kalpurush" w:hAnsi="Kalpurush"/>
          <w:b/>
          <w:bCs/>
          <w:sz w:val="20"/>
          <w:szCs w:val="20"/>
        </w:rPr>
        <w:t xml:space="preserve">Q3: রাজস্ব কর্মকর্তা (AC Land) কি খতিয়ান সংশোধন করে নাম ঢুকাতে পারেন 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18 BLC 235 এবং 29 BLC 160 অনুযায়ী AC Land কোনো দেওয়ানি আদালত নন। Mutation-এর প্রশাসনিক ক্ষমতায় কারো বিদ্যমান স্বত্ব কর্তন বা নতুন রায়ত বানানোর কোনো এখতিয়ার তাহার নাই।"*</w:t>
      </w:r>
    </w:p>
    <w:p>
      <w:r>
        <w:rPr>
          <w:rFonts w:ascii="Kalpurush" w:cs="Kalpurush" w:eastAsia="Kalpurush" w:hAnsi="Kalpurush"/>
        </w:rPr>
        <w:t xml:space="preserve"/>
      </w:r>
    </w:p>
    <w:p>
      <w:r>
        <w:rPr>
          <w:rFonts w:ascii="Kalpurush" w:cs="Kalpurush" w:eastAsia="Kalpurush" w:hAnsi="Kalpurush"/>
          <w:b/>
          <w:bCs/>
          <w:sz w:val="20"/>
          <w:szCs w:val="20"/>
        </w:rPr>
        <w:t xml:space="preserve">Q4: প্রাক-SA যুগের ১৩৩৪ বঙ্গাব্দের পত্তন কি বিবাদীদের স্বত্ব প্রমাণ করে 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4 SCOB [2015] HCD 52 অনুযায়ী SAT Act-এর ধারা ৮৬ মূলে প্রাক-SA যুগের যেকোনো অনিবন্ধিত পত্তন বা স্বত্ব আইনের বলেই বিলুপ্ত হয়েছে। অধিকন্তু CS ২ খতিয়ানে জমিটি নবাব এস্টেটের খাস জমি ছিল।"*</w:t>
      </w:r>
    </w:p>
    <w:p>
      <w:r>
        <w:rPr>
          <w:rFonts w:ascii="Kalpurush" w:cs="Kalpurush" w:eastAsia="Kalpurush" w:hAnsi="Kalpurush"/>
        </w:rPr>
        <w:t xml:space="preserve"/>
      </w:r>
    </w:p>
    <w:p>
      <w:r>
        <w:rPr>
          <w:rFonts w:ascii="Kalpurush" w:cs="Kalpurush" w:eastAsia="Kalpurush" w:hAnsi="Kalpurush"/>
          <w:b/>
          <w:bCs/>
          <w:sz w:val="20"/>
          <w:szCs w:val="20"/>
        </w:rPr>
        <w:t xml:space="preserve">Q5: বিবাদীদের ১৯৭৫ সালের দলিল (Deed 3596/1975) কেন তাহাদের দাবির বিরুদ্ধে যায়?</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বিবাদীরা দাবি করে ১৯৬৯ সংশোধনে SA ২৩৮-এ দাগ মাত্র ১টি। অথচ ১৯৭৫ সালে তাহাদের নিজ দলিলেই ৬টি দাগের উল্লেখ রয়েছে! Evidence Act-এর Admission ও Approbate-Reprobate নীতি অনুযায়ী তাহারা নিজেদের দলিল দ্বারাই পরাজিত।"*</w:t>
      </w:r>
    </w:p>
    <w:p>
      <w:r>
        <w:rPr>
          <w:rFonts w:ascii="Kalpurush" w:cs="Kalpurush" w:eastAsia="Kalpurush" w:hAnsi="Kalpurush"/>
        </w:rPr>
        <w:t xml:space="preserve"/>
      </w:r>
    </w:p>
    <w:p>
      <w:r>
        <w:rPr>
          <w:rFonts w:ascii="Kalpurush" w:cs="Kalpurush" w:eastAsia="Kalpurush" w:hAnsi="Kalpurush"/>
          <w:b/>
          <w:bCs/>
          <w:sz w:val="20"/>
          <w:szCs w:val="20"/>
        </w:rPr>
        <w:t xml:space="preserve">Q6: সরকারি খাস জমি মামলায় না আনায় কি আংশিক বাটোয়ারার (Hotchpot) দোষ হয়েছে?</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27 BLD 229 অনুযায়ী পৃথক খতিয়ানের জমি বা সরকারের জমি ব্যক্তিমালিকানাধীন বাটোয়ারায় আনা বাধ্যতামূলক নয়। SA ২৩৮ একটি পৃথক স্বাবলম্বী রায়তি খতিয়ান।"*</w:t>
      </w:r>
    </w:p>
    <w:p>
      <w:r>
        <w:rPr>
          <w:rFonts w:ascii="Kalpurush" w:cs="Kalpurush" w:eastAsia="Kalpurush" w:hAnsi="Kalpurush"/>
        </w:rPr>
        <w:t xml:space="preserve"/>
      </w:r>
    </w:p>
    <w:p>
      <w:r>
        <w:rPr>
          <w:rFonts w:ascii="Kalpurush" w:cs="Kalpurush" w:eastAsia="Kalpurush" w:hAnsi="Kalpurush"/>
          <w:b/>
          <w:bCs/>
          <w:sz w:val="20"/>
          <w:szCs w:val="20"/>
        </w:rPr>
        <w:t xml:space="preserve">Q7: সরকারকে পক্ষ না করায় কি মামলা খারিজ হতে পারে?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আপীল বিভাগের 49 DLR (AD) 15 (Safaruddin Case) অনুযায়ী সহ-শরীকদের ব্যক্তিগত বাটোয়ারা মামলায় সরকার কোনো আবশ্যকীয় পক্ষ (Necessary Party) নয়।"*</w:t>
      </w:r>
    </w:p>
    <w:p>
      <w:r>
        <w:rPr>
          <w:rFonts w:ascii="Kalpurush" w:cs="Kalpurush" w:eastAsia="Kalpurush" w:hAnsi="Kalpurush"/>
        </w:rPr>
        <w:t xml:space="preserve"/>
      </w:r>
    </w:p>
    <w:p>
      <w:r>
        <w:rPr>
          <w:rFonts w:ascii="Kalpurush" w:cs="Kalpurush" w:eastAsia="Kalpurush" w:hAnsi="Kalpurush"/>
          <w:b/>
          <w:bCs/>
          <w:sz w:val="20"/>
          <w:szCs w:val="20"/>
        </w:rPr>
        <w:t xml:space="preserve">Q8: বাটোয়ারা মামলায় বিবাদীরা স্বত্ব দাবি করলে আদালতের করণীয়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বাটোয়ারা আদালতের সম্পূর্ণ দেওয়ানি এখতিয়ার রয়েছে বাটোয়ারা স্যুটের ভেতরেই প্রাসঙ্গিক স্বত্ব (Incidental Title) পরীক্ষা ও নির্ধারণ করার। বিবাদীদের মৌখিক দাবিতে মামলা খারিজ করা যায় না।"*</w:t>
      </w:r>
    </w:p>
    <w:p>
      <w:r>
        <w:rPr>
          <w:rFonts w:ascii="Kalpurush" w:cs="Kalpurush" w:eastAsia="Kalpurush" w:hAnsi="Kalpurush"/>
        </w:rPr>
        <w:t xml:space="preserve"/>
      </w:r>
    </w:p>
    <w:p>
      <w:r>
        <w:rPr>
          <w:rFonts w:ascii="Kalpurush" w:cs="Kalpurush" w:eastAsia="Kalpurush" w:hAnsi="Kalpurush"/>
          <w:b/>
          <w:bCs/>
          <w:sz w:val="20"/>
          <w:szCs w:val="20"/>
        </w:rPr>
        <w:t xml:space="preserve">Q9: DW-4 জেরায় কি স্বীকার করেছেন?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DW-4 স্বীকার করেছেন ভলিউম নোটটি ভিন্ন কালিতে ও ভিন্ন হাতের লেখায় যুক্ত এবং মূল রেকর্ডভুক্ত প্রজা 'আব্দুল আলী'-র পরিবর্তে তিনি বারবার 'আব্দুল আলীম' নাম উচ্চারণ করেছেন — যা প্রাতিষ্ঠানিক অনিয়ম প্রমাণ করে।"*</w:t>
      </w:r>
    </w:p>
    <w:p>
      <w:r>
        <w:rPr>
          <w:rFonts w:ascii="Kalpurush" w:cs="Kalpurush" w:eastAsia="Kalpurush" w:hAnsi="Kalpurush"/>
        </w:rPr>
        <w:t xml:space="preserve"/>
      </w:r>
    </w:p>
    <w:p>
      <w:r>
        <w:rPr>
          <w:rFonts w:ascii="Kalpurush" w:cs="Kalpurush" w:eastAsia="Kalpurush" w:hAnsi="Kalpurush"/>
          <w:b/>
          <w:bCs/>
          <w:sz w:val="20"/>
          <w:szCs w:val="20"/>
        </w:rPr>
        <w:t xml:space="preserve">Q10: সোনাভানুর বোনদের নাম না থাকা কেন গুরুত্বপূর্ণ?</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আব্দুল করিমের মৃত্যুর পর কেবল সোনাভানুর নাম ঢোকা এবং বেলুয়া ও কমলার নাম বাদ পড়া প্রমাণ করে যে ইহা কোনো স্বাভাবিক ওয়ারিশি সংশোধন নয়; ইহা একটি উদ্দেশ্যপ্রণোদিত জালিয়াতি।"*</w:t>
      </w:r>
    </w:p>
    <w:p>
      <w:r>
        <w:rPr>
          <w:rFonts w:ascii="Kalpurush" w:cs="Kalpurush" w:eastAsia="Kalpurush" w:hAnsi="Kalpurush"/>
        </w:rPr>
        <w:t xml:space="preserve"/>
      </w:r>
    </w:p>
    <w:p>
      <w:r>
        <w:rPr>
          <w:rFonts w:ascii="Kalpurush" w:cs="Kalpurush" w:eastAsia="Kalpurush" w:hAnsi="Kalpurush"/>
          <w:b/>
          <w:bCs/>
          <w:sz w:val="20"/>
          <w:szCs w:val="20"/>
        </w:rPr>
        <w:t xml:space="preserve">Q11: গাণিতিক হিসেব (৪৮৬ শতক বনাম ৪৭৭ শতক) কীভাবে জালিয়াতি প্রমাণ করে?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দাগের মোট আয়তন ৪৭৭ শতক। বিবাদীদের দাবি ৩৪৯ শতক এবং সরকারি খাস জমি ১৩৭ শতক যোগ করলে হয় ৪৮৬ শতক — যা দাগের আয়তনের চেয়ে ৯ শতক বেশি! এই গাণিতিক অসম্ভবতাই প্রমাণের শেষ পেরেক।"*</w:t>
      </w:r>
    </w:p>
    <w:p>
      <w:r>
        <w:rPr>
          <w:rFonts w:ascii="Kalpurush" w:cs="Kalpurush" w:eastAsia="Kalpurush" w:hAnsi="Kalpurush"/>
        </w:rPr>
        <w:t xml:space="preserve"/>
      </w:r>
    </w:p>
    <w:p>
      <w:r>
        <w:rPr>
          <w:rFonts w:ascii="Kalpurush" w:cs="Kalpurush" w:eastAsia="Kalpurush" w:hAnsi="Kalpurush"/>
          <w:b/>
          <w:bCs/>
          <w:sz w:val="20"/>
          <w:szCs w:val="20"/>
        </w:rPr>
        <w:t xml:space="preserve">Q12: জেলা প্রশাসকের রেকর্ড রুমের অপরিবর্তিত খতিয়ানের গুরুত্ব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জেলা প্রশাসকের কেন্দ্রীয় রেকর্ড রুমই হলো Statutory ROR-এর একমাত্র আইনসিদ্ধ অভিভাবক। বিগত ৫০ বছর ধরে সেখানে মূল খতিয়ান অপরিবর্তিত থাকা প্রমাণ করে স্থানীয় অফিসের মার্জিন নোট ভুয়া।"*</w:t>
      </w:r>
    </w:p>
    <w:p>
      <w:r>
        <w:rPr>
          <w:rFonts w:ascii="Kalpurush" w:cs="Kalpurush" w:eastAsia="Kalpurush" w:hAnsi="Kalpurush"/>
        </w:rPr>
        <w:t xml:space="preserve"/>
      </w:r>
    </w:p>
    <w:p>
      <w:r>
        <w:rPr>
          <w:rFonts w:ascii="Kalpurush" w:cs="Kalpurush" w:eastAsia="Kalpurush" w:hAnsi="Kalpurush"/>
          <w:b/>
          <w:bCs/>
          <w:sz w:val="20"/>
          <w:szCs w:val="20"/>
        </w:rPr>
        <w:t xml:space="preserve">Q13: ১৩৫৭ বঙ্গাব্দের খাজনা রশিদ এবং ১৯৫৭ সালের দলিল বাদীর পক্ষে কি প্রমাণ করে?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এগুলো প্রমাণ করে যে SA জরিপ চলাকালীন সময়ে আব্দুল আলী সংশ্লিষ্ট মৌজায় সশরীরে প্রকাশ্যে জমি ভোগদখল ও খাজনা প্রদান করছিলেন এবং রাষ্ট্র তাহাকেই একক ১৬ আনা প্রজা হিসেবে স্বীকার করেছে।"*</w:t>
      </w:r>
    </w:p>
    <w:p>
      <w:r>
        <w:rPr>
          <w:rFonts w:ascii="Kalpurush" w:cs="Kalpurush" w:eastAsia="Kalpurush" w:hAnsi="Kalpurush"/>
        </w:rPr>
        <w:t xml:space="preserve"/>
      </w:r>
    </w:p>
    <w:p>
      <w:r>
        <w:rPr>
          <w:rFonts w:ascii="Kalpurush" w:cs="Kalpurush" w:eastAsia="Kalpurush" w:hAnsi="Kalpurush"/>
          <w:b/>
          <w:bCs/>
          <w:sz w:val="20"/>
          <w:szCs w:val="20"/>
        </w:rPr>
        <w:t xml:space="preserve">Q14: Court of Wards-এর অধীনে নবাব এস্টেটের পত্তনের আইনি শর্ত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12 BLC (AD) 79 অনুযায়ী Chief Manager-এর লিখিত অনুমোদন ও স্বাক্ষর ছাড়া কোনো পত্তন বা খাজনা রশিদ সম্পূর্ণ void ab initio।"*</w:t>
      </w:r>
    </w:p>
    <w:p>
      <w:r>
        <w:rPr>
          <w:rFonts w:ascii="Kalpurush" w:cs="Kalpurush" w:eastAsia="Kalpurush" w:hAnsi="Kalpurush"/>
        </w:rPr>
        <w:t xml:space="preserve"/>
      </w:r>
    </w:p>
    <w:p>
      <w:r>
        <w:rPr>
          <w:rFonts w:ascii="Kalpurush" w:cs="Kalpurush" w:eastAsia="Kalpurush" w:hAnsi="Kalpurush"/>
          <w:b/>
          <w:bCs/>
          <w:sz w:val="20"/>
          <w:szCs w:val="20"/>
        </w:rPr>
        <w:t xml:space="preserve">Q15: আপীল মঞ্জুর না করলে কি আইনি অন্যায় ঘটবে?</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আপীল মঞ্জুর না করলে একটি সংবিধিবদ্ধ রাষ্ট্রীয় খতিয়ানকে একটি অপ্রমাণিত কালির নোটের কাছে পরাজিত হতে দেওয়া হবে — যা দেওয়ানি বিচার ব্যবস্থার ভিত্তি ধসিয়ে দেবে।"*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8: Issue-Wise Authorities Index</w:t>
      </w:r>
    </w:p>
    <w:p>
      <w:pPr>
        <w:pStyle w:val="Heading3"/>
      </w:pPr>
      <w:r>
        <w:rPr>
          <w:rFonts w:ascii="Kalpurush" w:cs="Kalpurush" w:eastAsia="Kalpurush" w:hAnsi="Kalpurush"/>
          <w:sz w:val="20"/>
          <w:szCs w:val="20"/>
        </w:rPr>
        <w:t xml:space="preserve">*(সুনির্দিষ্ট ইস্যুভিত্তিক সুপ্রিম কোর্টের নজিরের বিন্যাস)*</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1: Pre-SA Tenancy &amp; Root Title Authorities</w:t>
      </w:r>
    </w:p>
    <w:p>
      <w:pPr>
        <w:pStyle w:val="ListParagraph"/>
        <w:numPr>
          <w:ilvl w:val="0"/>
          <w:numId w:val="1"/>
        </w:numPr>
      </w:pPr>
      <w:r>
        <w:rPr>
          <w:rFonts w:ascii="Kalpurush" w:cs="Kalpurush" w:eastAsia="Kalpurush" w:hAnsi="Kalpurush"/>
          <w:b/>
          <w:bCs/>
          <w:sz w:val="20"/>
          <w:szCs w:val="20"/>
        </w:rPr>
        <w:t xml:space="preserve">4 SCOB [2015] HCD 52</w:t>
      </w:r>
      <w:r>
        <w:rPr>
          <w:rFonts w:ascii="Kalpurush" w:cs="Kalpurush" w:eastAsia="Kalpurush" w:hAnsi="Kalpurush"/>
          <w:sz w:val="20"/>
          <w:szCs w:val="20"/>
        </w:rPr>
        <w:t xml:space="preserve"> (*Md. Shajahan Bhuiyan*): SAT Act s.86-এ প্রাক-SA অনিবন্ধিত পত্তন বিলুপ্ত।</w:t>
      </w:r>
    </w:p>
    <w:p>
      <w:pPr>
        <w:pStyle w:val="ListParagraph"/>
        <w:numPr>
          <w:ilvl w:val="0"/>
          <w:numId w:val="1"/>
        </w:numPr>
      </w:pPr>
      <w:r>
        <w:rPr>
          <w:rFonts w:ascii="Kalpurush" w:cs="Kalpurush" w:eastAsia="Kalpurush" w:hAnsi="Kalpurush"/>
          <w:b/>
          <w:bCs/>
          <w:sz w:val="20"/>
          <w:szCs w:val="20"/>
        </w:rPr>
        <w:t xml:space="preserve">12 BLC (AD) 79</w:t>
      </w:r>
      <w:r>
        <w:rPr>
          <w:rFonts w:ascii="Kalpurush" w:cs="Kalpurush" w:eastAsia="Kalpurush" w:hAnsi="Kalpurush"/>
          <w:sz w:val="20"/>
          <w:szCs w:val="20"/>
        </w:rPr>
        <w:t xml:space="preserve"> (*Harun-al-Rashid Mollah*): Chief Manager approval ছাড়া নবাব এস্টেটের পত্তন void ab initio।</w:t>
      </w:r>
    </w:p>
    <w:p>
      <w:pPr>
        <w:pStyle w:val="ListParagraph"/>
        <w:numPr>
          <w:ilvl w:val="0"/>
          <w:numId w:val="1"/>
        </w:numPr>
      </w:pPr>
      <w:r>
        <w:rPr>
          <w:rFonts w:ascii="Kalpurush" w:cs="Kalpurush" w:eastAsia="Kalpurush" w:hAnsi="Kalpurush"/>
          <w:b/>
          <w:bCs/>
          <w:sz w:val="20"/>
          <w:szCs w:val="20"/>
        </w:rPr>
        <w:t xml:space="preserve">42 DLR (HD) 434</w:t>
      </w:r>
      <w:r>
        <w:rPr>
          <w:rFonts w:ascii="Kalpurush" w:cs="Kalpurush" w:eastAsia="Kalpurush" w:hAnsi="Kalpurush"/>
          <w:sz w:val="20"/>
          <w:szCs w:val="20"/>
        </w:rPr>
        <w:t xml:space="preserve"> (*Noor Mohammad Khan*): আমলনামা/সালামি রশিদ স্বত্ব সৃষ্টি করে 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2: Statutory Presumption &amp; Burden of Proof Authorities</w:t>
      </w:r>
    </w:p>
    <w:p>
      <w:pPr>
        <w:pStyle w:val="ListParagraph"/>
        <w:numPr>
          <w:ilvl w:val="0"/>
          <w:numId w:val="1"/>
        </w:numPr>
      </w:pPr>
      <w:r>
        <w:rPr>
          <w:rFonts w:ascii="Kalpurush" w:cs="Kalpurush" w:eastAsia="Kalpurush" w:hAnsi="Kalpurush"/>
          <w:b/>
          <w:bCs/>
          <w:sz w:val="20"/>
          <w:szCs w:val="20"/>
        </w:rPr>
        <w:t xml:space="preserve">56 DLR (AD) 53</w:t>
      </w:r>
      <w:r>
        <w:rPr>
          <w:rFonts w:ascii="Kalpurush" w:cs="Kalpurush" w:eastAsia="Kalpurush" w:hAnsi="Kalpurush"/>
          <w:sz w:val="20"/>
          <w:szCs w:val="20"/>
        </w:rPr>
        <w:t xml:space="preserve"> (*Govt vs. AKM Abdul Hye*): SA/RS খতিয়ানের Presumption পূর্ণাঙ্গ ও অখণ্ডনীয়।</w:t>
      </w:r>
    </w:p>
    <w:p>
      <w:pPr>
        <w:pStyle w:val="ListParagraph"/>
        <w:numPr>
          <w:ilvl w:val="0"/>
          <w:numId w:val="1"/>
        </w:numPr>
      </w:pPr>
      <w:r>
        <w:rPr>
          <w:rFonts w:ascii="Kalpurush" w:cs="Kalpurush" w:eastAsia="Kalpurush" w:hAnsi="Kalpurush"/>
          <w:b/>
          <w:bCs/>
          <w:sz w:val="20"/>
          <w:szCs w:val="20"/>
        </w:rPr>
        <w:t xml:space="preserve">50 DLR (HD) 186</w:t>
      </w:r>
      <w:r>
        <w:rPr>
          <w:rFonts w:ascii="Kalpurush" w:cs="Kalpurush" w:eastAsia="Kalpurush" w:hAnsi="Kalpurush"/>
          <w:sz w:val="20"/>
          <w:szCs w:val="20"/>
        </w:rPr>
        <w:t xml:space="preserve"> (*Dayal Chandra Mondal*): Section 144A Presumption যতক্ষণ খণ্ডন না হয় বহাল থাকে।</w:t>
      </w:r>
    </w:p>
    <w:p>
      <w:pPr>
        <w:pStyle w:val="ListParagraph"/>
        <w:numPr>
          <w:ilvl w:val="0"/>
          <w:numId w:val="1"/>
        </w:numPr>
      </w:pPr>
      <w:r>
        <w:rPr>
          <w:rFonts w:ascii="Kalpurush" w:cs="Kalpurush" w:eastAsia="Kalpurush" w:hAnsi="Kalpurush"/>
          <w:b/>
          <w:bCs/>
          <w:sz w:val="20"/>
          <w:szCs w:val="20"/>
        </w:rPr>
        <w:t xml:space="preserve">35 DLR (AD) 230</w:t>
      </w:r>
      <w:r>
        <w:rPr>
          <w:rFonts w:ascii="Kalpurush" w:cs="Kalpurush" w:eastAsia="Kalpurush" w:hAnsi="Kalpurush"/>
          <w:sz w:val="20"/>
          <w:szCs w:val="20"/>
        </w:rPr>
        <w:t xml:space="preserve"> (*Sekandar Ali vs. Md. Ismail*): খতিয়ানের ভুল প্রমাণের ভারী দায়িত্ব দাবিদারের উপর।</w:t>
      </w:r>
    </w:p>
    <w:p>
      <w:pPr>
        <w:pStyle w:val="ListParagraph"/>
        <w:numPr>
          <w:ilvl w:val="0"/>
          <w:numId w:val="1"/>
        </w:numPr>
      </w:pPr>
      <w:r>
        <w:rPr>
          <w:rFonts w:ascii="Kalpurush" w:cs="Kalpurush" w:eastAsia="Kalpurush" w:hAnsi="Kalpurush"/>
          <w:b/>
          <w:bCs/>
          <w:sz w:val="20"/>
          <w:szCs w:val="20"/>
        </w:rPr>
        <w:t xml:space="preserve">45 DLR (AD) 124</w:t>
      </w:r>
      <w:r>
        <w:rPr>
          <w:rFonts w:ascii="Kalpurush" w:cs="Kalpurush" w:eastAsia="Kalpurush" w:hAnsi="Kalpurush"/>
          <w:sz w:val="20"/>
          <w:szCs w:val="20"/>
        </w:rPr>
        <w:t xml:space="preserve"> (*Nuruddin Ahmed*): বাদীর উপর অহেতুক Negative Proof চাপানো বেআইনি।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3: Misc Case &amp; Void Order Authorities</w:t>
      </w:r>
    </w:p>
    <w:p>
      <w:pPr>
        <w:pStyle w:val="ListParagraph"/>
        <w:numPr>
          <w:ilvl w:val="0"/>
          <w:numId w:val="1"/>
        </w:numPr>
      </w:pPr>
      <w:r>
        <w:rPr>
          <w:rFonts w:ascii="Kalpurush" w:cs="Kalpurush" w:eastAsia="Kalpurush" w:hAnsi="Kalpurush"/>
          <w:b/>
          <w:bCs/>
          <w:sz w:val="20"/>
          <w:szCs w:val="20"/>
        </w:rPr>
        <w:t xml:space="preserve">27 BLD (HD) 544</w:t>
      </w:r>
      <w:r>
        <w:rPr>
          <w:rFonts w:ascii="Kalpurush" w:cs="Kalpurush" w:eastAsia="Kalpurush" w:hAnsi="Kalpurush"/>
          <w:sz w:val="20"/>
          <w:szCs w:val="20"/>
        </w:rPr>
        <w:t xml:space="preserve">: Misc Case-এর সংক্ষিপ্ত প্রশাসনিক প্রক্রিয়ায় Title Adjudication অসম্ভব।</w:t>
      </w:r>
    </w:p>
    <w:p>
      <w:pPr>
        <w:pStyle w:val="ListParagraph"/>
        <w:numPr>
          <w:ilvl w:val="0"/>
          <w:numId w:val="1"/>
        </w:numPr>
      </w:pPr>
      <w:r>
        <w:rPr>
          <w:rFonts w:ascii="Kalpurush" w:cs="Kalpurush" w:eastAsia="Kalpurush" w:hAnsi="Kalpurush"/>
          <w:b/>
          <w:bCs/>
          <w:sz w:val="20"/>
          <w:szCs w:val="20"/>
        </w:rPr>
        <w:t xml:space="preserve">Evidence Act Section 114(g)</w:t>
      </w:r>
      <w:r>
        <w:rPr>
          <w:rFonts w:ascii="Kalpurush" w:cs="Kalpurush" w:eastAsia="Kalpurush" w:hAnsi="Kalpurush"/>
          <w:sz w:val="20"/>
          <w:szCs w:val="20"/>
        </w:rPr>
        <w:t xml:space="preserve">: প্রাতিষ্ঠানিক নথি (Certified Copy) গোপন করার বিরূপ প্রতিক্রিয়া।</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4: Mutation &amp; Volume Note Jurisdiction Authorities</w:t>
      </w:r>
    </w:p>
    <w:p>
      <w:pPr>
        <w:pStyle w:val="ListParagraph"/>
        <w:numPr>
          <w:ilvl w:val="0"/>
          <w:numId w:val="1"/>
        </w:numPr>
      </w:pPr>
      <w:r>
        <w:rPr>
          <w:rFonts w:ascii="Kalpurush" w:cs="Kalpurush" w:eastAsia="Kalpurush" w:hAnsi="Kalpurush"/>
          <w:b/>
          <w:bCs/>
          <w:sz w:val="20"/>
          <w:szCs w:val="20"/>
        </w:rPr>
        <w:t xml:space="preserve">18 SCOB [2023] AD 20</w:t>
      </w:r>
      <w:r>
        <w:rPr>
          <w:rFonts w:ascii="Kalpurush" w:cs="Kalpurush" w:eastAsia="Kalpurush" w:hAnsi="Kalpurush"/>
          <w:sz w:val="20"/>
          <w:szCs w:val="20"/>
        </w:rPr>
        <w:t xml:space="preserve"> (*Mrigangka Mohan Dhali*): Procured mutation দ্বারা প্রতিষ্ঠিত Title খর্ব হয় না।</w:t>
      </w:r>
    </w:p>
    <w:p>
      <w:pPr>
        <w:pStyle w:val="ListParagraph"/>
        <w:numPr>
          <w:ilvl w:val="0"/>
          <w:numId w:val="1"/>
        </w:numPr>
      </w:pPr>
      <w:r>
        <w:rPr>
          <w:rFonts w:ascii="Kalpurush" w:cs="Kalpurush" w:eastAsia="Kalpurush" w:hAnsi="Kalpurush"/>
          <w:b/>
          <w:bCs/>
          <w:sz w:val="20"/>
          <w:szCs w:val="20"/>
        </w:rPr>
        <w:t xml:space="preserve">18 BLC (HD) 235</w:t>
      </w:r>
      <w:r>
        <w:rPr>
          <w:rFonts w:ascii="Kalpurush" w:cs="Kalpurush" w:eastAsia="Kalpurush" w:hAnsi="Kalpurush"/>
          <w:sz w:val="20"/>
          <w:szCs w:val="20"/>
        </w:rPr>
        <w:t xml:space="preserve"> (*Aslam vs. Salauddin*): AC Land আদালত নন; Mutation দ্বারা Title অর্জন/বিলোপ হয় না।</w:t>
      </w:r>
    </w:p>
    <w:p>
      <w:pPr>
        <w:pStyle w:val="ListParagraph"/>
        <w:numPr>
          <w:ilvl w:val="0"/>
          <w:numId w:val="1"/>
        </w:numPr>
      </w:pPr>
      <w:r>
        <w:rPr>
          <w:rFonts w:ascii="Kalpurush" w:cs="Kalpurush" w:eastAsia="Kalpurush" w:hAnsi="Kalpurush"/>
          <w:b/>
          <w:bCs/>
          <w:sz w:val="20"/>
          <w:szCs w:val="20"/>
        </w:rPr>
        <w:t xml:space="preserve">29 BLC (HD) 160</w:t>
      </w:r>
      <w:r>
        <w:rPr>
          <w:rFonts w:ascii="Kalpurush" w:cs="Kalpurush" w:eastAsia="Kalpurush" w:hAnsi="Kalpurush"/>
          <w:sz w:val="20"/>
          <w:szCs w:val="20"/>
        </w:rPr>
        <w:t xml:space="preserve">: স্বত্ব প্রভাবিত হলে AC Land-এর খতিয়ান সংশোধনের কোনো এখতিয়ার নাই।</w:t>
      </w:r>
    </w:p>
    <w:p>
      <w:pPr>
        <w:pStyle w:val="ListParagraph"/>
        <w:numPr>
          <w:ilvl w:val="0"/>
          <w:numId w:val="1"/>
        </w:numPr>
      </w:pPr>
      <w:r>
        <w:rPr>
          <w:rFonts w:ascii="Kalpurush" w:cs="Kalpurush" w:eastAsia="Kalpurush" w:hAnsi="Kalpurush"/>
          <w:b/>
          <w:bCs/>
          <w:sz w:val="20"/>
          <w:szCs w:val="20"/>
        </w:rPr>
        <w:t xml:space="preserve">53 DLR (HD) 19</w:t>
      </w:r>
      <w:r>
        <w:rPr>
          <w:rFonts w:ascii="Kalpurush" w:cs="Kalpurush" w:eastAsia="Kalpurush" w:hAnsi="Kalpurush"/>
          <w:sz w:val="20"/>
          <w:szCs w:val="20"/>
        </w:rPr>
        <w:t xml:space="preserve"> (*Shahera Khatun*): Parent Order ছাড়া Volume Note-এর কোনো আইনি মূল্য নাই।</w:t>
      </w:r>
    </w:p>
    <w:p>
      <w:pPr>
        <w:pStyle w:val="ListParagraph"/>
        <w:numPr>
          <w:ilvl w:val="0"/>
          <w:numId w:val="1"/>
        </w:numPr>
      </w:pPr>
      <w:r>
        <w:rPr>
          <w:rFonts w:ascii="Kalpurush" w:cs="Kalpurush" w:eastAsia="Kalpurush" w:hAnsi="Kalpurush"/>
          <w:b/>
          <w:bCs/>
          <w:sz w:val="20"/>
          <w:szCs w:val="20"/>
        </w:rPr>
        <w:t xml:space="preserve">1 BLT (HD) 18</w:t>
      </w:r>
      <w:r>
        <w:rPr>
          <w:rFonts w:ascii="Kalpurush" w:cs="Kalpurush" w:eastAsia="Kalpurush" w:hAnsi="Kalpurush"/>
          <w:sz w:val="20"/>
          <w:szCs w:val="20"/>
        </w:rPr>
        <w:t xml:space="preserve"> (*Fazlur Rahman*): ভিন্ন কালির আদেশের নথি জালিয়াতিপূৰ্ণ ও ছাঁটাইযোগ্য।</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5: Admissions &amp; Estoppel Authorities</w:t>
      </w:r>
    </w:p>
    <w:p>
      <w:pPr>
        <w:pStyle w:val="ListParagraph"/>
        <w:numPr>
          <w:ilvl w:val="0"/>
          <w:numId w:val="1"/>
        </w:numPr>
      </w:pPr>
      <w:r>
        <w:rPr>
          <w:rFonts w:ascii="Kalpurush" w:cs="Kalpurush" w:eastAsia="Kalpurush" w:hAnsi="Kalpurush"/>
          <w:b/>
          <w:bCs/>
          <w:sz w:val="20"/>
          <w:szCs w:val="20"/>
        </w:rPr>
        <w:t xml:space="preserve">Evidence Act Sections 17, 18, 21</w:t>
      </w:r>
      <w:r>
        <w:rPr>
          <w:rFonts w:ascii="Kalpurush" w:cs="Kalpurush" w:eastAsia="Kalpurush" w:hAnsi="Kalpurush"/>
          <w:sz w:val="20"/>
          <w:szCs w:val="20"/>
        </w:rPr>
        <w:t xml:space="preserve">: নিজের দলিলের স্বীকারোক্তি (Deed 3596/1975) পক্ষকে আবদ্ধ করে।</w:t>
      </w:r>
    </w:p>
    <w:p>
      <w:pPr>
        <w:pStyle w:val="ListParagraph"/>
        <w:numPr>
          <w:ilvl w:val="0"/>
          <w:numId w:val="1"/>
        </w:numPr>
      </w:pPr>
      <w:r>
        <w:rPr>
          <w:rFonts w:ascii="Kalpurush" w:cs="Kalpurush" w:eastAsia="Kalpurush" w:hAnsi="Kalpurush"/>
          <w:b/>
          <w:bCs/>
          <w:sz w:val="20"/>
          <w:szCs w:val="20"/>
        </w:rPr>
        <w:t xml:space="preserve">Doctrine of Approbate and Reprobate</w:t>
      </w:r>
      <w:r>
        <w:rPr>
          <w:rFonts w:ascii="Kalpurush" w:cs="Kalpurush" w:eastAsia="Kalpurush" w:hAnsi="Kalpurush"/>
          <w:sz w:val="20"/>
          <w:szCs w:val="20"/>
        </w:rPr>
        <w:t xml:space="preserve">: একইসাথে বিপরীতমুখী দাবি করার আইনি নিষেধাজ্ঞা।</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ISSUE 6: Partition Technicalities &amp; Necessary Party Authorities</w:t>
      </w:r>
    </w:p>
    <w:p>
      <w:pPr>
        <w:pStyle w:val="ListParagraph"/>
        <w:numPr>
          <w:ilvl w:val="0"/>
          <w:numId w:val="1"/>
        </w:numPr>
      </w:pPr>
      <w:r>
        <w:rPr>
          <w:rFonts w:ascii="Kalpurush" w:cs="Kalpurush" w:eastAsia="Kalpurush" w:hAnsi="Kalpurush"/>
          <w:b/>
          <w:bCs/>
          <w:sz w:val="20"/>
          <w:szCs w:val="20"/>
        </w:rPr>
        <w:t xml:space="preserve">49 DLR (AD) 15</w:t>
      </w:r>
      <w:r>
        <w:rPr>
          <w:rFonts w:ascii="Kalpurush" w:cs="Kalpurush" w:eastAsia="Kalpurush" w:hAnsi="Kalpurush"/>
          <w:sz w:val="20"/>
          <w:szCs w:val="20"/>
        </w:rPr>
        <w:t xml:space="preserve"> (*Safaruddin vs. Fazlul Huq*): ব্যক্তিমালিকানাধীন বাটোয়ারায় সরকার Necessary Party নয়।</w:t>
      </w:r>
    </w:p>
    <w:p>
      <w:pPr>
        <w:pStyle w:val="ListParagraph"/>
        <w:numPr>
          <w:ilvl w:val="0"/>
          <w:numId w:val="1"/>
        </w:numPr>
      </w:pPr>
      <w:r>
        <w:rPr>
          <w:rFonts w:ascii="Kalpurush" w:cs="Kalpurush" w:eastAsia="Kalpurush" w:hAnsi="Kalpurush"/>
          <w:b/>
          <w:bCs/>
          <w:sz w:val="20"/>
          <w:szCs w:val="20"/>
        </w:rPr>
        <w:t xml:space="preserve">27 BLD (HD) 229</w:t>
      </w:r>
      <w:r>
        <w:rPr>
          <w:rFonts w:ascii="Kalpurush" w:cs="Kalpurush" w:eastAsia="Kalpurush" w:hAnsi="Kalpurush"/>
          <w:sz w:val="20"/>
          <w:szCs w:val="20"/>
        </w:rPr>
        <w:t xml:space="preserve"> (*Shahjahan Akon*): পৃথক খতিয়ান বা সরকারি জমি বাদ দিলে Hotchpot দোষ ঘটে না।</w:t>
      </w:r>
    </w:p>
    <w:p>
      <w:pPr>
        <w:pStyle w:val="ListParagraph"/>
        <w:numPr>
          <w:ilvl w:val="0"/>
          <w:numId w:val="1"/>
        </w:numPr>
      </w:pPr>
      <w:r>
        <w:rPr>
          <w:rFonts w:ascii="Kalpurush" w:cs="Kalpurush" w:eastAsia="Kalpurush" w:hAnsi="Kalpurush"/>
          <w:b/>
          <w:bCs/>
          <w:sz w:val="20"/>
          <w:szCs w:val="20"/>
        </w:rPr>
        <w:t xml:space="preserve">8 SCOB (2016) HCD 1</w:t>
      </w:r>
      <w:r>
        <w:rPr>
          <w:rFonts w:ascii="Kalpurush" w:cs="Kalpurush" w:eastAsia="Kalpurush" w:hAnsi="Kalpurush"/>
          <w:sz w:val="20"/>
          <w:szCs w:val="20"/>
        </w:rPr>
        <w:t xml:space="preserve"> (*Syed Nurul Huda*): Necessary Party ছাড়া মামলা খারিজ হয়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APPENDIX (মামলার তথ্যভিত্তিক ও নথিপত্রগত সারণী)</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Appendix A: Chronological Case Timeline (কালানুক্রমিক চিত্র)</w:t>
      </w:r>
    </w:p>
    <w:p>
      <w:pPr>
        <w:pStyle w:val="ListParagraph"/>
        <w:numPr>
          <w:ilvl w:val="0"/>
          <w:numId w:val="1"/>
        </w:numPr>
      </w:pPr>
      <w:r>
        <w:rPr>
          <w:rFonts w:ascii="Kalpurush" w:cs="Kalpurush" w:eastAsia="Kalpurush" w:hAnsi="Kalpurush"/>
          <w:b/>
          <w:bCs/>
          <w:sz w:val="20"/>
          <w:szCs w:val="20"/>
        </w:rPr>
        <w:t xml:space="preserve">১৩৩৪ বঙ্গাব্দ (১৯৩৪ খ্রি.):</w:t>
      </w:r>
      <w:r>
        <w:rPr>
          <w:rFonts w:ascii="Kalpurush" w:cs="Kalpurush" w:eastAsia="Kalpurush" w:hAnsi="Kalpurush"/>
          <w:sz w:val="20"/>
          <w:szCs w:val="20"/>
        </w:rPr>
        <w:t xml:space="preserve"> বিবাদীদের কথিত অনিবন্ধিত পত্তনের দাবি (CS ২ খতিয়ানে নবাব এস্টেটের খাস জমি)।</w:t>
      </w:r>
    </w:p>
    <w:p>
      <w:pPr>
        <w:pStyle w:val="ListParagraph"/>
        <w:numPr>
          <w:ilvl w:val="0"/>
          <w:numId w:val="1"/>
        </w:numPr>
      </w:pPr>
      <w:r>
        <w:rPr>
          <w:rFonts w:ascii="Kalpurush" w:cs="Kalpurush" w:eastAsia="Kalpurush" w:hAnsi="Kalpurush"/>
          <w:b/>
          <w:bCs/>
          <w:sz w:val="20"/>
          <w:szCs w:val="20"/>
        </w:rPr>
        <w:t xml:space="preserve">১৯৫২ খ্রি.:</w:t>
      </w:r>
      <w:r>
        <w:rPr>
          <w:rFonts w:ascii="Kalpurush" w:cs="Kalpurush" w:eastAsia="Kalpurush" w:hAnsi="Kalpurush"/>
          <w:sz w:val="20"/>
          <w:szCs w:val="20"/>
        </w:rPr>
        <w:t xml:space="preserve"> SAT Act, 1950 বলবৎ; রাষ্ট্রীয় অধিগ্রহণ ও জরিপ শুরু; ধারা ৮৬-তে প্রাক-SA স্বত্ব বিলুপ্ত।</w:t>
      </w:r>
    </w:p>
    <w:p>
      <w:pPr>
        <w:pStyle w:val="ListParagraph"/>
        <w:numPr>
          <w:ilvl w:val="0"/>
          <w:numId w:val="1"/>
        </w:numPr>
      </w:pPr>
      <w:r>
        <w:rPr>
          <w:rFonts w:ascii="Kalpurush" w:cs="Kalpurush" w:eastAsia="Kalpurush" w:hAnsi="Kalpurush"/>
          <w:b/>
          <w:bCs/>
          <w:sz w:val="20"/>
          <w:szCs w:val="20"/>
        </w:rPr>
        <w:t xml:space="preserve">১৯৫৭ খ্রি.:</w:t>
      </w:r>
      <w:r>
        <w:rPr>
          <w:rFonts w:ascii="Kalpurush" w:cs="Kalpurush" w:eastAsia="Kalpurush" w:hAnsi="Kalpurush"/>
          <w:sz w:val="20"/>
          <w:szCs w:val="20"/>
        </w:rPr>
        <w:t xml:space="preserve"> আব্দুল আলী কর্তৃক নালিশী এলাকায় ২৩৯৮ নং রেজিস্ট্রিকৃত দলিলের মাধ্যমে প্রকাশ্যে সম্পত্তি ক্রয় ও ভোগদখল।</w:t>
      </w:r>
    </w:p>
    <w:p>
      <w:pPr>
        <w:pStyle w:val="ListParagraph"/>
        <w:numPr>
          <w:ilvl w:val="0"/>
          <w:numId w:val="1"/>
        </w:numPr>
      </w:pPr>
      <w:r>
        <w:rPr>
          <w:rFonts w:ascii="Kalpurush" w:cs="Kalpurush" w:eastAsia="Kalpurush" w:hAnsi="Kalpurush"/>
          <w:b/>
          <w:bCs/>
          <w:sz w:val="20"/>
          <w:szCs w:val="20"/>
        </w:rPr>
        <w:t xml:space="preserve">SA জরিপকাল (১৯৫৬-১৯৬২):</w:t>
      </w:r>
      <w:r>
        <w:rPr>
          <w:rFonts w:ascii="Kalpurush" w:cs="Kalpurush" w:eastAsia="Kalpurush" w:hAnsi="Kalpurush"/>
          <w:sz w:val="20"/>
          <w:szCs w:val="20"/>
        </w:rPr>
        <w:t xml:space="preserve"> সরেজমিন তদন্তে আব্দুল আলী একক প্রজা (১৬ আনা) হিসেবে স্বীকৃত; SA ২৩৮ খতিয়ান প্রকাশ।</w:t>
      </w:r>
    </w:p>
    <w:p>
      <w:pPr>
        <w:pStyle w:val="ListParagraph"/>
        <w:numPr>
          <w:ilvl w:val="0"/>
          <w:numId w:val="1"/>
        </w:numPr>
      </w:pPr>
      <w:r>
        <w:rPr>
          <w:rFonts w:ascii="Kalpurush" w:cs="Kalpurush" w:eastAsia="Kalpurush" w:hAnsi="Kalpurush"/>
          <w:b/>
          <w:bCs/>
          <w:sz w:val="20"/>
          <w:szCs w:val="20"/>
        </w:rPr>
        <w:t xml:space="preserve">১৯৬৯ খ্রি.:</w:t>
      </w:r>
      <w:r>
        <w:rPr>
          <w:rFonts w:ascii="Kalpurush" w:cs="Kalpurush" w:eastAsia="Kalpurush" w:hAnsi="Kalpurush"/>
          <w:sz w:val="20"/>
          <w:szCs w:val="20"/>
        </w:rPr>
        <w:t xml:space="preserve"> বিবাদীদের কথিত Ghost Misc Case 1181/1969 (কোনো বিচারিক নথি বা আদেশপত্র নাই)।</w:t>
      </w:r>
    </w:p>
    <w:p>
      <w:pPr>
        <w:pStyle w:val="ListParagraph"/>
        <w:numPr>
          <w:ilvl w:val="0"/>
          <w:numId w:val="1"/>
        </w:numPr>
      </w:pPr>
      <w:r>
        <w:rPr>
          <w:rFonts w:ascii="Kalpurush" w:cs="Kalpurush" w:eastAsia="Kalpurush" w:hAnsi="Kalpurush"/>
          <w:b/>
          <w:bCs/>
          <w:sz w:val="20"/>
          <w:szCs w:val="20"/>
        </w:rPr>
        <w:t xml:space="preserve">১৯৭৫ খ্রি.:</w:t>
      </w:r>
      <w:r>
        <w:rPr>
          <w:rFonts w:ascii="Kalpurush" w:cs="Kalpurush" w:eastAsia="Kalpurush" w:hAnsi="Kalpurush"/>
          <w:sz w:val="20"/>
          <w:szCs w:val="20"/>
        </w:rPr>
        <w:t xml:space="preserve"> বিবাদীদের নিজ ৩৫৯৬/১৯৭৫ নং দলিল সম্পাদন (যেখানে SA ২৩৮-এ ১টি নহে, ৬টি দাগ বর্ণিত)।</w:t>
      </w:r>
    </w:p>
    <w:p>
      <w:pPr>
        <w:pStyle w:val="ListParagraph"/>
        <w:numPr>
          <w:ilvl w:val="0"/>
          <w:numId w:val="1"/>
        </w:numPr>
      </w:pPr>
      <w:r>
        <w:rPr>
          <w:rFonts w:ascii="Kalpurush" w:cs="Kalpurush" w:eastAsia="Kalpurush" w:hAnsi="Kalpurush"/>
          <w:b/>
          <w:bCs/>
          <w:sz w:val="20"/>
          <w:szCs w:val="20"/>
        </w:rPr>
        <w:t xml:space="preserve">২০১৬ খ্রি.:</w:t>
      </w:r>
      <w:r>
        <w:rPr>
          <w:rFonts w:ascii="Kalpurush" w:cs="Kalpurush" w:eastAsia="Kalpurush" w:hAnsi="Kalpurush"/>
          <w:sz w:val="20"/>
          <w:szCs w:val="20"/>
        </w:rPr>
        <w:t xml:space="preserve"> বাদীদের বাটোয়ারা মামলা নং ৬৬/২০১৬ দায়ের (সখিপুর সিভিল জজ আদালত)।</w:t>
      </w:r>
    </w:p>
    <w:p>
      <w:pPr>
        <w:pStyle w:val="ListParagraph"/>
        <w:numPr>
          <w:ilvl w:val="0"/>
          <w:numId w:val="1"/>
        </w:numPr>
      </w:pPr>
      <w:r>
        <w:rPr>
          <w:rFonts w:ascii="Kalpurush" w:cs="Kalpurush" w:eastAsia="Kalpurush" w:hAnsi="Kalpurush"/>
          <w:b/>
          <w:bCs/>
          <w:sz w:val="20"/>
          <w:szCs w:val="20"/>
        </w:rPr>
        <w:t xml:space="preserve">০৫-০৪-২০২৬ খ্রি.:</w:t>
      </w:r>
      <w:r>
        <w:rPr>
          <w:rFonts w:ascii="Kalpurush" w:cs="Kalpurush" w:eastAsia="Kalpurush" w:hAnsi="Kalpurush"/>
          <w:sz w:val="20"/>
          <w:szCs w:val="20"/>
        </w:rPr>
        <w:t xml:space="preserve"> বিজ্ঞ ট্রায়াল কোর্ট কর্তৃক বাটোয়ারা মামলা খারিজের রায় প্রদান।</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Appendix B: Comparative Evidence Chart (সাক্ষ্যপ্রমাণের তুলনা)</w:t>
      </w:r>
    </w:p>
    <w:p>
      <w:pPr>
        <w:pStyle w:val="ListParagraph"/>
        <w:numPr>
          <w:ilvl w:val="0"/>
          <w:numId w:val="1"/>
        </w:numPr>
      </w:pPr>
      <w:r>
        <w:rPr>
          <w:rFonts w:ascii="Kalpurush" w:cs="Kalpurush" w:eastAsia="Kalpurush" w:hAnsi="Kalpurush"/>
          <w:b/>
          <w:bCs/>
          <w:sz w:val="20"/>
          <w:szCs w:val="20"/>
        </w:rPr>
        <w:t xml:space="preserve">বাদীপক্ষ:</w:t>
      </w:r>
      <w:r>
        <w:rPr>
          <w:rFonts w:ascii="Kalpurush" w:cs="Kalpurush" w:eastAsia="Kalpurush" w:hAnsi="Kalpurush"/>
          <w:sz w:val="20"/>
          <w:szCs w:val="20"/>
        </w:rPr>
        <w:t xml:space="preserve"> সইমোহরি SA ২৩৮ খতিয়ান, CS ২ খতিয়ান, ১৯৫৭ সালের রেজিস্ট্রিকৃত দলিল, ১৩৫৭ বঙ্গাব্দের খাজনা রশিদ, অবিচ্ছিন্ন দখল।</w:t>
      </w:r>
    </w:p>
    <w:p>
      <w:pPr>
        <w:pStyle w:val="ListParagraph"/>
        <w:numPr>
          <w:ilvl w:val="0"/>
          <w:numId w:val="1"/>
        </w:numPr>
      </w:pPr>
      <w:r>
        <w:rPr>
          <w:rFonts w:ascii="Kalpurush" w:cs="Kalpurush" w:eastAsia="Kalpurush" w:hAnsi="Kalpurush"/>
          <w:b/>
          <w:bCs/>
          <w:sz w:val="20"/>
          <w:szCs w:val="20"/>
        </w:rPr>
        <w:t xml:space="preserve">বিবাদীপক্ষ:</w:t>
      </w:r>
      <w:r>
        <w:rPr>
          <w:rFonts w:ascii="Kalpurush" w:cs="Kalpurush" w:eastAsia="Kalpurush" w:hAnsi="Kalpurush"/>
          <w:sz w:val="20"/>
          <w:szCs w:val="20"/>
        </w:rPr>
        <w:t xml:space="preserve"> সার্টিফাইড কপিশূন্য কথিত Misc Case, সখিপুর AC Land অফিসে ভিন্ন কালিতে লেখা ব্যাখ্যাহীন ভলিউম নোট, স্ববিরোধী ১৯৭৫ সালের দলিল।</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Appendix C: Witness Evaluation Matrix (সাক্ষী মূল্যায়ন)</w:t>
      </w:r>
    </w:p>
    <w:p>
      <w:pPr>
        <w:pStyle w:val="ListParagraph"/>
        <w:numPr>
          <w:ilvl w:val="0"/>
          <w:numId w:val="1"/>
        </w:numPr>
      </w:pPr>
      <w:r>
        <w:rPr>
          <w:rFonts w:ascii="Kalpurush" w:cs="Kalpurush" w:eastAsia="Kalpurush" w:hAnsi="Kalpurush"/>
          <w:b/>
          <w:bCs/>
          <w:sz w:val="20"/>
          <w:szCs w:val="20"/>
        </w:rPr>
        <w:t xml:space="preserve">PW-1 (বাদী):</w:t>
      </w:r>
      <w:r>
        <w:rPr>
          <w:rFonts w:ascii="Kalpurush" w:cs="Kalpurush" w:eastAsia="Kalpurush" w:hAnsi="Kalpurush"/>
          <w:sz w:val="20"/>
          <w:szCs w:val="20"/>
        </w:rPr>
        <w:t xml:space="preserve"> খতিয়ান, ধারাবাহিক দখল ও উত্তরাধিকারের অবিচ্ছিন্ন বিবরণ প্রদান।</w:t>
      </w:r>
    </w:p>
    <w:p>
      <w:pPr>
        <w:pStyle w:val="ListParagraph"/>
        <w:numPr>
          <w:ilvl w:val="0"/>
          <w:numId w:val="1"/>
        </w:numPr>
      </w:pPr>
      <w:r>
        <w:rPr>
          <w:rFonts w:ascii="Kalpurush" w:cs="Kalpurush" w:eastAsia="Kalpurush" w:hAnsi="Kalpurush"/>
          <w:b/>
          <w:bCs/>
          <w:sz w:val="20"/>
          <w:szCs w:val="20"/>
        </w:rPr>
        <w:t xml:space="preserve">DW-1 to DW-3 (বিবাদীগণ):</w:t>
      </w:r>
      <w:r>
        <w:rPr>
          <w:rFonts w:ascii="Kalpurush" w:cs="Kalpurush" w:eastAsia="Kalpurush" w:hAnsi="Kalpurush"/>
          <w:sz w:val="20"/>
          <w:szCs w:val="20"/>
        </w:rPr>
        <w:t xml:space="preserve"> মৌখিক কাহিনীর উপর নির্ভর; কোনো প্রাতিষ্ঠানিক আদেশ দেখাতে ব্যর্থ।</w:t>
      </w:r>
    </w:p>
    <w:p>
      <w:pPr>
        <w:pStyle w:val="ListParagraph"/>
        <w:numPr>
          <w:ilvl w:val="0"/>
          <w:numId w:val="1"/>
        </w:numPr>
      </w:pPr>
      <w:r>
        <w:rPr>
          <w:rFonts w:ascii="Kalpurush" w:cs="Kalpurush" w:eastAsia="Kalpurush" w:hAnsi="Kalpurush"/>
          <w:b/>
          <w:bCs/>
          <w:sz w:val="20"/>
          <w:szCs w:val="20"/>
        </w:rPr>
        <w:t xml:space="preserve">DW-4 (AC Land প্রতিনিধি):</w:t>
      </w:r>
      <w:r>
        <w:rPr>
          <w:rFonts w:ascii="Kalpurush" w:cs="Kalpurush" w:eastAsia="Kalpurush" w:hAnsi="Kalpurush"/>
          <w:sz w:val="20"/>
          <w:szCs w:val="20"/>
        </w:rPr>
        <w:t xml:space="preserve"> জেরায় স্বীকার করেন নোটটি ভিন্ন কালিতে লেখা, মূল ফাইল নাই এবং মূল প্রজার নাম "আব্দুল আলীম" বলে ভুল উচ্চারণ করেন।</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Appendix D: Evidence Gap Matrix (বিবাদীদের প্রমাণের শূন্যতা)</w:t>
      </w:r>
    </w:p>
    <w:p>
      <w:pPr>
        <w:pStyle w:val="ListParagraph"/>
        <w:numPr>
          <w:ilvl w:val="0"/>
          <w:numId w:val="1"/>
        </w:numPr>
      </w:pPr>
      <w:r>
        <w:rPr>
          <w:rFonts w:ascii="Kalpurush" w:cs="Kalpurush" w:eastAsia="Kalpurush" w:hAnsi="Kalpurush"/>
          <w:sz w:val="20"/>
          <w:szCs w:val="20"/>
        </w:rPr>
        <w:t xml:space="preserve">Certified Order Sheet of Misc Case 1181/1969 — </w:t>
      </w:r>
      <w:r>
        <w:rPr>
          <w:rFonts w:ascii="Kalpurush" w:cs="Kalpurush" w:eastAsia="Kalpurush" w:hAnsi="Kalpurush"/>
          <w:b/>
          <w:bCs/>
          <w:sz w:val="20"/>
          <w:szCs w:val="20"/>
        </w:rPr>
        <w:t xml:space="preserve">ABSENT (নাই)</w:t>
      </w:r>
    </w:p>
    <w:p>
      <w:pPr>
        <w:pStyle w:val="ListParagraph"/>
        <w:numPr>
          <w:ilvl w:val="0"/>
          <w:numId w:val="1"/>
        </w:numPr>
      </w:pPr>
      <w:r>
        <w:rPr>
          <w:rFonts w:ascii="Kalpurush" w:cs="Kalpurush" w:eastAsia="Kalpurush" w:hAnsi="Kalpurush"/>
          <w:sz w:val="20"/>
          <w:szCs w:val="20"/>
        </w:rPr>
        <w:t xml:space="preserve">Certified Judgment and Decree — </w:t>
      </w:r>
      <w:r>
        <w:rPr>
          <w:rFonts w:ascii="Kalpurush" w:cs="Kalpurush" w:eastAsia="Kalpurush" w:hAnsi="Kalpurush"/>
          <w:b/>
          <w:bCs/>
          <w:sz w:val="20"/>
          <w:szCs w:val="20"/>
        </w:rPr>
        <w:t xml:space="preserve">ABSENT (নাই)</w:t>
      </w:r>
    </w:p>
    <w:p>
      <w:pPr>
        <w:pStyle w:val="ListParagraph"/>
        <w:numPr>
          <w:ilvl w:val="0"/>
          <w:numId w:val="1"/>
        </w:numPr>
      </w:pPr>
      <w:r>
        <w:rPr>
          <w:rFonts w:ascii="Kalpurush" w:cs="Kalpurush" w:eastAsia="Kalpurush" w:hAnsi="Kalpurush"/>
          <w:sz w:val="20"/>
          <w:szCs w:val="20"/>
        </w:rPr>
        <w:t xml:space="preserve">Registered Patta / Kabuliat of 1334 BS — </w:t>
      </w:r>
      <w:r>
        <w:rPr>
          <w:rFonts w:ascii="Kalpurush" w:cs="Kalpurush" w:eastAsia="Kalpurush" w:hAnsi="Kalpurush"/>
          <w:b/>
          <w:bCs/>
          <w:sz w:val="20"/>
          <w:szCs w:val="20"/>
        </w:rPr>
        <w:t xml:space="preserve">ABSENT (নাই)</w:t>
      </w:r>
    </w:p>
    <w:p>
      <w:pPr>
        <w:pStyle w:val="ListParagraph"/>
        <w:numPr>
          <w:ilvl w:val="0"/>
          <w:numId w:val="1"/>
        </w:numPr>
      </w:pPr>
      <w:r>
        <w:rPr>
          <w:rFonts w:ascii="Kalpurush" w:cs="Kalpurush" w:eastAsia="Kalpurush" w:hAnsi="Kalpurush"/>
          <w:sz w:val="20"/>
          <w:szCs w:val="20"/>
        </w:rPr>
        <w:t xml:space="preserve">Court of Wards Chief Manager Approval — </w:t>
      </w:r>
      <w:r>
        <w:rPr>
          <w:rFonts w:ascii="Kalpurush" w:cs="Kalpurush" w:eastAsia="Kalpurush" w:hAnsi="Kalpurush"/>
          <w:b/>
          <w:bCs/>
          <w:sz w:val="20"/>
          <w:szCs w:val="20"/>
        </w:rPr>
        <w:t xml:space="preserve">ABSENT (নাই)</w:t>
      </w:r>
    </w:p>
    <w:p>
      <w:pPr>
        <w:pStyle w:val="ListParagraph"/>
        <w:numPr>
          <w:ilvl w:val="0"/>
          <w:numId w:val="1"/>
        </w:numPr>
      </w:pPr>
      <w:r>
        <w:rPr>
          <w:rFonts w:ascii="Kalpurush" w:cs="Kalpurush" w:eastAsia="Kalpurush" w:hAnsi="Kalpurush"/>
          <w:sz w:val="20"/>
          <w:szCs w:val="20"/>
        </w:rPr>
        <w:t xml:space="preserve">District Record Room Corrected Khatian — </w:t>
      </w:r>
      <w:r>
        <w:rPr>
          <w:rFonts w:ascii="Kalpurush" w:cs="Kalpurush" w:eastAsia="Kalpurush" w:hAnsi="Kalpurush"/>
          <w:b/>
          <w:bCs/>
          <w:sz w:val="20"/>
          <w:szCs w:val="20"/>
        </w:rPr>
        <w:t xml:space="preserve">ABSENT (নাই)</w:t>
      </w:r>
    </w:p>
    <w:p>
      <w:pPr>
        <w:pStyle w:val="ListParagraph"/>
        <w:numPr>
          <w:ilvl w:val="0"/>
          <w:numId w:val="1"/>
        </w:numPr>
      </w:pPr>
      <w:r>
        <w:rPr>
          <w:rFonts w:ascii="Kalpurush" w:cs="Kalpurush" w:eastAsia="Kalpurush" w:hAnsi="Kalpurush"/>
          <w:sz w:val="20"/>
          <w:szCs w:val="20"/>
        </w:rPr>
        <w:t xml:space="preserve">Register of Alterations Entry — </w:t>
      </w:r>
      <w:r>
        <w:rPr>
          <w:rFonts w:ascii="Kalpurush" w:cs="Kalpurush" w:eastAsia="Kalpurush" w:hAnsi="Kalpurush"/>
          <w:b/>
          <w:bCs/>
          <w:sz w:val="20"/>
          <w:szCs w:val="20"/>
        </w:rPr>
        <w:t xml:space="preserve">ABSENT (নাই)</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MASTER CLOSING SUBMISSIONS (সমাপনী বিচারিক আবেদন)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"My Lord, the respondents ask this Court to discard a finally published State Record that has stood unchanged in the District Settlement Record Room for over half a century. Yet they cannot produce the very judicial order on which their entire theory depends.</w:t>
      </w:r>
    </w:p>
    <w:p>
      <w:pPr>
        <w:ind w:left="720"/>
      </w:pPr>
    </w:p>
    <w:p>
      <w:pPr>
        <w:ind w:left="720"/>
      </w:pPr>
      <w:r>
        <w:rPr>
          <w:rFonts w:ascii="Kalpurush" w:cs="Kalpurush" w:eastAsia="Kalpurush" w:hAnsi="Kalpurush"/>
          <w:b/>
          <w:bCs/>
          <w:i/>
          <w:iCs/>
          <w:sz w:val="20"/>
          <w:szCs w:val="20"/>
        </w:rPr>
        <w:t xml:space="preserve">The Trial Court presumed what had to be proved, reversed the statutory burden of proof under Section 144A of the SAT Act and Section 103 of the Evidence Act, accepted an unproved correction theory, and subordinated the District Collector Record Room to an unexplained margin note written in a local office.</w:t>
      </w:r>
    </w:p>
    <w:p>
      <w:pPr>
        <w:ind w:left="720"/>
      </w:pPr>
    </w:p>
    <w:p>
      <w:pPr>
        <w:ind w:left="720"/>
      </w:pPr>
      <w:r>
        <w:rPr>
          <w:rFonts w:ascii="Kalpurush" w:cs="Kalpurush" w:eastAsia="Kalpurush" w:hAnsi="Kalpurush"/>
          <w:b/>
          <w:bCs/>
          <w:i/>
          <w:iCs/>
          <w:sz w:val="20"/>
          <w:szCs w:val="20"/>
        </w:rPr>
        <w:t xml:space="preserve">When the root fails, every branch built upon it must fail. When the alleged Misc Case order is non-existent, the volume note derived from it collapses into absolute nullity.</w:t>
      </w:r>
    </w:p>
    <w:p>
      <w:pPr>
        <w:ind w:left="720"/>
      </w:pPr>
    </w:p>
    <w:p>
      <w:pPr>
        <w:ind w:left="720"/>
      </w:pPr>
      <w:r>
        <w:rPr>
          <w:rFonts w:ascii="Kalpurush" w:cs="Kalpurush" w:eastAsia="Kalpurush" w:hAnsi="Kalpurush"/>
          <w:b/>
          <w:bCs/>
          <w:i/>
          <w:iCs/>
          <w:sz w:val="20"/>
          <w:szCs w:val="20"/>
        </w:rPr>
        <w:t xml:space="preserve">The respondents' own registered deed of 1975, which describes six dags under SA 238, completely exposes their litigation story that the khatian was reduced to a single dag in 1969.</w:t>
      </w:r>
    </w:p>
    <w:p>
      <w:pPr>
        <w:ind w:left="720"/>
      </w:pPr>
    </w:p>
    <w:p>
      <w:pPr>
        <w:ind w:left="720"/>
      </w:pPr>
      <w:r>
        <w:rPr>
          <w:rFonts w:ascii="Kalpurush" w:cs="Kalpurush" w:eastAsia="Kalpurush" w:hAnsi="Kalpurush"/>
          <w:b/>
          <w:bCs/>
          <w:i/>
          <w:iCs/>
          <w:sz w:val="20"/>
          <w:szCs w:val="20"/>
        </w:rPr>
        <w:t xml:space="preserve"> Justice and law demand that a statutory State Record cannot be sacrificed at the altar of administrative manipulation and oral assertions.</w:t>
      </w:r>
    </w:p>
    <w:p>
      <w:pPr>
        <w:ind w:left="720"/>
      </w:pPr>
    </w:p>
    <w:p>
      <w:pPr>
        <w:ind w:left="720"/>
      </w:pPr>
      <w:r>
        <w:rPr>
          <w:rFonts w:ascii="Kalpurush" w:cs="Kalpurush" w:eastAsia="Kalpurush" w:hAnsi="Kalpurush"/>
          <w:b/>
          <w:bCs/>
          <w:i/>
          <w:iCs/>
          <w:sz w:val="20"/>
          <w:szCs w:val="20"/>
        </w:rPr>
        <w:t xml:space="preserve">The appeal therefore deserves to be allowed with full costs, and the impugned judgment and decree dated 05-04-2026 must be set aside."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আপীল্যান্টগণের পক্ষে বিজ্ঞ কৌসুলি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2026-07-30T09:15:00.231Z</dcterms:created>
  <dcterms:modified xsi:type="dcterms:W3CDTF">2026-07-30T09:15:00.231Z</dcterms:modified>
</cp:coreProperties>
</file>

<file path=docProps/custom.xml><?xml version="1.0" encoding="utf-8"?>
<Properties xmlns="http://schemas.openxmlformats.org/officeDocument/2006/custom-properties" xmlns:vt="http://schemas.openxmlformats.org/officeDocument/2006/docPropsVTypes"/>
</file>