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b/>
          <w:bCs/>
          <w:sz w:val="20"/>
          <w:szCs w:val="20"/>
        </w:rPr>
        <w:t xml:space="preserve">শুনানি সহায়িকা (Version 64 — Executive Hearing Aid &amp; Oral Strategy)</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EXECUTIVE SUMMARY (১ পৃষ্ঠার নীতি-সারসংক্ষেপ)</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Why Trial Court Must Be Reversed (কেন ট্রায়াল কোর্টের রায় বাতিলযোগ্য)</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"This judgment cannot stand because —"</w:t>
      </w:r>
    </w:p>
    <w:p>
      <w:r>
        <w:rPr>
          <w:rFonts w:ascii="Kalpurush" w:cs="Kalpurush" w:eastAsia="Kalpurush" w:hAnsi="Kalpurush"/>
        </w:rPr>
        <w:t xml:space="preserve"/>
      </w:r>
    </w:p>
    <w:p>
      <w:r>
        <w:rPr>
          <w:rFonts w:ascii="Kalpurush" w:cs="Kalpurush" w:eastAsia="Kalpurush" w:hAnsi="Kalpurush"/>
          <w:sz w:val="20"/>
          <w:szCs w:val="20"/>
        </w:rPr>
        <w:t xml:space="preserve">1. </w:t>
      </w:r>
      <w:r>
        <w:rPr>
          <w:rFonts w:ascii="Kalpurush" w:cs="Kalpurush" w:eastAsia="Kalpurush" w:hAnsi="Kalpurush"/>
          <w:b/>
          <w:bCs/>
          <w:sz w:val="20"/>
          <w:szCs w:val="20"/>
        </w:rPr>
        <w:t xml:space="preserve">Trial Court presumed Abdul Karim was the original raiyat without proof:</w:t>
      </w:r>
      <w:r>
        <w:rPr>
          <w:rFonts w:ascii="Kalpurush" w:cs="Kalpurush" w:eastAsia="Kalpurush" w:hAnsi="Kalpurush"/>
          <w:sz w:val="20"/>
          <w:szCs w:val="20"/>
        </w:rPr>
        <w:t xml:space="preserve"> বিবাদীদের পূর্বসূরি আব্দুল করিমের কোনো নিবন্ধিত পাট্টা, কবুলিয়ত, সিএস খতিয়ান বা নবাব এস্টেটের চিফ ম্যানেজারের অনুমোদন নাই।</w:t>
      </w:r>
    </w:p>
    <w:p>
      <w:r>
        <w:rPr>
          <w:rFonts w:ascii="Kalpurush" w:cs="Kalpurush" w:eastAsia="Kalpurush" w:hAnsi="Kalpurush"/>
          <w:sz w:val="20"/>
          <w:szCs w:val="20"/>
        </w:rPr>
        <w:t xml:space="preserve">2. </w:t>
      </w:r>
      <w:r>
        <w:rPr>
          <w:rFonts w:ascii="Kalpurush" w:cs="Kalpurush" w:eastAsia="Kalpurush" w:hAnsi="Kalpurush"/>
          <w:b/>
          <w:bCs/>
          <w:sz w:val="20"/>
          <w:szCs w:val="20"/>
        </w:rPr>
        <w:t xml:space="preserve">Final SA Record enjoys statutory presumption:</w:t>
      </w:r>
      <w:r>
        <w:rPr>
          <w:rFonts w:ascii="Kalpurush" w:cs="Kalpurush" w:eastAsia="Kalpurush" w:hAnsi="Kalpurush"/>
          <w:sz w:val="20"/>
          <w:szCs w:val="20"/>
        </w:rPr>
        <w:t xml:space="preserve"> জেলা প্রশাসকের সেন্ট্রাল রেকর্ড রুমে অপরিবর্তিত SA ২৩৮ খতিয়ান (আব্দুল আলী ১৬ আনা প্রজা) SAT Act, 1950-এর Section 144A অনুযায়ী সংবিধিবদ্ধ নির্ভুলতার অনুমান বহন করে।</w:t>
      </w:r>
    </w:p>
    <w:p>
      <w:r>
        <w:rPr>
          <w:rFonts w:ascii="Kalpurush" w:cs="Kalpurush" w:eastAsia="Kalpurush" w:hAnsi="Kalpurush"/>
          <w:sz w:val="20"/>
          <w:szCs w:val="20"/>
        </w:rPr>
        <w:t xml:space="preserve">3. </w:t>
      </w:r>
      <w:r>
        <w:rPr>
          <w:rFonts w:ascii="Kalpurush" w:cs="Kalpurush" w:eastAsia="Kalpurush" w:hAnsi="Kalpurush"/>
          <w:b/>
          <w:bCs/>
          <w:sz w:val="20"/>
          <w:szCs w:val="20"/>
        </w:rPr>
        <w:t xml:space="preserve">Burden was illegally shifted:</w:t>
      </w:r>
      <w:r>
        <w:rPr>
          <w:rFonts w:ascii="Kalpurush" w:cs="Kalpurush" w:eastAsia="Kalpurush" w:hAnsi="Kalpurush"/>
          <w:sz w:val="20"/>
          <w:szCs w:val="20"/>
        </w:rPr>
        <w:t xml:space="preserve"> বাদী সইমোহরি খতিয়ান দাখিল করে initial burden মেটানোর পর ট্রায়াল কোর্ট উল্টো বাদীর উপর অন্যায়ভাবে নেতিবাচক প্রমাণের দায়িত্ব চাপিয়েছেন (Evidence Act s.103)।</w:t>
      </w:r>
    </w:p>
    <w:p>
      <w:r>
        <w:rPr>
          <w:rFonts w:ascii="Kalpurush" w:cs="Kalpurush" w:eastAsia="Kalpurush" w:hAnsi="Kalpurush"/>
          <w:sz w:val="20"/>
          <w:szCs w:val="20"/>
        </w:rPr>
        <w:t xml:space="preserve">4. </w:t>
      </w:r>
      <w:r>
        <w:rPr>
          <w:rFonts w:ascii="Kalpurush" w:cs="Kalpurush" w:eastAsia="Kalpurush" w:hAnsi="Kalpurush"/>
          <w:b/>
          <w:bCs/>
          <w:sz w:val="20"/>
          <w:szCs w:val="20"/>
        </w:rPr>
        <w:t xml:space="preserve">Alleged Misc Case has no parent order:</w:t>
      </w:r>
      <w:r>
        <w:rPr>
          <w:rFonts w:ascii="Kalpurush" w:cs="Kalpurush" w:eastAsia="Kalpurush" w:hAnsi="Kalpurush"/>
          <w:sz w:val="20"/>
          <w:szCs w:val="20"/>
        </w:rPr>
        <w:t xml:space="preserve"> ১৯৬৯ সালের ১১৮১ নং Misc Case-এর কোনো আদেশনামা, রায় বা সার্টিফাইড কপি নাই; Parent order ছাড়া কোনো সংশোধনীর অস্তিত্ব থাকতে পারে না।</w:t>
      </w:r>
    </w:p>
    <w:p>
      <w:r>
        <w:rPr>
          <w:rFonts w:ascii="Kalpurush" w:cs="Kalpurush" w:eastAsia="Kalpurush" w:hAnsi="Kalpurush"/>
          <w:sz w:val="20"/>
          <w:szCs w:val="20"/>
        </w:rPr>
        <w:t xml:space="preserve">5. </w:t>
      </w:r>
      <w:r>
        <w:rPr>
          <w:rFonts w:ascii="Kalpurush" w:cs="Kalpurush" w:eastAsia="Kalpurush" w:hAnsi="Kalpurush"/>
          <w:b/>
          <w:bCs/>
          <w:sz w:val="20"/>
          <w:szCs w:val="20"/>
        </w:rPr>
        <w:t xml:space="preserve">AC Land note cannot override DC Record Room:</w:t>
      </w:r>
      <w:r>
        <w:rPr>
          <w:rFonts w:ascii="Kalpurush" w:cs="Kalpurush" w:eastAsia="Kalpurush" w:hAnsi="Kalpurush"/>
          <w:sz w:val="20"/>
          <w:szCs w:val="20"/>
        </w:rPr>
        <w:t xml:space="preserve"> সখিপুর AC Land অফিসে ভিন্ন কালিতে লেখা ব্যাখ্যাহীন ভলিউম নোট জেলা প্রশাসকের সেন্ট্রাল রেকর্ড রুমের সংবিধিবদ্ধ রেকর্ডকে খর্ব করতে পারে না (53 DLR 19; 18 BLC 235)।</w:t>
      </w:r>
    </w:p>
    <w:p>
      <w:r>
        <w:rPr>
          <w:rFonts w:ascii="Kalpurush" w:cs="Kalpurush" w:eastAsia="Kalpurush" w:hAnsi="Kalpurush"/>
          <w:sz w:val="20"/>
          <w:szCs w:val="20"/>
        </w:rPr>
        <w:t xml:space="preserve">6. </w:t>
      </w:r>
      <w:r>
        <w:rPr>
          <w:rFonts w:ascii="Kalpurush" w:cs="Kalpurush" w:eastAsia="Kalpurush" w:hAnsi="Kalpurush"/>
          <w:b/>
          <w:bCs/>
          <w:sz w:val="20"/>
          <w:szCs w:val="20"/>
        </w:rPr>
        <w:t xml:space="preserve">Respondents' own 1975 deed contradicts them:</w:t>
      </w:r>
      <w:r>
        <w:rPr>
          <w:rFonts w:ascii="Kalpurush" w:cs="Kalpurush" w:eastAsia="Kalpurush" w:hAnsi="Kalpurush"/>
          <w:sz w:val="20"/>
          <w:szCs w:val="20"/>
        </w:rPr>
        <w:t xml:space="preserve"> বিবাদীরা দাবি করে ১৯৬৯ সংশোধনে SA ২৩৮ খতিয়ানে মাত্র ১টি দাগ ছিল, অথচ তাহাদের নিজেদের রেজিস্ট্রিকৃত ৩৫৯৬/১৯৭৫ নং দলিলে ৬টি দাগের উল্লেখ রয়েছে (Deed 3596/1975)।</w:t>
      </w:r>
    </w:p>
    <w:p>
      <w:r>
        <w:rPr>
          <w:rFonts w:ascii="Kalpurush" w:cs="Kalpurush" w:eastAsia="Kalpurush" w:hAnsi="Kalpurush"/>
          <w:sz w:val="20"/>
          <w:szCs w:val="20"/>
        </w:rPr>
        <w:t xml:space="preserve">7. </w:t>
      </w:r>
      <w:r>
        <w:rPr>
          <w:rFonts w:ascii="Kalpurush" w:cs="Kalpurush" w:eastAsia="Kalpurush" w:hAnsi="Kalpurush"/>
          <w:b/>
          <w:bCs/>
          <w:sz w:val="20"/>
          <w:szCs w:val="20"/>
        </w:rPr>
        <w:t xml:space="preserve">Therefore the judgment collapses:</w:t>
      </w:r>
      <w:r>
        <w:rPr>
          <w:rFonts w:ascii="Kalpurush" w:cs="Kalpurush" w:eastAsia="Kalpurush" w:hAnsi="Kalpurush"/>
          <w:sz w:val="20"/>
          <w:szCs w:val="20"/>
        </w:rPr>
        <w:t xml:space="preserve"> বিবাদীদের কথিত মূল স্বত্ব (Root) এবং কথিত সংশোধন (Parent Order) উভয়ই শূন্যে মিলিয়ে যাওয়ায় নিম্ন আদালতের রায় স্বয়ংক্রিয়ভাবে ভেঙে পড়ে (Root &amp; Fruit Doctrine)।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CHAPTER-BY-CHAPTER ORAL ADVOCACY CHEAT SHEET</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CHAPTER 1: The Fatal Error — Unproved Root Tenancy</w:t>
      </w:r>
    </w:p>
    <w:p>
      <w:pPr>
        <w:pStyle w:val="ListParagraph"/>
        <w:numPr>
          <w:ilvl w:val="0"/>
          <w:numId w:val="1"/>
        </w:numPr>
      </w:pPr>
      <w:r>
        <w:rPr>
          <w:rFonts w:ascii="Kalpurush" w:cs="Kalpurush" w:eastAsia="Kalpurush" w:hAnsi="Kalpurush"/>
          <w:b/>
          <w:bCs/>
          <w:sz w:val="20"/>
          <w:szCs w:val="20"/>
        </w:rPr>
        <w:t xml:space="preserve">Trial Court Held:</w:t>
      </w:r>
      <w:r>
        <w:rPr>
          <w:rFonts w:ascii="Kalpurush" w:cs="Kalpurush" w:eastAsia="Kalpurush" w:hAnsi="Kalpurush"/>
          <w:sz w:val="20"/>
          <w:szCs w:val="20"/>
        </w:rPr>
        <w:t xml:space="preserve"> আব্দুল করিম ১৯৩৪ সালে নবাব এস্টেট হতে প্রজা হন।</w:t>
      </w:r>
    </w:p>
    <w:p>
      <w:pPr>
        <w:pStyle w:val="ListParagraph"/>
        <w:numPr>
          <w:ilvl w:val="0"/>
          <w:numId w:val="1"/>
        </w:numPr>
      </w:pPr>
      <w:r>
        <w:rPr>
          <w:rFonts w:ascii="Kalpurush" w:cs="Kalpurush" w:eastAsia="Kalpurush" w:hAnsi="Kalpurush"/>
          <w:b/>
          <w:bCs/>
          <w:sz w:val="20"/>
          <w:szCs w:val="20"/>
        </w:rPr>
        <w:t xml:space="preserve">Why Wrong:</w:t>
      </w:r>
      <w:r>
        <w:rPr>
          <w:rFonts w:ascii="Kalpurush" w:cs="Kalpurush" w:eastAsia="Kalpurush" w:hAnsi="Kalpurush"/>
          <w:sz w:val="20"/>
          <w:szCs w:val="20"/>
        </w:rPr>
        <w:t xml:space="preserve"> CS ২ খতিয়ানে জমি নবাব এস্টেটের খাস জমি। পাট্টা/কবুলিয়ত নাই। Chief Manager approval নাই (12 BLC (AD) 79)। SAT Act s.86-এ প্রাক-SA অনিবন্ধিত পত্তন বিলুপ্ত (4 SCOB [2015] HCD 52)।</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CHAPTER 2: State Recognition &amp; Burden of Proof</w:t>
      </w:r>
    </w:p>
    <w:p>
      <w:pPr>
        <w:pStyle w:val="ListParagraph"/>
        <w:numPr>
          <w:ilvl w:val="0"/>
          <w:numId w:val="1"/>
        </w:numPr>
      </w:pPr>
      <w:r>
        <w:rPr>
          <w:rFonts w:ascii="Kalpurush" w:cs="Kalpurush" w:eastAsia="Kalpurush" w:hAnsi="Kalpurush"/>
          <w:b/>
          <w:bCs/>
          <w:sz w:val="20"/>
          <w:szCs w:val="20"/>
        </w:rPr>
        <w:t xml:space="preserve">Trial Court Held:</w:t>
      </w:r>
      <w:r>
        <w:rPr>
          <w:rFonts w:ascii="Kalpurush" w:cs="Kalpurush" w:eastAsia="Kalpurush" w:hAnsi="Kalpurush"/>
          <w:sz w:val="20"/>
          <w:szCs w:val="20"/>
        </w:rPr>
        <w:t xml:space="preserve"> বাদীকে প্রমাণ করতে হবে খতিয়ান কেন ভুল নয়।</w:t>
      </w:r>
    </w:p>
    <w:p>
      <w:pPr>
        <w:pStyle w:val="ListParagraph"/>
        <w:numPr>
          <w:ilvl w:val="0"/>
          <w:numId w:val="1"/>
        </w:numPr>
      </w:pPr>
      <w:r>
        <w:rPr>
          <w:rFonts w:ascii="Kalpurush" w:cs="Kalpurush" w:eastAsia="Kalpurush" w:hAnsi="Kalpurush"/>
          <w:b/>
          <w:bCs/>
          <w:sz w:val="20"/>
          <w:szCs w:val="20"/>
        </w:rPr>
        <w:t xml:space="preserve">Why Wrong:</w:t>
      </w:r>
      <w:r>
        <w:rPr>
          <w:rFonts w:ascii="Kalpurush" w:cs="Kalpurush" w:eastAsia="Kalpurush" w:hAnsi="Kalpurush"/>
          <w:sz w:val="20"/>
          <w:szCs w:val="20"/>
        </w:rPr>
        <w:t xml:space="preserve"> SA ২৩৮ খতিয়ানে আব্দুল আলী ১৬ আনা প্রজা। Section 144A Presumption বাদীর পক্ষে। প্রমাণের দায় বিবাদীদের উপর (50 DLR 186; 56 DLR (AD) 53; Evidence Act s.103)।</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CHAPTER 3: Collapse of the Correction Theory (Ghost Misc Case)</w:t>
      </w:r>
    </w:p>
    <w:p>
      <w:pPr>
        <w:pStyle w:val="ListParagraph"/>
        <w:numPr>
          <w:ilvl w:val="0"/>
          <w:numId w:val="1"/>
        </w:numPr>
      </w:pPr>
      <w:r>
        <w:rPr>
          <w:rFonts w:ascii="Kalpurush" w:cs="Kalpurush" w:eastAsia="Kalpurush" w:hAnsi="Kalpurush"/>
          <w:b/>
          <w:bCs/>
          <w:sz w:val="20"/>
          <w:szCs w:val="20"/>
        </w:rPr>
        <w:t xml:space="preserve">Trial Court Held:</w:t>
      </w:r>
      <w:r>
        <w:rPr>
          <w:rFonts w:ascii="Kalpurush" w:cs="Kalpurush" w:eastAsia="Kalpurush" w:hAnsi="Kalpurush"/>
          <w:sz w:val="20"/>
          <w:szCs w:val="20"/>
        </w:rPr>
        <w:t xml:space="preserve"> ১৯৬৯ সালের ১১৮১ নং Misc Case-এ রেকর্ড সংশোধিত হয়েছে।</w:t>
      </w:r>
    </w:p>
    <w:p>
      <w:pPr>
        <w:pStyle w:val="ListParagraph"/>
        <w:numPr>
          <w:ilvl w:val="0"/>
          <w:numId w:val="1"/>
        </w:numPr>
      </w:pPr>
      <w:r>
        <w:rPr>
          <w:rFonts w:ascii="Kalpurush" w:cs="Kalpurush" w:eastAsia="Kalpurush" w:hAnsi="Kalpurush"/>
          <w:b/>
          <w:bCs/>
          <w:sz w:val="20"/>
          <w:szCs w:val="20"/>
        </w:rPr>
        <w:t xml:space="preserve">Why Wrong:</w:t>
      </w:r>
      <w:r>
        <w:rPr>
          <w:rFonts w:ascii="Kalpurush" w:cs="Kalpurush" w:eastAsia="Kalpurush" w:hAnsi="Kalpurush"/>
          <w:sz w:val="20"/>
          <w:szCs w:val="20"/>
        </w:rPr>
        <w:t xml:space="preserve"> কোনো Order Sheet, Judgment, Decree বা Certified Copy নাই। Misc Case-এ Title Adjudication অসম্ভব (27 BLD 544)। Parent order নাই $\rightarrow$ Fruit ধসে পড়ে (Root &amp; Fruit Theory)।</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CHAPTER 4: AC Land Volume Note Has No Legal Force</w:t>
      </w:r>
    </w:p>
    <w:p>
      <w:pPr>
        <w:pStyle w:val="ListParagraph"/>
        <w:numPr>
          <w:ilvl w:val="0"/>
          <w:numId w:val="1"/>
        </w:numPr>
      </w:pPr>
      <w:r>
        <w:rPr>
          <w:rFonts w:ascii="Kalpurush" w:cs="Kalpurush" w:eastAsia="Kalpurush" w:hAnsi="Kalpurush"/>
          <w:b/>
          <w:bCs/>
          <w:sz w:val="20"/>
          <w:szCs w:val="20"/>
        </w:rPr>
        <w:t xml:space="preserve">Trial Court Held:</w:t>
      </w:r>
      <w:r>
        <w:rPr>
          <w:rFonts w:ascii="Kalpurush" w:cs="Kalpurush" w:eastAsia="Kalpurush" w:hAnsi="Kalpurush"/>
          <w:sz w:val="20"/>
          <w:szCs w:val="20"/>
        </w:rPr>
        <w:t xml:space="preserve"> AC Land ভলিউম নোটের ভিত্তিতে বিবাদীদের নাম গ্রহণযোগ্য।</w:t>
      </w:r>
    </w:p>
    <w:p>
      <w:pPr>
        <w:pStyle w:val="ListParagraph"/>
        <w:numPr>
          <w:ilvl w:val="0"/>
          <w:numId w:val="1"/>
        </w:numPr>
      </w:pPr>
      <w:r>
        <w:rPr>
          <w:rFonts w:ascii="Kalpurush" w:cs="Kalpurush" w:eastAsia="Kalpurush" w:hAnsi="Kalpurush"/>
          <w:b/>
          <w:bCs/>
          <w:sz w:val="20"/>
          <w:szCs w:val="20"/>
        </w:rPr>
        <w:t xml:space="preserve">Why Wrong:</w:t>
      </w:r>
      <w:r>
        <w:rPr>
          <w:rFonts w:ascii="Kalpurush" w:cs="Kalpurush" w:eastAsia="Kalpurush" w:hAnsi="Kalpurush"/>
          <w:sz w:val="20"/>
          <w:szCs w:val="20"/>
        </w:rPr>
        <w:t xml:space="preserve"> AC Land আদালত নন; Mutation দ্বারা Title খর্ব করার এখতিয়ার রাজস্ব কর্মকর্তার নাই (18 SCOB [2023] AD 20; 18 BLC 235; 29 BLC 160)। ৭টি মিউটেশন ধাপে ০টি পালিত। DC Record Room আজও অপরিবর্তিত।</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CHAPTER 5: Respondents' Story Defeats Itself (Factual Contradictions)</w:t>
      </w:r>
    </w:p>
    <w:p>
      <w:pPr>
        <w:pStyle w:val="ListParagraph"/>
        <w:numPr>
          <w:ilvl w:val="0"/>
          <w:numId w:val="1"/>
        </w:numPr>
      </w:pPr>
      <w:r>
        <w:rPr>
          <w:rFonts w:ascii="Kalpurush" w:cs="Kalpurush" w:eastAsia="Kalpurush" w:hAnsi="Kalpurush"/>
          <w:b/>
          <w:bCs/>
          <w:sz w:val="20"/>
          <w:szCs w:val="20"/>
        </w:rPr>
        <w:t xml:space="preserve">Trial Court Held:</w:t>
      </w:r>
      <w:r>
        <w:rPr>
          <w:rFonts w:ascii="Kalpurush" w:cs="Kalpurush" w:eastAsia="Kalpurush" w:hAnsi="Kalpurush"/>
          <w:sz w:val="20"/>
          <w:szCs w:val="20"/>
        </w:rPr>
        <w:t xml:space="preserve"> বিবাদীদের প্রতিরক্ষা গ্রহণযোগ্য।</w:t>
      </w:r>
    </w:p>
    <w:p>
      <w:pPr>
        <w:pStyle w:val="ListParagraph"/>
        <w:numPr>
          <w:ilvl w:val="0"/>
          <w:numId w:val="1"/>
        </w:numPr>
      </w:pPr>
      <w:r>
        <w:rPr>
          <w:rFonts w:ascii="Kalpurush" w:cs="Kalpurush" w:eastAsia="Kalpurush" w:hAnsi="Kalpurush"/>
          <w:b/>
          <w:bCs/>
          <w:sz w:val="20"/>
          <w:szCs w:val="20"/>
        </w:rPr>
        <w:t xml:space="preserve">Why Wrong:</w:t>
      </w:r>
      <w:r>
        <w:rPr>
          <w:rFonts w:ascii="Kalpurush" w:cs="Kalpurush" w:eastAsia="Kalpurush" w:hAnsi="Kalpurush"/>
          <w:sz w:val="20"/>
          <w:szCs w:val="20"/>
        </w:rPr>
        <w:t xml:space="preserve"> </w:t>
      </w:r>
    </w:p>
    <w:p>
      <w:r>
        <w:rPr>
          <w:rFonts w:ascii="Kalpurush" w:cs="Kalpurush" w:eastAsia="Kalpurush" w:hAnsi="Kalpurush"/>
          <w:sz w:val="20"/>
          <w:szCs w:val="20"/>
        </w:rPr>
        <w:t xml:space="preserve">  1. বিবাদীদের ১৯৭৫ সালের দলিলে (Exh Kha-1) SA ২৩৮-এ ৬টি দাগ (দাবি ছিল ১টি)।</w:t>
      </w:r>
    </w:p>
    <w:p>
      <w:r>
        <w:rPr>
          <w:rFonts w:ascii="Kalpurush" w:cs="Kalpurush" w:eastAsia="Kalpurush" w:hAnsi="Kalpurush"/>
          <w:sz w:val="20"/>
          <w:szCs w:val="20"/>
        </w:rPr>
        <w:t xml:space="preserve">  2. DW-4 জবানবন্দিতে স্বীকার করেন ভলিউম নোট ভিন্ন কালিতে এবং প্রজার নাম বলেন "আব্দুল আলীম"।</w:t>
      </w:r>
    </w:p>
    <w:p>
      <w:r>
        <w:rPr>
          <w:rFonts w:ascii="Kalpurush" w:cs="Kalpurush" w:eastAsia="Kalpurush" w:hAnsi="Kalpurush"/>
          <w:sz w:val="20"/>
          <w:szCs w:val="20"/>
        </w:rPr>
        <w:t xml:space="preserve">  3. সোনাভানুর অন্য বোনদের (বেলুয়া ও কমলা) নাম বাদ পড়া।</w:t>
      </w:r>
    </w:p>
    <w:p>
      <w:r>
        <w:rPr>
          <w:rFonts w:ascii="Kalpurush" w:cs="Kalpurush" w:eastAsia="Kalpurush" w:hAnsi="Kalpurush"/>
          <w:sz w:val="20"/>
          <w:szCs w:val="20"/>
        </w:rPr>
        <w:t xml:space="preserve">  4. গাণিতিক অসম্ভবতা: ৩৪৯ + ১৩৭ = ৪৮৬ শতক, কিন্তু দাগের মোট আয়তন ৪৭৭ শতক!</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CHAPTER 6: Partition Suit Maintainability</w:t>
      </w:r>
    </w:p>
    <w:p>
      <w:pPr>
        <w:pStyle w:val="ListParagraph"/>
        <w:numPr>
          <w:ilvl w:val="0"/>
          <w:numId w:val="1"/>
        </w:numPr>
      </w:pPr>
      <w:r>
        <w:rPr>
          <w:rFonts w:ascii="Kalpurush" w:cs="Kalpurush" w:eastAsia="Kalpurush" w:hAnsi="Kalpurush"/>
          <w:b/>
          <w:bCs/>
          <w:sz w:val="20"/>
          <w:szCs w:val="20"/>
        </w:rPr>
        <w:t xml:space="preserve">Trial Court Held:</w:t>
      </w:r>
      <w:r>
        <w:rPr>
          <w:rFonts w:ascii="Kalpurush" w:cs="Kalpurush" w:eastAsia="Kalpurush" w:hAnsi="Kalpurush"/>
          <w:sz w:val="20"/>
          <w:szCs w:val="20"/>
        </w:rPr>
        <w:t xml:space="preserve"> আংশিক বাটোয়ারা (Hotchpot) ও Non-joinder দোষে মামলা খারিজ।</w:t>
      </w:r>
    </w:p>
    <w:p>
      <w:pPr>
        <w:pStyle w:val="ListParagraph"/>
        <w:numPr>
          <w:ilvl w:val="0"/>
          <w:numId w:val="1"/>
        </w:numPr>
      </w:pPr>
      <w:r>
        <w:rPr>
          <w:rFonts w:ascii="Kalpurush" w:cs="Kalpurush" w:eastAsia="Kalpurush" w:hAnsi="Kalpurush"/>
          <w:b/>
          <w:bCs/>
          <w:sz w:val="20"/>
          <w:szCs w:val="20"/>
        </w:rPr>
        <w:t xml:space="preserve">Why Wrong:</w:t>
      </w:r>
      <w:r>
        <w:rPr>
          <w:rFonts w:ascii="Kalpurush" w:cs="Kalpurush" w:eastAsia="Kalpurush" w:hAnsi="Kalpurush"/>
          <w:sz w:val="20"/>
          <w:szCs w:val="20"/>
        </w:rPr>
        <w:t xml:space="preserve"> বাটোয়ারা আদালত Incidental Title নির্ধারণ করতে পারেন। পৃথক খতিয়ান বা সরকারি জমি বাদ দিলে Hotchpot হয় না (27 BLD 229)। ব্যক্তিমালিকানাধীন বাটোয়ারায় সরকার Necessary Party নয় (49 DLR (AD) 15)।</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CORE TABLES FOR ORAL PRESENTATION</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১. বিবাদীদের ৩টি ভিত্তি ও আইনি ধস:</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বিবাদীদের দাবি</w:t>
            </w:r>
          </w:p>
        </w:tc>
        <w:tc>
          <w:p>
            <w:r>
              <w:rPr>
                <w:rFonts w:ascii="Kalpurush" w:cs="Kalpurush" w:eastAsia="Kalpurush" w:hAnsi="Kalpurush"/>
                <w:sz w:val="20"/>
                <w:szCs w:val="20"/>
              </w:rPr>
              <w:t xml:space="preserve">উপস্থাপিত প্রমাণ</w:t>
            </w:r>
          </w:p>
        </w:tc>
        <w:tc>
          <w:p>
            <w:r>
              <w:rPr>
                <w:rFonts w:ascii="Kalpurush" w:cs="Kalpurush" w:eastAsia="Kalpurush" w:hAnsi="Kalpurush"/>
                <w:sz w:val="20"/>
                <w:szCs w:val="20"/>
              </w:rPr>
              <w:t xml:space="preserve">আইনি পরিণতি</w:t>
            </w:r>
          </w:p>
        </w:tc>
      </w:tr>
      <w:tr>
        <w:tc>
          <w:p>
            <w:r>
              <w:rPr>
                <w:rFonts w:ascii="Kalpurush" w:cs="Kalpurush" w:eastAsia="Kalpurush" w:hAnsi="Kalpurush"/>
                <w:sz w:val="20"/>
                <w:szCs w:val="20"/>
              </w:rPr>
              <w:t xml:space="preserve">১৯৩৪ সালের পত্তন</w:t>
            </w:r>
          </w:p>
        </w:tc>
        <w:tc>
          <w:p>
            <w:r>
              <w:rPr>
                <w:rFonts w:ascii="Kalpurush" w:cs="Kalpurush" w:eastAsia="Kalpurush" w:hAnsi="Kalpurush"/>
                <w:sz w:val="20"/>
                <w:szCs w:val="20"/>
              </w:rPr>
              <w:t xml:space="preserve">নাই (অনিবন্ধিত, পাট্টা নাই)</w:t>
            </w:r>
          </w:p>
        </w:tc>
        <w:tc>
          <w:p>
            <w:r>
              <w:rPr>
                <w:rFonts w:ascii="Kalpurush" w:cs="Kalpurush" w:eastAsia="Kalpurush" w:hAnsi="Kalpurush"/>
                <w:sz w:val="20"/>
                <w:szCs w:val="20"/>
              </w:rPr>
              <w:t xml:space="preserve">SAT Act s.86-তে বিলুপ্ত (4 SCOB 2015 HCD 52)</w:t>
            </w:r>
          </w:p>
        </w:tc>
      </w:tr>
      <w:tr>
        <w:tc>
          <w:p>
            <w:r>
              <w:rPr>
                <w:rFonts w:ascii="Kalpurush" w:cs="Kalpurush" w:eastAsia="Kalpurush" w:hAnsi="Kalpurush"/>
                <w:sz w:val="20"/>
                <w:szCs w:val="20"/>
              </w:rPr>
              <w:t xml:space="preserve">Misc Case 1181/1969</w:t>
            </w:r>
          </w:p>
        </w:tc>
        <w:tc>
          <w:p>
            <w:r>
              <w:rPr>
                <w:rFonts w:ascii="Kalpurush" w:cs="Kalpurush" w:eastAsia="Kalpurush" w:hAnsi="Kalpurush"/>
                <w:sz w:val="20"/>
                <w:szCs w:val="20"/>
              </w:rPr>
              <w:t xml:space="preserve">Order Sheet, Decree — কিছুই নাই</w:t>
            </w:r>
          </w:p>
        </w:tc>
        <w:tc>
          <w:p>
            <w:r>
              <w:rPr>
                <w:rFonts w:ascii="Kalpurush" w:cs="Kalpurush" w:eastAsia="Kalpurush" w:hAnsi="Kalpurush"/>
                <w:sz w:val="20"/>
                <w:szCs w:val="20"/>
              </w:rPr>
              <w:t xml:space="preserve">Adverse Inference (Evidence Act s.114g)</w:t>
            </w:r>
          </w:p>
        </w:tc>
      </w:tr>
      <w:tr>
        <w:tc>
          <w:p>
            <w:r>
              <w:rPr>
                <w:rFonts w:ascii="Kalpurush" w:cs="Kalpurush" w:eastAsia="Kalpurush" w:hAnsi="Kalpurush"/>
                <w:sz w:val="20"/>
                <w:szCs w:val="20"/>
              </w:rPr>
              <w:t xml:space="preserve">AC Land Volume Note</w:t>
            </w:r>
          </w:p>
        </w:tc>
        <w:tc>
          <w:p>
            <w:r>
              <w:rPr>
                <w:rFonts w:ascii="Kalpurush" w:cs="Kalpurush" w:eastAsia="Kalpurush" w:hAnsi="Kalpurush"/>
                <w:sz w:val="20"/>
                <w:szCs w:val="20"/>
              </w:rPr>
              <w:t xml:space="preserve">ভিন্ন কালিতে লেখা — DW-4 কারণ জানেন না</w:t>
            </w:r>
          </w:p>
        </w:tc>
        <w:tc>
          <w:p>
            <w:r>
              <w:rPr>
                <w:rFonts w:ascii="Kalpurush" w:cs="Kalpurush" w:eastAsia="Kalpurush" w:hAnsi="Kalpurush"/>
                <w:sz w:val="20"/>
                <w:szCs w:val="20"/>
              </w:rPr>
              <w:t xml:space="preserve">Parent order নাই $\rightarrow$ Root &amp; Fruit-এ বাতিল (53 DLR 19)</w:t>
            </w:r>
          </w:p>
        </w:tc>
      </w:tr>
    </w:tbl>
    <w:p>
      <w:r>
        <w:rPr>
          <w:rFonts w:ascii="Kalpurush" w:cs="Kalpurush" w:eastAsia="Kalpurush" w:hAnsi="Kalpurush"/>
        </w:rPr>
        <w:t xml:space="preserve"/>
      </w:r>
    </w:p>
    <w:p>
      <w:pPr>
        <w:pStyle w:val="Heading3"/>
      </w:pPr>
      <w:r>
        <w:rPr>
          <w:rFonts w:ascii="Kalpurush" w:cs="Kalpurush" w:eastAsia="Kalpurush" w:hAnsi="Kalpurush"/>
          <w:sz w:val="20"/>
          <w:szCs w:val="20"/>
        </w:rPr>
        <w:t xml:space="preserve">২. বিবাদীদের আত্মঘাতী ১৯৭৫ সালের দলিল (Deed 3596/1975):</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বিবাদীদের আদালতের দাবি</w:t>
            </w:r>
          </w:p>
        </w:tc>
        <w:tc>
          <w:p>
            <w:r>
              <w:rPr>
                <w:rFonts w:ascii="Kalpurush" w:cs="Kalpurush" w:eastAsia="Kalpurush" w:hAnsi="Kalpurush"/>
                <w:sz w:val="20"/>
                <w:szCs w:val="20"/>
              </w:rPr>
              <w:t xml:space="preserve">১৯৭৫ সালের নিজেদের দলিল</w:t>
            </w:r>
          </w:p>
        </w:tc>
      </w:tr>
      <w:tr>
        <w:tc>
          <w:p>
            <w:r>
              <w:rPr>
                <w:rFonts w:ascii="Kalpurush" w:cs="Kalpurush" w:eastAsia="Kalpurush" w:hAnsi="Kalpurush"/>
                <w:sz w:val="20"/>
                <w:szCs w:val="20"/>
              </w:rPr>
              <w:t xml:space="preserve">১৯৬৯ সালে সংশোধনের পর SA ২৩৮-এ দাগ </w:t>
            </w:r>
            <w:r>
              <w:rPr>
                <w:rFonts w:ascii="Kalpurush" w:cs="Kalpurush" w:eastAsia="Kalpurush" w:hAnsi="Kalpurush"/>
                <w:b/>
                <w:bCs/>
                <w:sz w:val="20"/>
                <w:szCs w:val="20"/>
              </w:rPr>
              <w:t xml:space="preserve">১টি (১২৫৯)</w:t>
            </w:r>
            <w:r>
              <w:rPr>
                <w:rFonts w:ascii="Kalpurush" w:cs="Kalpurush" w:eastAsia="Kalpurush" w:hAnsi="Kalpurush"/>
                <w:sz w:val="20"/>
                <w:szCs w:val="20"/>
              </w:rPr>
              <w:t xml:space="preserve">।</w:t>
            </w:r>
          </w:p>
        </w:tc>
        <w:tc>
          <w:p>
            <w:r>
              <w:rPr>
                <w:rFonts w:ascii="Kalpurush" w:cs="Kalpurush" w:eastAsia="Kalpurush" w:hAnsi="Kalpurush"/>
                <w:sz w:val="20"/>
                <w:szCs w:val="20"/>
              </w:rPr>
              <w:t xml:space="preserve">Exhibit Kha-1-এ SA ২৩৮ খতিয়ানের অধীনে </w:t>
            </w:r>
            <w:r>
              <w:rPr>
                <w:rFonts w:ascii="Kalpurush" w:cs="Kalpurush" w:eastAsia="Kalpurush" w:hAnsi="Kalpurush"/>
                <w:b/>
                <w:bCs/>
                <w:sz w:val="20"/>
                <w:szCs w:val="20"/>
              </w:rPr>
              <w:t xml:space="preserve">৬টি দাগ</w:t>
            </w:r>
            <w:r>
              <w:rPr>
                <w:rFonts w:ascii="Kalpurush" w:cs="Kalpurush" w:eastAsia="Kalpurush" w:hAnsi="Kalpurush"/>
                <w:sz w:val="20"/>
                <w:szCs w:val="20"/>
              </w:rPr>
              <w:t xml:space="preserve"> বর্ণিত।</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7: TOP 15 BENCH QUESTIONS &amp; ANSWERS (QUICK SUMMARY)</w:t>
      </w:r>
    </w:p>
    <w:p>
      <w:r>
        <w:rPr>
          <w:rFonts w:ascii="Kalpurush" w:cs="Kalpurush" w:eastAsia="Kalpurush" w:hAnsi="Kalpurush"/>
        </w:rPr>
        <w:t xml:space="preserve"/>
      </w:r>
    </w:p>
    <w:p>
      <w:r>
        <w:rPr>
          <w:rFonts w:ascii="Kalpurush" w:cs="Kalpurush" w:eastAsia="Kalpurush" w:hAnsi="Kalpurush"/>
          <w:sz w:val="20"/>
          <w:szCs w:val="20"/>
        </w:rPr>
        <w:t xml:space="preserve">1. </w:t>
      </w:r>
      <w:r>
        <w:rPr>
          <w:rFonts w:ascii="Kalpurush" w:cs="Kalpurush" w:eastAsia="Kalpurush" w:hAnsi="Kalpurush"/>
          <w:b/>
          <w:bCs/>
          <w:sz w:val="20"/>
          <w:szCs w:val="20"/>
        </w:rPr>
        <w:t xml:space="preserve">Misc Case-এর সার্টিফাইড কপি নাই কেন?</w:t>
      </w:r>
      <w:r>
        <w:rPr>
          <w:rFonts w:ascii="Kalpurush" w:cs="Kalpurush" w:eastAsia="Kalpurush" w:hAnsi="Kalpurush"/>
          <w:sz w:val="20"/>
          <w:szCs w:val="20"/>
        </w:rPr>
        <w:t xml:space="preserve"> $\rightarrow$ বাস্তবে কোনো বিচারিক আদেশ ছিল না; Evidence Act s.114(g)-তে Adverse Inference গ্রহণীয়।</w:t>
      </w:r>
    </w:p>
    <w:p>
      <w:r>
        <w:rPr>
          <w:rFonts w:ascii="Kalpurush" w:cs="Kalpurush" w:eastAsia="Kalpurush" w:hAnsi="Kalpurush"/>
          <w:sz w:val="20"/>
          <w:szCs w:val="20"/>
        </w:rPr>
        <w:t xml:space="preserve">2. </w:t>
      </w:r>
      <w:r>
        <w:rPr>
          <w:rFonts w:ascii="Kalpurush" w:cs="Kalpurush" w:eastAsia="Kalpurush" w:hAnsi="Kalpurush"/>
          <w:b/>
          <w:bCs/>
          <w:sz w:val="20"/>
          <w:szCs w:val="20"/>
        </w:rPr>
        <w:t xml:space="preserve">AC Land ভলিউম নোটের গুরুত্ব কি?</w:t>
      </w:r>
      <w:r>
        <w:rPr>
          <w:rFonts w:ascii="Kalpurush" w:cs="Kalpurush" w:eastAsia="Kalpurush" w:hAnsi="Kalpurush"/>
          <w:sz w:val="20"/>
          <w:szCs w:val="20"/>
        </w:rPr>
        <w:t xml:space="preserve"> $\rightarrow$ Parent Order ছাড়া ভলিউম নোটের Presumption নাই (53 DLR 19)।</w:t>
      </w:r>
    </w:p>
    <w:p>
      <w:r>
        <w:rPr>
          <w:rFonts w:ascii="Kalpurush" w:cs="Kalpurush" w:eastAsia="Kalpurush" w:hAnsi="Kalpurush"/>
          <w:sz w:val="20"/>
          <w:szCs w:val="20"/>
        </w:rPr>
        <w:t xml:space="preserve">3. </w:t>
      </w:r>
      <w:r>
        <w:rPr>
          <w:rFonts w:ascii="Kalpurush" w:cs="Kalpurush" w:eastAsia="Kalpurush" w:hAnsi="Kalpurush"/>
          <w:b/>
          <w:bCs/>
          <w:sz w:val="20"/>
          <w:szCs w:val="20"/>
        </w:rPr>
        <w:t xml:space="preserve">AC Land কি স্বত্ব খর্ব করতে পারেন?</w:t>
      </w:r>
      <w:r>
        <w:rPr>
          <w:rFonts w:ascii="Kalpurush" w:cs="Kalpurush" w:eastAsia="Kalpurush" w:hAnsi="Kalpurush"/>
          <w:sz w:val="20"/>
          <w:szCs w:val="20"/>
        </w:rPr>
        <w:t xml:space="preserve"> $\rightarrow$ না, রাজস্ব কর্মকর্তার কোনো Title Adjudication-এর এখতিয়ার নাই (18 BLC 235; 29 BLC 160)।</w:t>
      </w:r>
    </w:p>
    <w:p>
      <w:r>
        <w:rPr>
          <w:rFonts w:ascii="Kalpurush" w:cs="Kalpurush" w:eastAsia="Kalpurush" w:hAnsi="Kalpurush"/>
          <w:sz w:val="20"/>
          <w:szCs w:val="20"/>
        </w:rPr>
        <w:t xml:space="preserve">4. </w:t>
      </w:r>
      <w:r>
        <w:rPr>
          <w:rFonts w:ascii="Kalpurush" w:cs="Kalpurush" w:eastAsia="Kalpurush" w:hAnsi="Kalpurush"/>
          <w:b/>
          <w:bCs/>
          <w:sz w:val="20"/>
          <w:szCs w:val="20"/>
        </w:rPr>
        <w:t xml:space="preserve">১৯৩৪ সালের পত্তনের অবস্থা কি?</w:t>
      </w:r>
      <w:r>
        <w:rPr>
          <w:rFonts w:ascii="Kalpurush" w:cs="Kalpurush" w:eastAsia="Kalpurush" w:hAnsi="Kalpurush"/>
          <w:sz w:val="20"/>
          <w:szCs w:val="20"/>
        </w:rPr>
        <w:t xml:space="preserve"> $\rightarrow$ SAT Act s.86-এ প্রাক-SA অনিবন্ধিত পত্তন বিলুপ্ত (4 SCOB [2015] HCD 52)।</w:t>
      </w:r>
    </w:p>
    <w:p>
      <w:r>
        <w:rPr>
          <w:rFonts w:ascii="Kalpurush" w:cs="Kalpurush" w:eastAsia="Kalpurush" w:hAnsi="Kalpurush"/>
          <w:sz w:val="20"/>
          <w:szCs w:val="20"/>
        </w:rPr>
        <w:t xml:space="preserve">5. </w:t>
      </w:r>
      <w:r>
        <w:rPr>
          <w:rFonts w:ascii="Kalpurush" w:cs="Kalpurush" w:eastAsia="Kalpurush" w:hAnsi="Kalpurush"/>
          <w:b/>
          <w:bCs/>
          <w:sz w:val="20"/>
          <w:szCs w:val="20"/>
        </w:rPr>
        <w:t xml:space="preserve">১৯৭৫ সালের দলিল কেন বিবাদীদের বিরুদ্ধে যায়?</w:t>
      </w:r>
      <w:r>
        <w:rPr>
          <w:rFonts w:ascii="Kalpurush" w:cs="Kalpurush" w:eastAsia="Kalpurush" w:hAnsi="Kalpurush"/>
          <w:sz w:val="20"/>
          <w:szCs w:val="20"/>
        </w:rPr>
        <w:t xml:space="preserve"> $\rightarrow$ বিবাদীরা নিজেরা দলিলে ৬টি দাগ উল্লেখ করেছে, অথচ আদালতে ১টি দাগের দাবি তুলে ধরা হয়েছে (Admission &amp; Estoppel)।</w:t>
      </w:r>
    </w:p>
    <w:p>
      <w:r>
        <w:rPr>
          <w:rFonts w:ascii="Kalpurush" w:cs="Kalpurush" w:eastAsia="Kalpurush" w:hAnsi="Kalpurush"/>
          <w:sz w:val="20"/>
          <w:szCs w:val="20"/>
        </w:rPr>
        <w:t xml:space="preserve">6. </w:t>
      </w:r>
      <w:r>
        <w:rPr>
          <w:rFonts w:ascii="Kalpurush" w:cs="Kalpurush" w:eastAsia="Kalpurush" w:hAnsi="Kalpurush"/>
          <w:b/>
          <w:bCs/>
          <w:sz w:val="20"/>
          <w:szCs w:val="20"/>
        </w:rPr>
        <w:t xml:space="preserve">সরকারি জমি বাদ পড়ায় Hotchpot দোষ হয়েছে কিনা?</w:t>
      </w:r>
      <w:r>
        <w:rPr>
          <w:rFonts w:ascii="Kalpurush" w:cs="Kalpurush" w:eastAsia="Kalpurush" w:hAnsi="Kalpurush"/>
          <w:sz w:val="20"/>
          <w:szCs w:val="20"/>
        </w:rPr>
        <w:t xml:space="preserve"> $\rightarrow$ না, পৃথক খতিয়ানের জমি বা সরকারের জমি বাদ দিলে Hotchpot হয় না (27 BLD 229)।</w:t>
      </w:r>
    </w:p>
    <w:p>
      <w:r>
        <w:rPr>
          <w:rFonts w:ascii="Kalpurush" w:cs="Kalpurush" w:eastAsia="Kalpurush" w:hAnsi="Kalpurush"/>
          <w:sz w:val="20"/>
          <w:szCs w:val="20"/>
        </w:rPr>
        <w:t xml:space="preserve">7. </w:t>
      </w:r>
      <w:r>
        <w:rPr>
          <w:rFonts w:ascii="Kalpurush" w:cs="Kalpurush" w:eastAsia="Kalpurush" w:hAnsi="Kalpurush"/>
          <w:b/>
          <w:bCs/>
          <w:sz w:val="20"/>
          <w:szCs w:val="20"/>
        </w:rPr>
        <w:t xml:space="preserve">সরকারকে পক্ষ না করায় মামলা খারিজ হবে কিনা?</w:t>
      </w:r>
      <w:r>
        <w:rPr>
          <w:rFonts w:ascii="Kalpurush" w:cs="Kalpurush" w:eastAsia="Kalpurush" w:hAnsi="Kalpurush"/>
          <w:sz w:val="20"/>
          <w:szCs w:val="20"/>
        </w:rPr>
        <w:t xml:space="preserve"> $\rightarrow$ না, প্রাইভেট বাটোয়ারায় সরকার Necessary Party নয় (49 DLR (AD) 15)।</w:t>
      </w:r>
    </w:p>
    <w:p>
      <w:r>
        <w:rPr>
          <w:rFonts w:ascii="Kalpurush" w:cs="Kalpurush" w:eastAsia="Kalpurush" w:hAnsi="Kalpurush"/>
          <w:sz w:val="20"/>
          <w:szCs w:val="20"/>
        </w:rPr>
        <w:t xml:space="preserve">8. </w:t>
      </w:r>
      <w:r>
        <w:rPr>
          <w:rFonts w:ascii="Kalpurush" w:cs="Kalpurush" w:eastAsia="Kalpurush" w:hAnsi="Kalpurush"/>
          <w:b/>
          <w:bCs/>
          <w:sz w:val="20"/>
          <w:szCs w:val="20"/>
        </w:rPr>
        <w:t xml:space="preserve">বাটোয়ারা মামলায় স্বত্ব পরীক্ষা করা যায় কিনা?</w:t>
      </w:r>
      <w:r>
        <w:rPr>
          <w:rFonts w:ascii="Kalpurush" w:cs="Kalpurush" w:eastAsia="Kalpurush" w:hAnsi="Kalpurush"/>
          <w:sz w:val="20"/>
          <w:szCs w:val="20"/>
        </w:rPr>
        <w:t xml:space="preserve"> $\rightarrow$ হাঁ, আদালত Incidental Title নির্ধারণ করতে পারেন।</w:t>
      </w:r>
    </w:p>
    <w:p>
      <w:r>
        <w:rPr>
          <w:rFonts w:ascii="Kalpurush" w:cs="Kalpurush" w:eastAsia="Kalpurush" w:hAnsi="Kalpurush"/>
          <w:sz w:val="20"/>
          <w:szCs w:val="20"/>
        </w:rPr>
        <w:t xml:space="preserve">9. </w:t>
      </w:r>
      <w:r>
        <w:rPr>
          <w:rFonts w:ascii="Kalpurush" w:cs="Kalpurush" w:eastAsia="Kalpurush" w:hAnsi="Kalpurush"/>
          <w:b/>
          <w:bCs/>
          <w:sz w:val="20"/>
          <w:szCs w:val="20"/>
        </w:rPr>
        <w:t xml:space="preserve">DW-4 জেরায় কি স্বীকার করেছেন?</w:t>
      </w:r>
      <w:r>
        <w:rPr>
          <w:rFonts w:ascii="Kalpurush" w:cs="Kalpurush" w:eastAsia="Kalpurush" w:hAnsi="Kalpurush"/>
          <w:sz w:val="20"/>
          <w:szCs w:val="20"/>
        </w:rPr>
        <w:t xml:space="preserve"> $\rightarrow$ ভিন্ন কালি, মূল ফাইলের অনুপস্থিতি এবং "আব্দুল আলীম" নাম উচ্চারণ।</w:t>
      </w:r>
    </w:p>
    <w:p>
      <w:r>
        <w:rPr>
          <w:rFonts w:ascii="Kalpurush" w:cs="Kalpurush" w:eastAsia="Kalpurush" w:hAnsi="Kalpurush"/>
          <w:sz w:val="20"/>
          <w:szCs w:val="20"/>
        </w:rPr>
        <w:t xml:space="preserve">10. </w:t>
      </w:r>
      <w:r>
        <w:rPr>
          <w:rFonts w:ascii="Kalpurush" w:cs="Kalpurush" w:eastAsia="Kalpurush" w:hAnsi="Kalpurush"/>
          <w:b/>
          <w:bCs/>
          <w:sz w:val="20"/>
          <w:szCs w:val="20"/>
        </w:rPr>
        <w:t xml:space="preserve">সোনাভানুর বোনদের নাম বাদ পড়া কেন গুরুত্বপূর্ণ?</w:t>
      </w:r>
      <w:r>
        <w:rPr>
          <w:rFonts w:ascii="Kalpurush" w:cs="Kalpurush" w:eastAsia="Kalpurush" w:hAnsi="Kalpurush"/>
          <w:sz w:val="20"/>
          <w:szCs w:val="20"/>
        </w:rPr>
        <w:t xml:space="preserve"> $\rightarrow$ ইহা উদ্দেশ্যপ্রণোদিত প্রশাসনিক কারসাজি প্রমাণ করে।</w:t>
      </w:r>
    </w:p>
    <w:p>
      <w:r>
        <w:rPr>
          <w:rFonts w:ascii="Kalpurush" w:cs="Kalpurush" w:eastAsia="Kalpurush" w:hAnsi="Kalpurush"/>
          <w:sz w:val="20"/>
          <w:szCs w:val="20"/>
        </w:rPr>
        <w:t xml:space="preserve">11. </w:t>
      </w:r>
      <w:r>
        <w:rPr>
          <w:rFonts w:ascii="Kalpurush" w:cs="Kalpurush" w:eastAsia="Kalpurush" w:hAnsi="Kalpurush"/>
          <w:b/>
          <w:bCs/>
          <w:sz w:val="20"/>
          <w:szCs w:val="20"/>
        </w:rPr>
        <w:t xml:space="preserve">গাণিতিক অসঙ্গতি কি?</w:t>
      </w:r>
      <w:r>
        <w:rPr>
          <w:rFonts w:ascii="Kalpurush" w:cs="Kalpurush" w:eastAsia="Kalpurush" w:hAnsi="Kalpurush"/>
          <w:sz w:val="20"/>
          <w:szCs w:val="20"/>
        </w:rPr>
        <w:t xml:space="preserve"> $\rightarrow$ ৩৪৯ + ১৩৭ = ৪৮৬ শতক, কিন্তু মোট দাগ ৪৭৭ শতক (৯ শতক অসম্ভব অতিরিক্ত)।</w:t>
      </w:r>
    </w:p>
    <w:p>
      <w:r>
        <w:rPr>
          <w:rFonts w:ascii="Kalpurush" w:cs="Kalpurush" w:eastAsia="Kalpurush" w:hAnsi="Kalpurush"/>
          <w:sz w:val="20"/>
          <w:szCs w:val="20"/>
        </w:rPr>
        <w:t xml:space="preserve">12. </w:t>
      </w:r>
      <w:r>
        <w:rPr>
          <w:rFonts w:ascii="Kalpurush" w:cs="Kalpurush" w:eastAsia="Kalpurush" w:hAnsi="Kalpurush"/>
          <w:b/>
          <w:bCs/>
          <w:sz w:val="20"/>
          <w:szCs w:val="20"/>
        </w:rPr>
        <w:t xml:space="preserve">DC Record Room-এর গুরুত্ব কি?</w:t>
      </w:r>
      <w:r>
        <w:rPr>
          <w:rFonts w:ascii="Kalpurush" w:cs="Kalpurush" w:eastAsia="Kalpurush" w:hAnsi="Kalpurush"/>
          <w:sz w:val="20"/>
          <w:szCs w:val="20"/>
        </w:rPr>
        <w:t xml:space="preserve"> $\rightarrow$ জেলা রেকর্ড রুমই একমাত্র সংবিধিবদ্ধ অভিভাবক; ৫০ বছর সেখানে নাম অপরিবর্তিত।</w:t>
      </w:r>
    </w:p>
    <w:p>
      <w:r>
        <w:rPr>
          <w:rFonts w:ascii="Kalpurush" w:cs="Kalpurush" w:eastAsia="Kalpurush" w:hAnsi="Kalpurush"/>
          <w:sz w:val="20"/>
          <w:szCs w:val="20"/>
        </w:rPr>
        <w:t xml:space="preserve">13. </w:t>
      </w:r>
      <w:r>
        <w:rPr>
          <w:rFonts w:ascii="Kalpurush" w:cs="Kalpurush" w:eastAsia="Kalpurush" w:hAnsi="Kalpurush"/>
          <w:b/>
          <w:bCs/>
          <w:sz w:val="20"/>
          <w:szCs w:val="20"/>
        </w:rPr>
        <w:t xml:space="preserve">বাদীর খাজনা রশিদ ও ১৯৫৭ সালের দলিলের কাজ কি?</w:t>
      </w:r>
      <w:r>
        <w:rPr>
          <w:rFonts w:ascii="Kalpurush" w:cs="Kalpurush" w:eastAsia="Kalpurush" w:hAnsi="Kalpurush"/>
          <w:sz w:val="20"/>
          <w:szCs w:val="20"/>
        </w:rPr>
        <w:t xml:space="preserve"> $\rightarrow$ SA জরিপকালে আব্দুল আলীর প্রকাশ্য দখল ও প্রজা অধিকারেরCorroboration।</w:t>
      </w:r>
    </w:p>
    <w:p>
      <w:r>
        <w:rPr>
          <w:rFonts w:ascii="Kalpurush" w:cs="Kalpurush" w:eastAsia="Kalpurush" w:hAnsi="Kalpurush"/>
          <w:sz w:val="20"/>
          <w:szCs w:val="20"/>
        </w:rPr>
        <w:t xml:space="preserve">14. </w:t>
      </w:r>
      <w:r>
        <w:rPr>
          <w:rFonts w:ascii="Kalpurush" w:cs="Kalpurush" w:eastAsia="Kalpurush" w:hAnsi="Kalpurush"/>
          <w:b/>
          <w:bCs/>
          <w:sz w:val="20"/>
          <w:szCs w:val="20"/>
        </w:rPr>
        <w:t xml:space="preserve">নবাব এস্টেটের পত্তনের শর্ত কি?</w:t>
      </w:r>
      <w:r>
        <w:rPr>
          <w:rFonts w:ascii="Kalpurush" w:cs="Kalpurush" w:eastAsia="Kalpurush" w:hAnsi="Kalpurush"/>
          <w:sz w:val="20"/>
          <w:szCs w:val="20"/>
        </w:rPr>
        <w:t xml:space="preserve"> $\rightarrow$ Chief Manager-এর অনুমোদন ছাড়া void ab initio (12 BLC (AD) 79)।</w:t>
      </w:r>
    </w:p>
    <w:p>
      <w:r>
        <w:rPr>
          <w:rFonts w:ascii="Kalpurush" w:cs="Kalpurush" w:eastAsia="Kalpurush" w:hAnsi="Kalpurush"/>
          <w:sz w:val="20"/>
          <w:szCs w:val="20"/>
        </w:rPr>
        <w:t xml:space="preserve">15. </w:t>
      </w:r>
      <w:r>
        <w:rPr>
          <w:rFonts w:ascii="Kalpurush" w:cs="Kalpurush" w:eastAsia="Kalpurush" w:hAnsi="Kalpurush"/>
          <w:b/>
          <w:bCs/>
          <w:sz w:val="20"/>
          <w:szCs w:val="20"/>
        </w:rPr>
        <w:t xml:space="preserve">প্রতিকার কি?</w:t>
      </w:r>
      <w:r>
        <w:rPr>
          <w:rFonts w:ascii="Kalpurush" w:cs="Kalpurush" w:eastAsia="Kalpurush" w:hAnsi="Kalpurush"/>
          <w:sz w:val="20"/>
          <w:szCs w:val="20"/>
        </w:rPr>
        <w:t xml:space="preserve"> $\rightarrow$ নিম্ন আদালতের ভুল রায় বাতিল ও বাদীদের পক্ষে প্রাথমিক বাটোয়ারা ডিগ্রি প্রদান।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8: ISSUE-WISE AUTHORITIES INDEX (QUICK LOOKUP)</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b/>
          <w:bCs/>
          <w:sz w:val="20"/>
          <w:szCs w:val="20"/>
        </w:rPr>
        <w:t xml:space="preserve">Issue 1 (Pre-SA Title):</w:t>
      </w:r>
      <w:r>
        <w:rPr>
          <w:rFonts w:ascii="Kalpurush" w:cs="Kalpurush" w:eastAsia="Kalpurush" w:hAnsi="Kalpurush"/>
          <w:sz w:val="20"/>
          <w:szCs w:val="20"/>
        </w:rPr>
        <w:t xml:space="preserve"> 4 SCOB [2015] HCD 52; 12 BLC (AD) 79; 42 DLR (HD) 434.</w:t>
      </w:r>
    </w:p>
    <w:p>
      <w:pPr>
        <w:pStyle w:val="ListParagraph"/>
        <w:numPr>
          <w:ilvl w:val="0"/>
          <w:numId w:val="1"/>
        </w:numPr>
      </w:pPr>
      <w:r>
        <w:rPr>
          <w:rFonts w:ascii="Kalpurush" w:cs="Kalpurush" w:eastAsia="Kalpurush" w:hAnsi="Kalpurush"/>
          <w:b/>
          <w:bCs/>
          <w:sz w:val="20"/>
          <w:szCs w:val="20"/>
        </w:rPr>
        <w:t xml:space="preserve">Issue 2 (SA Presumption &amp; Burden):</w:t>
      </w:r>
      <w:r>
        <w:rPr>
          <w:rFonts w:ascii="Kalpurush" w:cs="Kalpurush" w:eastAsia="Kalpurush" w:hAnsi="Kalpurush"/>
          <w:sz w:val="20"/>
          <w:szCs w:val="20"/>
        </w:rPr>
        <w:t xml:space="preserve"> 56 DLR (AD) 53; 50 DLR (HD) 186; 35 DLR (AD) 230; 45 DLR (AD) 124.</w:t>
      </w:r>
    </w:p>
    <w:p>
      <w:pPr>
        <w:pStyle w:val="ListParagraph"/>
        <w:numPr>
          <w:ilvl w:val="0"/>
          <w:numId w:val="1"/>
        </w:numPr>
      </w:pPr>
      <w:r>
        <w:rPr>
          <w:rFonts w:ascii="Kalpurush" w:cs="Kalpurush" w:eastAsia="Kalpurush" w:hAnsi="Kalpurush"/>
          <w:b/>
          <w:bCs/>
          <w:sz w:val="20"/>
          <w:szCs w:val="20"/>
        </w:rPr>
        <w:t xml:space="preserve">Issue 3 (Ghost Misc Case):</w:t>
      </w:r>
      <w:r>
        <w:rPr>
          <w:rFonts w:ascii="Kalpurush" w:cs="Kalpurush" w:eastAsia="Kalpurush" w:hAnsi="Kalpurush"/>
          <w:sz w:val="20"/>
          <w:szCs w:val="20"/>
        </w:rPr>
        <w:t xml:space="preserve"> 27 BLD (HD) 544; Evidence Act s.114(g).</w:t>
      </w:r>
    </w:p>
    <w:p>
      <w:pPr>
        <w:pStyle w:val="ListParagraph"/>
        <w:numPr>
          <w:ilvl w:val="0"/>
          <w:numId w:val="1"/>
        </w:numPr>
      </w:pPr>
      <w:r>
        <w:rPr>
          <w:rFonts w:ascii="Kalpurush" w:cs="Kalpurush" w:eastAsia="Kalpurush" w:hAnsi="Kalpurush"/>
          <w:b/>
          <w:bCs/>
          <w:sz w:val="20"/>
          <w:szCs w:val="20"/>
        </w:rPr>
        <w:t xml:space="preserve">Issue 4 (Mutation &amp; Volume Note Jurisdiction):</w:t>
      </w:r>
      <w:r>
        <w:rPr>
          <w:rFonts w:ascii="Kalpurush" w:cs="Kalpurush" w:eastAsia="Kalpurush" w:hAnsi="Kalpurush"/>
          <w:sz w:val="20"/>
          <w:szCs w:val="20"/>
        </w:rPr>
        <w:t xml:space="preserve"> 18 SCOB [2023] AD 20; 18 BLC (HD) 235; 29 BLC (HD) 160; 53 DLR (HD) 19; 1 BLT (HD) 18.</w:t>
      </w:r>
    </w:p>
    <w:p>
      <w:pPr>
        <w:pStyle w:val="ListParagraph"/>
        <w:numPr>
          <w:ilvl w:val="0"/>
          <w:numId w:val="1"/>
        </w:numPr>
      </w:pPr>
      <w:r>
        <w:rPr>
          <w:rFonts w:ascii="Kalpurush" w:cs="Kalpurush" w:eastAsia="Kalpurush" w:hAnsi="Kalpurush"/>
          <w:b/>
          <w:bCs/>
          <w:sz w:val="20"/>
          <w:szCs w:val="20"/>
        </w:rPr>
        <w:t xml:space="preserve">Issue 5 (Admissions &amp; Estoppel):</w:t>
      </w:r>
      <w:r>
        <w:rPr>
          <w:rFonts w:ascii="Kalpurush" w:cs="Kalpurush" w:eastAsia="Kalpurush" w:hAnsi="Kalpurush"/>
          <w:sz w:val="20"/>
          <w:szCs w:val="20"/>
        </w:rPr>
        <w:t xml:space="preserve"> Evidence Act ss. 17, 18, 21; Approbate &amp; Reprobate.</w:t>
      </w:r>
    </w:p>
    <w:p>
      <w:pPr>
        <w:pStyle w:val="ListParagraph"/>
        <w:numPr>
          <w:ilvl w:val="0"/>
          <w:numId w:val="1"/>
        </w:numPr>
      </w:pPr>
      <w:r>
        <w:rPr>
          <w:rFonts w:ascii="Kalpurush" w:cs="Kalpurush" w:eastAsia="Kalpurush" w:hAnsi="Kalpurush"/>
          <w:b/>
          <w:bCs/>
          <w:sz w:val="20"/>
          <w:szCs w:val="20"/>
        </w:rPr>
        <w:t xml:space="preserve">Issue 6 (Partition Technicalities):</w:t>
      </w:r>
      <w:r>
        <w:rPr>
          <w:rFonts w:ascii="Kalpurush" w:cs="Kalpurush" w:eastAsia="Kalpurush" w:hAnsi="Kalpurush"/>
          <w:sz w:val="20"/>
          <w:szCs w:val="20"/>
        </w:rPr>
        <w:t xml:space="preserve"> 49 DLR (AD) 15; 27 BLD (HD) 229; 8 SCOB (2016) HCD 1.</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MASTER CLOSING SUBMISSIONS (সমাপনী বক্তব্য)</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"My Lord, the respondents ask this Court to discard a finally published State Record that has stood unchanged in the District Settlement Record Room for over half a century. Yet they cannot produce the very judicial order on which their entire theory depends.</w:t>
      </w:r>
    </w:p>
    <w:p>
      <w:pPr>
        <w:ind w:left="720"/>
      </w:pPr>
    </w:p>
    <w:p>
      <w:pPr>
        <w:ind w:left="720"/>
      </w:pPr>
      <w:r>
        <w:rPr>
          <w:rFonts w:ascii="Kalpurush" w:cs="Kalpurush" w:eastAsia="Kalpurush" w:hAnsi="Kalpurush"/>
          <w:b/>
          <w:bCs/>
          <w:i/>
          <w:iCs/>
          <w:sz w:val="20"/>
          <w:szCs w:val="20"/>
        </w:rPr>
        <w:t xml:space="preserve">The Trial Court presumed what had to be proved, reversed the statutory burden of proof under Section 144A of the SAT Act and Section 103 of the Evidence Act, accepted an unproved correction theory, and subordinated the District Collector Record Room to an unexplained margin note written in a local office.</w:t>
      </w:r>
    </w:p>
    <w:p>
      <w:pPr>
        <w:ind w:left="720"/>
      </w:pPr>
    </w:p>
    <w:p>
      <w:pPr>
        <w:ind w:left="720"/>
      </w:pPr>
      <w:r>
        <w:rPr>
          <w:rFonts w:ascii="Kalpurush" w:cs="Kalpurush" w:eastAsia="Kalpurush" w:hAnsi="Kalpurush"/>
          <w:b/>
          <w:bCs/>
          <w:i/>
          <w:iCs/>
          <w:sz w:val="20"/>
          <w:szCs w:val="20"/>
        </w:rPr>
        <w:t xml:space="preserve">When the root fails, every branch built upon it must fail. When the alleged Misc Case order is non-existent, the volume note derived from it collapses into absolute nullity.</w:t>
      </w:r>
    </w:p>
    <w:p>
      <w:pPr>
        <w:ind w:left="720"/>
      </w:pPr>
    </w:p>
    <w:p>
      <w:pPr>
        <w:ind w:left="720"/>
      </w:pPr>
      <w:r>
        <w:rPr>
          <w:rFonts w:ascii="Kalpurush" w:cs="Kalpurush" w:eastAsia="Kalpurush" w:hAnsi="Kalpurush"/>
          <w:b/>
          <w:bCs/>
          <w:i/>
          <w:iCs/>
          <w:sz w:val="20"/>
          <w:szCs w:val="20"/>
        </w:rPr>
        <w:t xml:space="preserve">The appeal therefore deserves to be allowed with full costs, and the impugned judgment and decree dated 05-04-2026 must be set aside."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আইনজীবী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2026-07-30T09:15:00.276Z</dcterms:created>
  <dcterms:modified xsi:type="dcterms:W3CDTF">2026-07-30T09:15:00.276Z</dcterms:modified>
</cp:coreProperties>
</file>

<file path=docProps/custom.xml><?xml version="1.0" encoding="utf-8"?>
<Properties xmlns="http://schemas.openxmlformats.org/officeDocument/2006/custom-properties" xmlns:vt="http://schemas.openxmlformats.org/officeDocument/2006/docPropsVTypes"/>
</file>