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পূর্ণাঙ্গ লিখিত যুক্তিতর্ক (Version 87 — Master Court Brief)</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নিবেদন ও এখতিয়ারগত স্পষ্টীকরণ (Opening Address &amp; Jurisdictional Clarification)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*সখিপুর সিভিল জজ আদালতের বাটোয়ারা মামলা নং ৬৬/২০১৬-এর ০৫-০৪-২০২৬ তারিখের খারিজ রায় ও ০৯-০৪-২০২৬ তারিখের ডিক্রির বিরুদ্ধে আপীল্যান্ট বাদীপক্ষের এই আপীল।*</w:t>
      </w:r>
    </w:p>
    <w:p>
      <w:r>
        <w:rPr>
          <w:rFonts w:ascii="Kalpurush" w:cs="Kalpurush" w:eastAsia="Kalpurush" w:hAnsi="Kalpurush"/>
        </w:rPr>
        <w:t xml:space="preserve"/>
      </w:r>
    </w:p>
    <w:p>
      <w:r>
        <w:rPr>
          <w:rFonts w:ascii="Kalpurush" w:cs="Kalpurush" w:eastAsia="Kalpurush" w:hAnsi="Kalpurush"/>
          <w:sz w:val="20"/>
          <w:szCs w:val="20"/>
        </w:rPr>
        <w:t xml:space="preserve">*এই আপীলে কালানুক্রমিক ইতিহাসের চেয়ে সাক্ষ্যের আইনগত ক্রম (evidentiary hierarchy) অধিক গুরুত্বপূর্ণ। আমাদের শুনানির মূল রিফ্রেইন (Refrain) হইল:*</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"মহামান্য আদালত, আমরা বলছি না যে SA ২৩৮ অখণ্ডনীয় (conclusive) বা উহা rebut করা আইনত অসম্ভব। আমাদের প্রশ্ন শুধু — উহা rebut করার মতো নির্ভরযোগ্য প্রমাণ (rebuttal evidence) বিবাদীপক্ষের কাছে কোথায়?"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Jurisdictional Clarification (SAT Act ও এই আপীলের এখতিয়ারগত সীমা প্রসঙ্গে):</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শুরুতেই একটি এখতিয়ারগত বিষয় স্পষ্ট করা প্রয়োজন। এই আপীলে SA ২৩৮ সংশোধন বা বাতিলের জন্য কোনো independent relief প্রার্থনা করা হইতেছে না; বরং বিবাদীপক্ষের প্রতিরক্ষার ভিত্তি হিসেবে কথিত ১৯৬৯ সালের সংশোধন আদৌ নির্ভরযোগ্য সাক্ষ্যে প্রমাণিত এবং এই বাটোয়ারা মামলার title dispute-এ আইনগতভাবে কার্যকর হয়েছিল কি না, সেই প্রশ্নের evidentiary sufficiency পরীক্ষা করা হইতেছে।*</w:t>
      </w:r>
    </w:p>
    <w:p>
      <w:r>
        <w:rPr>
          <w:rFonts w:ascii="Kalpurush" w:cs="Kalpurush" w:eastAsia="Kalpurush" w:hAnsi="Kalpurush"/>
        </w:rPr>
        <w:t xml:space="preserve"/>
      </w:r>
    </w:p>
    <w:p>
      <w:r>
        <w:rPr>
          <w:rFonts w:ascii="Kalpurush" w:cs="Kalpurush" w:eastAsia="Kalpurush" w:hAnsi="Kalpurush"/>
          <w:sz w:val="20"/>
          <w:szCs w:val="20"/>
        </w:rPr>
        <w:t xml:space="preserve">*বর্তমান record-এ SA ২৩৮ হলো সেই final Record-of-Rights যার entry section 144A-এর statutory presumption বহন করে; অতএব respondents-এর contrary case গ্রহণের জন্য উক্ত presumption rebut করার মতো reliable evidence প্রয়োজন।*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সরাসরি পাঠযোগ্য রোডম্যাপ (5-Minute Oral Script)</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State Record):</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CS ২ নং খতিয়ানে নালিশী জমি কোনো ব্যক্তিগত রায়তি নামে রেকর্ডভুক্ত ছিল না; জমিটি নবাব এস্টেটের খাস হিসেবে প্রতিফলিত। ১৯৫২ সালের State Acquisition-এর পর ১৯৫৬–১৯৬২ সালের SA জরিপ কার্যক্রমে রাষ্ট্র আব্দুল আলীকে ১৬ আনা একক রায়ত হিসেবে রেকর্ড করে এবং সেই রেকর্ড চূড়ান্তভাবে প্রকাশিত হয়। বর্তমানে জেলা Settlement Record Room-এ সংরক্ষিত সইমোহরি SA ২৩৮ রেকর্ড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Evidentiary Advantage):</w:t>
      </w:r>
    </w:p>
    <w:p>
      <w:pPr>
        <w:ind w:left="720"/>
      </w:pPr>
      <w:r>
        <w:rPr>
          <w:rFonts w:ascii="Kalpurush" w:cs="Kalpurush" w:eastAsia="Kalpurush" w:hAnsi="Kalpurush"/>
          <w:i/>
          <w:iCs/>
          <w:sz w:val="20"/>
          <w:szCs w:val="20"/>
        </w:rPr>
        <w:t xml:space="preserve">*মহামান্য আদালত, আপীল্যান্টপক্ষ এমন কোনো absolute proposition করছে না যে revenue record কখনো সংশোধনযোগ্য নয়, অথবা final SA record কখনো ভুল হতে পারে না। আমাদের বক্তব্য আরও নির্দিষ্ট। Section 144A-এর অধীনে SA 238 একটি rebuttable statutory presumption বহন করে। বিবাদীপক্ষ সেই presumption অতিক্রম করতে বলছে একটি alleged 1969 correction-এর ভিত্তিতে। অতএব তাঁদের particular case-এর legal source, proceeding, contents, authority এবং lawful implementation নির্ভরযোগ্য প্রমাণে প্রতিষ্ঠিত হওয়া আবশ্যক।*</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*এই মামলায় একটি AC Land volume entry আছে; কিন্তু সেই entry-এর legal source এবং provenance সম্পর্কে DW-4 নিজেই অজ্ঞতা প্রকাশ করেছেন। কথিত Misc Case-এর parent order আদালতে নেই। বর্তমান District Settlement Record Room-এর SA 238-এও Sona Bhanu recorded co-sharer হিসেবে প্রতিফলিত নন। মূল আদেশ বা আইনগত উৎস প্রমাণিত না হলে, একটি পরবর্তী revenue entry-কে এককভাবে এমন প্রমাণ হিসেবে গ্রহণ করা নিরাপদ নয়, যা final SA record-এর statutory presumption-কে displaced বলে গণ্য করার জন্য যথেষ্ট।*</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*Respondents’ present theory: 1969 correction → SA 238 effectively one dag, Plot 1259. Their own registered deed of 1975: SA 238 → six dags, including Plots 1259, 75, 3, 54, 1252 and 1220. Question: If the 1969 correction had already altered the SA holding to one dag, why did their own subsequent registered deed describe six dags under the same khatian? We do not say this contradiction by itself proves fabrication. We say it materially weakens the evidentiary reliability of the one-dag correction theory unless satisfactorily explained.*</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*অতএব প্রশ্নটি revenue authority-এর সাধারণ ক্ষমতা আছে কি না—তা নয়। প্রশ্নটি হলো: এই particular substantive change আইনসম্মতভাবে ঘটেছিল—এর reliable documentary proof কোথায়? আমাদের বিনীত বক্তব্য, record-এ সেই proof যথেষ্টভাবে প্রতিষ্ঠিত হয়নি। বিজ্ঞ ট্রায়াল কোর্ট এই evidentiary gap-সমূহ মূল্যায়ন না করিয়া SA ২৩৮-এর statutory presumption-কে খারিজ করিয়াছেন। অতএব ট্রায়াল কোর্টের খারিজ রায় বাতিল করিয়া বাদীদের অনুকূলে প্রাথমিক ডিক্রি প্রদানই ন্যায়বিচারের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 The Two-Layer Test (আপীলের মূল আইনি কাঠামো)</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বিবাদীদের দাবি টিকাইতে হলে আদালতকে দুটি স্তরের (Two-Layer) পরীক্ষায় উত্তীর্ণ হইতে হইবে:*</w:t>
      </w:r>
    </w:p>
    <w:p>
      <w:r>
        <w:rPr>
          <w:rFonts w:ascii="Kalpurush" w:cs="Kalpurush" w:eastAsia="Kalpurush" w:hAnsi="Kalpurush"/>
        </w:rPr>
        <w:t xml:space="preserve"/>
      </w:r>
    </w:p>
    <w:p>
      <w:r>
        <w:rPr>
          <w:rFonts w:ascii="Kalpurush" w:cs="Kalpurush" w:eastAsia="Kalpurush" w:hAnsi="Kalpurush"/>
          <w:b/>
          <w:bCs/>
          <w:sz w:val="20"/>
          <w:szCs w:val="20"/>
        </w:rPr>
        <w:t xml:space="preserve">Layer 1 (Competing Root):</w:t>
      </w:r>
      <w:r>
        <w:rPr>
          <w:rFonts w:ascii="Kalpurush" w:cs="Kalpurush" w:eastAsia="Kalpurush" w:hAnsi="Kalpurush"/>
          <w:sz w:val="20"/>
          <w:szCs w:val="20"/>
        </w:rPr>
        <w:t xml:space="preserve"> *আব্দুল করিম কি পূর্বে এমন একটি legally cognizable tenancy interest নির্ভরযোগ্যভাবে অর্জন করিয়াছিলেন, যার উত্তরাধিকার সোনাভানুর দিকে যায়?*</w:t>
      </w:r>
    </w:p>
    <w:p>
      <w:r>
        <w:rPr>
          <w:rFonts w:ascii="Kalpurush" w:cs="Kalpurush" w:eastAsia="Kalpurush" w:hAnsi="Kalpurush"/>
        </w:rPr>
        <w:t xml:space="preserve"/>
      </w:r>
    </w:p>
    <w:p>
      <w:r>
        <w:rPr>
          <w:rFonts w:ascii="Kalpurush" w:cs="Kalpurush" w:eastAsia="Kalpurush" w:hAnsi="Kalpurush"/>
          <w:b/>
          <w:bCs/>
          <w:sz w:val="20"/>
          <w:szCs w:val="20"/>
        </w:rPr>
        <w:t xml:space="preserve">Layer 2 (Displacement):</w:t>
      </w:r>
      <w:r>
        <w:rPr>
          <w:rFonts w:ascii="Kalpurush" w:cs="Kalpurush" w:eastAsia="Kalpurush" w:hAnsi="Kalpurush"/>
          <w:sz w:val="20"/>
          <w:szCs w:val="20"/>
        </w:rPr>
        <w:t xml:space="preserve"> *যদি এমন কোনো interest থাকিয়াও থাকে, তবে তাহা কীভাবে আইনসম্মতভাবে আব্দুল আলীর চূড়ান্তভাবে প্রকাশিত SA entry-কে displace করিয়া সোনাভানুর জন্য একটি বলবৎযোগ্য বর্তমান স্বত্ব (enforceable present interest) সৃষ্টি করিল?*</w:t>
      </w:r>
    </w:p>
    <w:p>
      <w:r>
        <w:rPr>
          <w:rFonts w:ascii="Kalpurush" w:cs="Kalpurush" w:eastAsia="Kalpurush" w:hAnsi="Kalpurush"/>
        </w:rPr>
        <w:t xml:space="preserve"/>
      </w:r>
    </w:p>
    <w:p>
      <w:r>
        <w:rPr>
          <w:rFonts w:ascii="Kalpurush" w:cs="Kalpurush" w:eastAsia="Kalpurush" w:hAnsi="Kalpurush"/>
          <w:sz w:val="20"/>
          <w:szCs w:val="20"/>
        </w:rPr>
        <w:t xml:space="preserve">*দ্বিতীয় প্রশ্নটাই এই আপীলের আসল শক্তি। বিবাদীপক্ষ যদি বলে "Abdul Karim was the original tenant" — আমাদের উত্তর:*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"Even assuming that proposition for argument's sake, it does not by itself establish that Abdul Ali's finally published SA entry was wrong, nor does it establish the lawful creation of a present enforceable interest in Sona Bhanu."</w:t>
      </w:r>
    </w:p>
    <w:p>
      <w:pPr>
        <w:ind w:left="720"/>
      </w:pPr>
      <w:r>
        <w:rPr>
          <w:rFonts w:ascii="Kalpurush" w:cs="Kalpurush" w:eastAsia="Kalpurush" w:hAnsi="Kalpurush"/>
          <w:i/>
          <w:iCs/>
          <w:sz w:val="20"/>
          <w:szCs w:val="20"/>
        </w:rPr>
        <w:t xml:space="preserve">*(বঙ্গানুবাদ: "তর্কের খাতিরে যদি সেই দাবি মেনেও নেওয়া হয়, তবু তাহা নিজে থেকেই প্রমাণ করে না যে আব্দুল আলীর চূড়ান্তভাবে প্রকাশিত SA entry ভুল ছিল, এবং তাহা সোনাভানুর জন্য বর্তমান বলবৎযোগ্য স্বত্ব সৃষ্টির বৈধতাও প্রতিষ্ঠিত করে না।")*</w:t>
      </w:r>
    </w:p>
    <w:p>
      <w:r>
        <w:rPr>
          <w:rFonts w:ascii="Kalpurush" w:cs="Kalpurush" w:eastAsia="Kalpurush" w:hAnsi="Kalpurush"/>
        </w:rPr>
        <w:t xml:space="preserve"/>
      </w:r>
    </w:p>
    <w:p>
      <w:r>
        <w:rPr>
          <w:rFonts w:ascii="Kalpurush" w:cs="Kalpurush" w:eastAsia="Kalpurush" w:hAnsi="Kalpurush"/>
          <w:sz w:val="20"/>
          <w:szCs w:val="20"/>
        </w:rPr>
        <w:t xml:space="preserve">*বিবাদীপক্ষ এই দুটি স্তরের কোনোটিতেই নির্ভরযোগ্য দালিলিক প্রমাণ উপস্থাপন করিতে পারেনি। অতএব এই আপীলের প্রকৃত প্রশ্ন 'SA ২৩৮ কি ভুল?' নয়; বরং:*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respondents are not merely challenging a record; they are asking the Court to accept an alleged legal event — correction of SA 238 — which they have not proved by the order that supposedly caused it, the official record that supposedly implemented it, or consistent subsequent documentary conduct."</w:t>
      </w:r>
    </w:p>
    <w:p>
      <w:pPr>
        <w:ind w:left="720"/>
      </w:pPr>
      <w:r>
        <w:rPr>
          <w:rFonts w:ascii="Kalpurush" w:cs="Kalpurush" w:eastAsia="Kalpurush" w:hAnsi="Kalpurush"/>
          <w:i/>
          <w:iCs/>
          <w:sz w:val="20"/>
          <w:szCs w:val="20"/>
        </w:rPr>
        <w:t xml:space="preserve">*(বঙ্গানুবাদ: "বিবাদীপক্ষ কেবল একটি রেকর্ডকে চ্যালেঞ্জ করছে না; তারা আদালতকে এমন একটি কথিত আইনগত ঘটনা বিশ্বাস করতে বলছে — SA ২৩৮ সংশোধন — কিন্তু সেই ঘটনার মূল আদেশ, সরকারি বাস্তবায়ন এবং পরবর্তী সামঞ্জস্যপূর্ণ দলিলগত আচরণ — কোনোটিই তারা নির্ভরযোগ্যভাবে প্রমাণ করতে পারেনি।")*"*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 SA ২৩৮ নং খতিয়ান: প্রারম্ভিক ভিত্তি ও ধারা ১৪৪A-এর সংবিধিবদ্ধ অনুমান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*বর্তমান মামলার বিচারিক সূচনা বিন্দু (Starting Point) হইল রাষ্ট্রের চূড়ান্তভাবে প্রকাশিত SA ২৩৮ নং খতিয়ান (প্রদর্শনী-৪)।*</w:t>
      </w:r>
    </w:p>
    <w:p>
      <w:r>
        <w:rPr>
          <w:rFonts w:ascii="Kalpurush" w:cs="Kalpurush" w:eastAsia="Kalpurush" w:hAnsi="Kalpurush"/>
        </w:rPr>
        <w:t xml:space="preserve"/>
      </w:r>
    </w:p>
    <w:p>
      <w:r>
        <w:rPr>
          <w:rFonts w:ascii="Kalpurush" w:cs="Kalpurush" w:eastAsia="Kalpurush" w:hAnsi="Kalpurush"/>
          <w:sz w:val="20"/>
          <w:szCs w:val="20"/>
        </w:rPr>
        <w:t xml:space="preserve">*SAT Act, 1950-এর Section 144A অনুযায়ী চূড়ান্তভাবে প্রকাশিত record of rights-এর entry evidence হিসেবে গ্রহণযোগ্য এবং সঠিক বলে অনুমিত হয় (presumed to be correct) — যতক্ষণ না নির্ভরযোগ্য সাক্ষ্য দ্বারা ভুল প্রমাণিত হয়; এটি rebuttable presumption, conclusive নয়। বাদীপক্ষ final certified SA ২৩৮ রেকর্ড দাখিলের মাধ্যমে এই statutory presumption-এর সুবিধা গ্রহণের প্রাথমিক ভিত্তি প্রতিষ্ঠা করিয়াছে। SA ২৩৮ এই মামলায় evidentiary starting point এবং বিবাদীপক্ষকে তাহাদের affirmative displacement theory নির্ভরযোগ্য সাক্ষ্যে প্রমাণ করিতে হইবে।*</w:t>
      </w:r>
    </w:p>
    <w:p>
      <w:r>
        <w:rPr>
          <w:rFonts w:ascii="Kalpurush" w:cs="Kalpurush" w:eastAsia="Kalpurush" w:hAnsi="Kalpurush"/>
        </w:rPr>
        <w:t xml:space="preserve"/>
      </w:r>
    </w:p>
    <w:p>
      <w:r>
        <w:rPr>
          <w:rFonts w:ascii="Kalpurush" w:cs="Kalpurush" w:eastAsia="Kalpurush" w:hAnsi="Kalpurush"/>
          <w:sz w:val="20"/>
          <w:szCs w:val="20"/>
        </w:rPr>
        <w:t xml:space="preserve">*সুপ্রিম কোর্টের সুপ্রতিষ্ঠিত সিদ্ধান্তসমূহ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Assistant Custodian, 50 DLR 186:</w:t>
      </w:r>
    </w:p>
    <w:p>
      <w:pPr>
        <w:ind w:left="720"/>
      </w:pPr>
      <w:r>
        <w:rPr>
          <w:rFonts w:ascii="Kalpurush" w:cs="Kalpurush" w:eastAsia="Kalpurush" w:hAnsi="Kalpurush"/>
          <w:i/>
          <w:iCs/>
          <w:sz w:val="20"/>
          <w:szCs w:val="20"/>
        </w:rPr>
        <w:t xml:space="preserve">*"A record of rights finally published and revised under section 144A of the S.A.T. Act has a presumption of correctness and that presumption continues till it is rebutted by reliable evidence."*</w:t>
      </w:r>
    </w:p>
    <w:p>
      <w:pPr>
        <w:ind w:left="720"/>
      </w:pPr>
      <w:r>
        <w:rPr>
          <w:rFonts w:ascii="Kalpurush" w:cs="Kalpurush" w:eastAsia="Kalpurush" w:hAnsi="Kalpurush"/>
          <w:i/>
          <w:iCs/>
          <w:sz w:val="20"/>
          <w:szCs w:val="20"/>
        </w:rPr>
        <w:t xml:space="preserve">*(বঙ্গানুবাদ: "এস.এ.টি. আইনের ১৪৪A ধারার অধীনে চূড়ান্তভাবে প্রকাশিত ও সংশোধিত খতিয়ানের পেছনে সংবিধিবদ্ধ নির্ভুলতার অনুমান বিদ্যমান এবং নির্ভরযোগ্য সাক্ষ্য দ্বারা খণ্ডন না হওয়া পর্যন্ত সেই অনুমান অব্যাহত থাকে।")*</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Government of Bangladesh vs. AKM Abdul Hye, 56 DLR (AD) 53:</w:t>
      </w:r>
    </w:p>
    <w:p>
      <w:pPr>
        <w:ind w:left="720"/>
      </w:pPr>
      <w:r>
        <w:rPr>
          <w:rFonts w:ascii="Kalpurush" w:cs="Kalpurush" w:eastAsia="Kalpurush" w:hAnsi="Kalpurush"/>
          <w:i/>
          <w:iCs/>
          <w:sz w:val="20"/>
          <w:szCs w:val="20"/>
        </w:rPr>
        <w:t xml:space="preserve">*"Records of rights prepared under the State Acquisition and Tenancy Act carry a statutory presumption of correctness which must be rebutted by positive and reliable evidence by the party asserting otherwise."*</w:t>
      </w:r>
    </w:p>
    <w:p>
      <w:pPr>
        <w:ind w:left="720"/>
      </w:pPr>
      <w:r>
        <w:rPr>
          <w:rFonts w:ascii="Kalpurush" w:cs="Kalpurush" w:eastAsia="Kalpurush" w:hAnsi="Kalpurush"/>
          <w:i/>
          <w:iCs/>
          <w:sz w:val="20"/>
          <w:szCs w:val="20"/>
        </w:rPr>
        <w:t xml:space="preserve">*(বঙ্গানুবাদ: "স্টেট একুইজিশন অ্যান্ড প্রজাস্বত্ব আইনের অধীনে প্রস্তুতকৃত খতিয়ান সংবিধিবদ্ধ নির্ভুলতার অনুমান বহন করে, যা বিপরীত দাবিদার পক্ষকে ইতিবাচক ও নির্ভরযোগ্য সাক্ষ্য দ্বারা খণ্ডন করতে হবে।")*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III. Clerical correction ≠ Substantive displacement (AC Land-এর ক্ষমতা বনাম বর্তমান এন্ট্রির নির্ভরযোগ্যতা)</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আপীল্যান্টপক্ষ এমন কোনো absolute proposition করছে না যে Revenue Officer কখনো Record-of-Rights-এ কোনো পরিবর্তন আনিতে পারেন না। আইন clerical mistake correction এবং mutation/inheritance-জনিত পরিবর্তনের জন্য statutory mechanism রাখে (যথা SAT Act-এর Section 143 এবং Section 149(4))। কিন্তু বর্তমান মামলার প্রশ্নটি একটি সামান্য করণিক ভুল সংশোধনের নয়।*</w:t>
      </w:r>
    </w:p>
    <w:p>
      <w:r>
        <w:rPr>
          <w:rFonts w:ascii="Kalpurush" w:cs="Kalpurush" w:eastAsia="Kalpurush" w:hAnsi="Kalpurush"/>
        </w:rPr>
        <w:t xml:space="preserve"/>
      </w:r>
    </w:p>
    <w:p>
      <w:r>
        <w:rPr>
          <w:rFonts w:ascii="Kalpurush" w:cs="Kalpurush" w:eastAsia="Kalpurush" w:hAnsi="Kalpurush"/>
          <w:sz w:val="20"/>
          <w:szCs w:val="20"/>
        </w:rPr>
        <w:t xml:space="preserve">*এখানে বিবাদীপক্ষের case হলো—একজন final SA record-holder আব্দুল আলীর recorded interest-এর বিপরীতে সোনাভানুর জন্য substantive interest সৃষ্টি বা স্বীকৃত হয়েছে। অতএব প্রশ্নটি হলো, এই particular substantive change-এর legal source, jurisdiction, proceeding, notice, order এবং implementation কী?*</w:t>
      </w:r>
    </w:p>
    <w:p>
      <w:r>
        <w:rPr>
          <w:rFonts w:ascii="Kalpurush" w:cs="Kalpurush" w:eastAsia="Kalpurush" w:hAnsi="Kalpurush"/>
        </w:rPr>
        <w:t xml:space="preserve"/>
      </w:r>
    </w:p>
    <w:p>
      <w:r>
        <w:rPr>
          <w:rFonts w:ascii="Kalpurush" w:cs="Kalpurush" w:eastAsia="Kalpurush" w:hAnsi="Kalpurush"/>
          <w:sz w:val="20"/>
          <w:szCs w:val="20"/>
        </w:rPr>
        <w:t xml:space="preserve">*Section 143-এর সাধারণ ক্ষমতার অস্তিত্ব প্রমাণ করলেই এই নির্দিষ্ট entry যে আইনসম্মতভাবে substantive title-interest পরিবর্তন করেছে, তা প্রমাণিত হয় না। Revenue authority-এর statutory power থাকলেও, সেই power-এর particular exercise কীভাবে, কোন proceeding-এ, কোন statutory basis-এ এবং কোন evidence-এর ভিত্তিতে ঘটেছে—সেটা এই case-এ establish করতে হবে।*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IV. কথিত ১৯৬৯ সালের Misc Case: Missing Legal Source &amp; The Evidentiary Checklist</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 দাবি করিতেছে ১১৮১/১৯৬৯ নং মিস মোকদ্দমার মাধ্যমে খতিয়ান সংশোধিত হইয়াছে। কিন্তু আদালতের সামনে সেই proceeding-এর nature, jurisdiction, parties, notice, এবং actual result — কোনোটিরই প্রাতিষ্ঠানিক প্রমাণ নাই।*</w:t>
      </w:r>
    </w:p>
    <w:p>
      <w:r>
        <w:rPr>
          <w:rFonts w:ascii="Kalpurush" w:cs="Kalpurush" w:eastAsia="Kalpurush" w:hAnsi="Kalpurush"/>
        </w:rPr>
        <w:t xml:space="preserve"/>
      </w:r>
    </w:p>
    <w:p>
      <w:r>
        <w:rPr>
          <w:rFonts w:ascii="Kalpurush" w:cs="Kalpurush" w:eastAsia="Kalpurush" w:hAnsi="Kalpurush"/>
          <w:sz w:val="20"/>
          <w:szCs w:val="20"/>
        </w:rPr>
        <w:t xml:space="preserve">*আদালতের সামনে নিম্নলিখিত evidentiary gaps সম্পূর্ণ অপূর্ণ রহিয়াছে। এগুলো আইনের mandatory statutory checklist নয়; বরং বিবাদীপক্ষ যে affirmative correction theory দাঁড় করাইয়াছে, তাহার evidentiary sufficiency-র স্বাভাবিক পরীক্ষা:*</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Existence</w:t>
      </w:r>
      <w:r>
        <w:rPr>
          <w:rFonts w:ascii="Kalpurush" w:cs="Kalpurush" w:eastAsia="Kalpurush" w:hAnsi="Kalpurush"/>
          <w:sz w:val="20"/>
          <w:szCs w:val="20"/>
        </w:rPr>
        <w:t xml:space="preserve"> — আদেশটি আদৌ অস্তিত্বশীল ছিল কি? সার্টিফাইড কপি কোথায়?*</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Contents</w:t>
      </w:r>
      <w:r>
        <w:rPr>
          <w:rFonts w:ascii="Kalpurush" w:cs="Kalpurush" w:eastAsia="Kalpurush" w:hAnsi="Kalpurush"/>
          <w:sz w:val="20"/>
          <w:szCs w:val="20"/>
        </w:rPr>
        <w:t xml:space="preserve"> — আদেশটির সুনির্দিষ্ট বিষয়বস্তু ও শর্তাবলী কী ছিল?*</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Jurisdiction</w:t>
      </w:r>
      <w:r>
        <w:rPr>
          <w:rFonts w:ascii="Kalpurush" w:cs="Kalpurush" w:eastAsia="Kalpurush" w:hAnsi="Kalpurush"/>
          <w:sz w:val="20"/>
          <w:szCs w:val="20"/>
        </w:rPr>
        <w:t xml:space="preserve"> — কোন এখতিয়ারে আদেশটি প্রদান করা হইয়াছিল?*</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Notice</w:t>
      </w:r>
      <w:r>
        <w:rPr>
          <w:rFonts w:ascii="Kalpurush" w:cs="Kalpurush" w:eastAsia="Kalpurush" w:hAnsi="Kalpurush"/>
          <w:sz w:val="20"/>
          <w:szCs w:val="20"/>
        </w:rPr>
        <w:t xml:space="preserve"> — রেকর্ডভুক্ত প্রজা আব্দুল আলীকে নোটিশ প্রদান করা হইয়াছিল কি?*</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Implementation</w:t>
      </w:r>
      <w:r>
        <w:rPr>
          <w:rFonts w:ascii="Kalpurush" w:cs="Kalpurush" w:eastAsia="Kalpurush" w:hAnsi="Kalpurush"/>
          <w:sz w:val="20"/>
          <w:szCs w:val="20"/>
        </w:rPr>
        <w:t xml:space="preserve"> — কথিত সংশোধনটি যদি সত্যিই substantive effect সৃষ্টি করে থাকে, তার lawful implementation-এর কোনো corresponding official trail কোথায়—এই প্রশ্নের উত্তর record-এ কী?*</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Corrected Khatian</w:t>
      </w:r>
      <w:r>
        <w:rPr>
          <w:rFonts w:ascii="Kalpurush" w:cs="Kalpurush" w:eastAsia="Kalpurush" w:hAnsi="Kalpurush"/>
          <w:sz w:val="20"/>
          <w:szCs w:val="20"/>
        </w:rPr>
        <w:t xml:space="preserve"> — সংশোধিত SA ২৩৮ নং খতিয়ানের সইমোহরি কপি কোথায়?*</w:t>
      </w:r>
    </w:p>
    <w:p>
      <w:r>
        <w:rPr>
          <w:rFonts w:ascii="Kalpurush" w:cs="Kalpurush" w:eastAsia="Kalpurush" w:hAnsi="Kalpurush"/>
        </w:rPr>
        <w:t xml:space="preserve"/>
      </w:r>
    </w:p>
    <w:p>
      <w:r>
        <w:rPr>
          <w:rFonts w:ascii="Kalpurush" w:cs="Kalpurush" w:eastAsia="Kalpurush" w:hAnsi="Kalpurush"/>
          <w:sz w:val="20"/>
          <w:szCs w:val="20"/>
        </w:rPr>
        <w:t xml:space="preserve">*কথিত Misc Case-এর মূল নথি বা certified order আদালতে উপস্থাপিত হয়নি; উপরন্তু, record summoned/search করা সত্ত্বেও যদি সংশ্লিষ্ট proceeding-এর authoritative record পাওয়া না যায়—যা trial record দ্বারা প্রতিষ্ঠিত—তবে alleged correction theory আরও evidentiary difficulty-র সম্মুখীন হয়।*</w:t>
      </w:r>
    </w:p>
    <w:p>
      <w:r>
        <w:rPr>
          <w:rFonts w:ascii="Kalpurush" w:cs="Kalpurush" w:eastAsia="Kalpurush" w:hAnsi="Kalpurush"/>
        </w:rPr>
        <w:t xml:space="preserve"/>
      </w:r>
    </w:p>
    <w:p>
      <w:r>
        <w:rPr>
          <w:rFonts w:ascii="Kalpurush" w:cs="Kalpurush" w:eastAsia="Kalpurush" w:hAnsi="Kalpurush"/>
          <w:sz w:val="20"/>
          <w:szCs w:val="20"/>
        </w:rPr>
        <w:t xml:space="preserve">*সমগ্র সাক্ষ্য ও পরিস্থিতি বিবেচনায় আদালত section 114(g)-এর illustration অনুযায়ী সংশ্লিষ্ট দালিলিক প্রমাণ অনুপস্থিত থাকার adverse inference গ্রহণ করতে পারেন।*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 কথিত সংশোধনের সরকারি প্রতিফলন কোথায়? (The Missing Official Record)</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*আজও District Settlement Record Room-এ SA ২৩৮-এ Abdul Ali-এর নাম বহাল। বিবাদীপক্ষ কোনো সংশোধিত SA ২৩৮-এর certified copy দেখায়নি।*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"আমরা বলছি না যে corrected certified copy না থাকলেই correction অসম্ভব। আমরা বলছি — যে পক্ষ correction-এর উপর substantive title দাবি করছে, সে correction-এর authoritative existence, content এবং implementation নির্ভরযোগ্যভাবে প্রমাণ করার মতো অন্য কোনো documentary chain-ও উপস্থাপন করেনি।"</w:t>
      </w:r>
    </w:p>
    <w:p>
      <w:r>
        <w:rPr>
          <w:rFonts w:ascii="Kalpurush" w:cs="Kalpurush" w:eastAsia="Kalpurush" w:hAnsi="Kalpurush"/>
        </w:rPr>
        <w:t xml:space="preserve"/>
      </w:r>
    </w:p>
    <w:p>
      <w:r>
        <w:rPr>
          <w:rFonts w:ascii="Kalpurush" w:cs="Kalpurush" w:eastAsia="Kalpurush" w:hAnsi="Kalpurush"/>
          <w:sz w:val="20"/>
          <w:szCs w:val="20"/>
        </w:rPr>
        <w:t xml:space="preserve">*বিবাদীপক্ষ যদি বলেন যে AC Land ভলিউমের এন্ট্রিই সংশোধনের প্রমাণ, তবে তাঁদের দেখাইতে হইবে — কীভাবে সেই এন্ট্রি আইনসঙ্গতভাবে SA ২৩৮-এর final record-এ কার্যকর পরিবর্তনে রূপান্তরিত হয়েছিল।*</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'ভিন্ন কালিতে ভিন্ন হাতের লেখা'—এই observation-টি নিজে থেকে entryটির authorship, legal source বা substantive legal effect নির্ধারণ করে না। এই observation-এর চেয়ে গুরুত্বপূর্ণ প্রশ্ন হলো—entryটির supporting proceeding, order এবং lawful implementation কী?*</w:t>
      </w:r>
    </w:p>
    <w:p>
      <w:r>
        <w:rPr>
          <w:rFonts w:ascii="Kalpurush" w:cs="Kalpurush" w:eastAsia="Kalpurush" w:hAnsi="Kalpurush"/>
        </w:rPr>
        <w:t xml:space="preserve"/>
      </w:r>
    </w:p>
    <w:p>
      <w:r>
        <w:rPr>
          <w:rFonts w:ascii="Kalpurush" w:cs="Kalpurush" w:eastAsia="Kalpurush" w:hAnsi="Kalpurush"/>
          <w:sz w:val="20"/>
          <w:szCs w:val="20"/>
        </w:rPr>
        <w:t xml:space="preserve">*মূল আদেশ বা আইনগত উৎস প্রমাণিত না হলে, একটি পরবর্তী revenue entry-কে এককভাবে এমন প্রমাণ হিসেবে গ্রহণ করা নিরাপদ নয়, যা final SA record-এর statutory presumption-কে displaced বলে গণ্য করার জন্য যথেষ্ট।*</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 ১৯৭৫ সালের রেজিস্ট্রিকৃত দলিল (Deed No. 3596/1975) — The One-Dag / Six-Dag Contradiction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*Respondents’ present theory: 1969 correction → SA 238 effectively one dag, Plot 1259.*</w:t>
      </w:r>
    </w:p>
    <w:p>
      <w:r>
        <w:rPr>
          <w:rFonts w:ascii="Kalpurush" w:cs="Kalpurush" w:eastAsia="Kalpurush" w:hAnsi="Kalpurush"/>
        </w:rPr>
        <w:t xml:space="preserve"/>
      </w:r>
    </w:p>
    <w:p>
      <w:r>
        <w:rPr>
          <w:rFonts w:ascii="Kalpurush" w:cs="Kalpurush" w:eastAsia="Kalpurush" w:hAnsi="Kalpurush"/>
          <w:sz w:val="20"/>
          <w:szCs w:val="20"/>
        </w:rPr>
        <w:t xml:space="preserve">*Their own registered deed of 1975 (Exhibit Kha-1): SA 238 → six dags, including Plots 1259, 75, 3, 54, 1252 and 1220.*</w:t>
      </w:r>
    </w:p>
    <w:p>
      <w:r>
        <w:rPr>
          <w:rFonts w:ascii="Kalpurush" w:cs="Kalpurush" w:eastAsia="Kalpurush" w:hAnsi="Kalpurush"/>
        </w:rPr>
        <w:t xml:space="preserve"/>
      </w:r>
    </w:p>
    <w:p>
      <w:r>
        <w:rPr>
          <w:rFonts w:ascii="Kalpurush" w:cs="Kalpurush" w:eastAsia="Kalpurush" w:hAnsi="Kalpurush"/>
          <w:sz w:val="20"/>
          <w:szCs w:val="20"/>
        </w:rPr>
        <w:t xml:space="preserve">*Question: If the 1969 correction had already altered the SA holding to one dag, why did their own subsequent registered deed describe six dags under the same khatian?*</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"We do not say this contradiction by itself proves fabrication. We say it materially weakens the evidentiary reliability of the one-dag correction theory unless satisfactorily explained."</w:t>
      </w:r>
    </w:p>
    <w:p>
      <w:pPr>
        <w:ind w:left="720"/>
      </w:pPr>
      <w:r>
        <w:rPr>
          <w:rFonts w:ascii="Kalpurush" w:cs="Kalpurush" w:eastAsia="Kalpurush" w:hAnsi="Kalpurush"/>
          <w:i/>
          <w:iCs/>
          <w:sz w:val="20"/>
          <w:szCs w:val="20"/>
        </w:rPr>
        <w:t xml:space="preserve">*(বঙ্গানুবাদ: "আমরা বলছি না যে এই বৈপরীত্য নিজে থেকেই জালিয়াতি প্রমাণ করে। আমরা বলছি, এটি এক-দাগের সংশোধন তত্ত্বের সাক্ষ্যগত বিশ্বাসযোগ্যতাকে মারাত্মকভাবে দুর্বল করে, যদি না এর সন্তোষজনক ব্যাখ্যা দেওয়া হয়।")*</w:t>
      </w:r>
    </w:p>
    <w:p>
      <w:r>
        <w:rPr>
          <w:rFonts w:ascii="Kalpurush" w:cs="Kalpurush" w:eastAsia="Kalpurush" w:hAnsi="Kalpurush"/>
        </w:rPr>
        <w:t xml:space="preserve"/>
      </w:r>
    </w:p>
    <w:p>
      <w:r>
        <w:rPr>
          <w:rFonts w:ascii="Kalpurush" w:cs="Kalpurush" w:eastAsia="Kalpurush" w:hAnsi="Kalpurush"/>
          <w:sz w:val="20"/>
          <w:szCs w:val="20"/>
        </w:rPr>
        <w:t xml:space="preserve">*অধিকন্তু, উক্ত দলিলে বর্ণিত গ্রহীতাদের পরিচিতি এবং পূর্ববর্তী দাবি (যেমন স্বামী সোবান বনাম আব্দুল কদ্দুস/আব্দুল হামিদ) সম্পর্কেও অসঙ্গতি রহিয়াছে। বেলুয়া খাতুনের পরিচয়সংক্রান্ত এই discrepancy-ও respondents’ documentary narrative-এর internal consistency সম্পর্কে একটি material question সৃষ্টি করে। একে একক title-proof হিসেবে নয়, বরং তাদের correction/inheritance theory-এর corroborative inconsistency হিসেবে বিবেচনা করা উচিত।*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 SA ৯১ নং খতিয়ানের অসঙ্গতি ও ১৯৫৭ সালের দলিল</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SA 91 সংক্রান্ত Document-এর মূল্যায়ন:</w:t>
      </w:r>
    </w:p>
    <w:p>
      <w:r>
        <w:rPr>
          <w:rFonts w:ascii="Kalpurush" w:cs="Kalpurush" w:eastAsia="Kalpurush" w:hAnsi="Kalpurush"/>
          <w:sz w:val="20"/>
          <w:szCs w:val="20"/>
        </w:rPr>
        <w:t xml:space="preserve">*SA 91-সংক্রান্ত দাখিলকৃত কপিতে একই দাগের পুনরাবৃত্তি ও ভিন্ন ভিন্ন আয়তনের উল্লেখ একটি material documentary discrepancy সৃষ্টি করে। District Record Room-এর corresponding original record অনুপস্থিত থাকলে এই document-এর provenance ও evidentiary weight সতর্কতার সঙ্গে মূল্যায়ন করা প্রয়োজন।*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Deed No. 2398/1957 (সমসাময়িক দালিলিক সমর্থন):</w:t>
      </w:r>
    </w:p>
    <w:p>
      <w:r>
        <w:rPr>
          <w:rFonts w:ascii="Kalpurush" w:cs="Kalpurush" w:eastAsia="Kalpurush" w:hAnsi="Kalpurush"/>
          <w:sz w:val="20"/>
          <w:szCs w:val="20"/>
        </w:rPr>
        <w:t xml:space="preserve">*২৩৯৮/১৯৫৭ নং রেজিস্ট্রিকৃত দলিলটি (প্রদর্শনী-২) SA জরিপকালীন সময়ের (১৯৫৬–১৯৬২) সমসাময়িক রেজিস্ট্রিকৃত দলিল।*</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deed is corroborative of the contemporaneous documentary relationship of Abdul Ali with the very land later reflected in SA 238."</w:t>
      </w:r>
    </w:p>
    <w:p>
      <w:r>
        <w:rPr>
          <w:rFonts w:ascii="Kalpurush" w:cs="Kalpurush" w:eastAsia="Kalpurush" w:hAnsi="Kalpurush"/>
        </w:rPr>
        <w:t xml:space="preserve"/>
      </w:r>
    </w:p>
    <w:p>
      <w:r>
        <w:rPr>
          <w:rFonts w:ascii="Kalpurush" w:cs="Kalpurush" w:eastAsia="Kalpurush" w:hAnsi="Kalpurush"/>
          <w:sz w:val="20"/>
          <w:szCs w:val="20"/>
        </w:rPr>
        <w:t xml:space="preserve">*যদি impugned judgment-এ Exhibit-2-এর material contents ও its relation to Plot No. 3 / SA 238-এর কোনো substantive evaluation না থাকে, তবে appellate consideration-এর একটি material omission সৃষ্টি হয়।*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VIII. বিবাদীপক্ষের দাবিকৃত Competing Root Tenancy-র দালিলিক দুর্বলতা ও Fallback Argument</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 যখন SA ২৩৮-এর বিপরীতে একটি competing root tenancy ও inheritance chain উত্থাপন করিতেছে, তখন সেই competing chain-এর foundational facts তাঁদেরই প্রমাণে প্রতিষ্ঠিত হইতে হবে।*</w:t>
      </w:r>
    </w:p>
    <w:p>
      <w:r>
        <w:rPr>
          <w:rFonts w:ascii="Kalpurush" w:cs="Kalpurush" w:eastAsia="Kalpurush" w:hAnsi="Kalpurush"/>
        </w:rPr>
        <w:t xml:space="preserve"/>
      </w:r>
    </w:p>
    <w:p>
      <w:r>
        <w:rPr>
          <w:rFonts w:ascii="Kalpurush" w:cs="Kalpurush" w:eastAsia="Kalpurush" w:hAnsi="Kalpurush"/>
          <w:sz w:val="20"/>
          <w:szCs w:val="20"/>
        </w:rPr>
        <w:t xml:space="preserve">*CS ২ নং খতিয়ানে পূর্বতন ব্যক্তিগত রায়তি স্বত্বের কোনো record নেই। জমিটি ঢাকা নবাব এস্টেটের খাস হিসেবে প্রতিফলিত।*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আপীল্যান্টপক্ষের Layer 2 Fallback Argument (সবচেয়ে শক্তিশালী অবস্থান):</w:t>
      </w:r>
    </w:p>
    <w:p>
      <w:pPr>
        <w:ind w:left="720"/>
      </w:pPr>
      <w:r>
        <w:rPr>
          <w:rFonts w:ascii="Kalpurush" w:cs="Kalpurush" w:eastAsia="Kalpurush" w:hAnsi="Kalpurush"/>
          <w:b/>
          <w:bCs/>
          <w:i/>
          <w:iCs/>
          <w:sz w:val="20"/>
          <w:szCs w:val="20"/>
        </w:rPr>
        <w:t xml:space="preserve">"Even assuming, for argument's sake, that Abdul Karim had some pre-SA interest, that assumption does not by itself prove that Abdul Ali's finally published SA entry was wrong or that Sona Bhanu subsequently acquired a legally effective interest in SA 238."</w:t>
      </w:r>
    </w:p>
    <w:p>
      <w:r>
        <w:rPr>
          <w:rFonts w:ascii="Kalpurush" w:cs="Kalpurush" w:eastAsia="Kalpurush" w:hAnsi="Kalpurush"/>
          <w:sz w:val="20"/>
          <w:szCs w:val="20"/>
        </w:rPr>
        <w:t xml:space="preserve">&gt;</w:t>
      </w:r>
    </w:p>
    <w:p>
      <w:pPr>
        <w:ind w:left="720"/>
      </w:pPr>
      <w:r>
        <w:rPr>
          <w:rFonts w:ascii="Kalpurush" w:cs="Kalpurush" w:eastAsia="Kalpurush" w:hAnsi="Kalpurush"/>
          <w:i/>
          <w:iCs/>
          <w:sz w:val="20"/>
          <w:szCs w:val="20"/>
        </w:rPr>
        <w:t xml:space="preserve">*(বঙ্গানুবাদ: "তর্কের খাতিরে যদি ধরেও নেওয়া হয় যে প্রাক-এসএ আমলে আব্দুল করিমের কোনো স্বত্ব বা অধিকার ছিল, তবুও সেই অনুমান নিজে থেকেই প্রমাণ করে না যে চূড়ান্ত প্রকাশিত এসএ ২৩৮-এ আব্দুল আলীর একক রেকর্ড ভুল ছিল কিংবা পরবর্তীতে সোনাভানু এসএ ২৩৮-এ আইনত কার্যকর কোনো অংশ বা স্বত্ব অর্জন করেছিলেন।")*"*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IX. Burden Allocation ও বাটোয়ারার আইনি কাঠামো (Precedent Analysis)</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৯.১ Burden Allocation: Bilquis Jahan-এর principle-এর এই মামলায় সঠিক প্রয়োগ</w:t>
      </w:r>
    </w:p>
    <w:p>
      <w:r>
        <w:rPr>
          <w:rFonts w:ascii="Kalpurush" w:cs="Kalpurush" w:eastAsia="Kalpurush" w:hAnsi="Kalpurush"/>
          <w:sz w:val="20"/>
          <w:szCs w:val="20"/>
        </w:rPr>
        <w:t xml:space="preserve">*বিজ্ঞ ট্রায়াল কোর্ট burden of proof-এর সাধারণ নীতি প্রয়োগকালে এই factual setting-এর বিশেষত্বটি যথাযথভাবে বিবেচনায় নেননি। বর্তমান ক্ষেত্রে বাদীপক্ষ final certified SA record দাখিল করিয়াছে এবং তাহার পেছনে Section 144A-এর statutory presumption বিদ্যমান। এই পরিস্থিতিতে burden of proof-এর সাধারণ principle-এর সঠিক প্রয়োগ হইল:*</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*respondents-এর affirmative correction theory — অর্থাৎ ১৯৬৯ সালে বিধিসম্মত সংশোধনের মাধ্যমে SA ২৩৮-এ আব্দুল আলীর interest displaced হওয়ার দাবি — নির্ভরযোগ্য সাক্ষ্য দ্বারা প্রতিষ্ঠা করার দায়িত্ব বিবাদীপক্ষেরই।*</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৯.২ Incidental Title:</w:t>
      </w:r>
    </w:p>
    <w:p>
      <w:r>
        <w:rPr>
          <w:rFonts w:ascii="Kalpurush" w:cs="Kalpurush" w:eastAsia="Kalpurush" w:hAnsi="Kalpurush"/>
          <w:sz w:val="20"/>
          <w:szCs w:val="20"/>
        </w:rPr>
        <w:t xml:space="preserve">*বাটোয়ারা মামলার কাঠামোর মধ্যে incidental title questions adjudicate করা যায়; অতএব title dispute-এর অস্তিত্ব নিজে থেকে partition suit-কে অকার্যকর বা অচল করে না (Chinmoy Chowdhury vs. Shanti Rani Chowdhury নজিরের আলোকে)।"*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 গাণিতিক তথ্য ও Hotchpot (Internal Consistency Check)</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১০.১ গাণিতিক তথ্য (Arithmetical Data — Judge-এর নিজস্ব মূল্যায়নের জন্য):</w:t>
      </w:r>
    </w:p>
    <w:p>
      <w:r>
        <w:rPr>
          <w:rFonts w:ascii="Kalpurush" w:cs="Kalpurush" w:eastAsia="Kalpurush" w:hAnsi="Kalpurush"/>
          <w:sz w:val="20"/>
          <w:szCs w:val="20"/>
        </w:rPr>
        <w:t xml:space="preserve">*১২৫৯ দাগের সরকারি পরিমাপ:* </w:t>
      </w:r>
      <w:r>
        <w:rPr>
          <w:rFonts w:ascii="Kalpurush" w:cs="Kalpurush" w:eastAsia="Kalpurush" w:hAnsi="Kalpurush"/>
          <w:b/>
          <w:bCs/>
          <w:sz w:val="20"/>
          <w:szCs w:val="20"/>
        </w:rPr>
        <w:t xml:space="preserve">৪৭৭ শতাংশ।</w:t>
      </w:r>
    </w:p>
    <w:p>
      <w:r>
        <w:rPr>
          <w:rFonts w:ascii="Kalpurush" w:cs="Kalpurush" w:eastAsia="Kalpurush" w:hAnsi="Kalpurush"/>
          <w:sz w:val="20"/>
          <w:szCs w:val="20"/>
        </w:rPr>
        <w:t xml:space="preserve">*বাদীপক্ষের তফসিল:* </w:t>
      </w:r>
      <w:r>
        <w:rPr>
          <w:rFonts w:ascii="Kalpurush" w:cs="Kalpurush" w:eastAsia="Kalpurush" w:hAnsi="Kalpurush"/>
          <w:b/>
          <w:bCs/>
          <w:sz w:val="20"/>
          <w:szCs w:val="20"/>
        </w:rPr>
        <w:t xml:space="preserve">৩৪০ শতাংশ</w:t>
      </w:r>
      <w:r>
        <w:rPr>
          <w:rFonts w:ascii="Kalpurush" w:cs="Kalpurush" w:eastAsia="Kalpurush" w:hAnsi="Kalpurush"/>
          <w:sz w:val="20"/>
          <w:szCs w:val="20"/>
        </w:rPr>
        <w:t xml:space="preserve"> নালিশী </w:t>
      </w:r>
      <w:r>
        <w:rPr>
          <w:rFonts w:ascii="Kalpurush" w:cs="Kalpurush" w:eastAsia="Kalpurush" w:hAnsi="Kalpurush"/>
          <w:b/>
          <w:bCs/>
          <w:sz w:val="20"/>
          <w:szCs w:val="20"/>
        </w:rPr>
        <w:t xml:space="preserve">+ ১৩৭ শতাংশ</w:t>
      </w:r>
      <w:r>
        <w:rPr>
          <w:rFonts w:ascii="Kalpurush" w:cs="Kalpurush" w:eastAsia="Kalpurush" w:hAnsi="Kalpurush"/>
          <w:sz w:val="20"/>
          <w:szCs w:val="20"/>
        </w:rPr>
        <w:t xml:space="preserve"> সরকারি খাস </w:t>
      </w:r>
      <w:r>
        <w:rPr>
          <w:rFonts w:ascii="Kalpurush" w:cs="Kalpurush" w:eastAsia="Kalpurush" w:hAnsi="Kalpurush"/>
          <w:b/>
          <w:bCs/>
          <w:sz w:val="20"/>
          <w:szCs w:val="20"/>
        </w:rPr>
        <w:t xml:space="preserve">= ৪৭৭ শতাংশ।</w:t>
      </w:r>
    </w:p>
    <w:p>
      <w:r>
        <w:rPr>
          <w:rFonts w:ascii="Kalpurush" w:cs="Kalpurush" w:eastAsia="Kalpurush" w:hAnsi="Kalpurush"/>
          <w:sz w:val="20"/>
          <w:szCs w:val="20"/>
        </w:rPr>
        <w:t xml:space="preserve">*বিবাদীপক্ষের দাবিকৃত পরিমাণ:* </w:t>
      </w:r>
      <w:r>
        <w:rPr>
          <w:rFonts w:ascii="Kalpurush" w:cs="Kalpurush" w:eastAsia="Kalpurush" w:hAnsi="Kalpurush"/>
          <w:b/>
          <w:bCs/>
          <w:sz w:val="20"/>
          <w:szCs w:val="20"/>
        </w:rPr>
        <w:t xml:space="preserve">৩৪৯ শতাংশ + ১৩৭ শতাংশ = ৪৮৬ শতাংশ।</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"This is not our principal title argument; it is presented as a factual data point for the Court's own assessment of the internal consistency of the respondents' acreage narrative."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১০.২ Hotchpot ও পক্ষদোষ:</w:t>
      </w:r>
    </w:p>
    <w:p>
      <w:r>
        <w:rPr>
          <w:rFonts w:ascii="Kalpurush" w:cs="Kalpurush" w:eastAsia="Kalpurush" w:hAnsi="Kalpurush"/>
          <w:sz w:val="20"/>
          <w:szCs w:val="20"/>
        </w:rPr>
        <w:t xml:space="preserve">*একই দাগ নম্বরের মধ্যে সরকারি খাস জমি পৃথক খতিয়ানে এবং SA ২৩৮-এর জমি পৃথক রেকর্ডীয় পরিচয়ে বিদ্যমান। পৃথক খতিয়ানের জমি বাদ দিলে আংশিক বাটোয়ারার কোনো দোষ ঘটে না (27 BLD HD 229)। প্রাইভেট কো-শেয়ারারদের মধ্যে বাটোয়ারা মামলায় সরকার আবশ্যকীয় পক্ষ নহে (49 DLR AD 15)।*</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 ট্রায়াল কোর্টের সিদ্ধান্ত বনাম আপীল ভুলের তুলনামূলক ছক (Finding vs. Error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Trial Court Finding</w:t>
            </w:r>
          </w:p>
        </w:tc>
        <w:tc>
          <w:p>
            <w:r>
              <w:rPr>
                <w:rFonts w:ascii="Kalpurush" w:cs="Kalpurush" w:eastAsia="Kalpurush" w:hAnsi="Kalpurush"/>
                <w:sz w:val="20"/>
                <w:szCs w:val="20"/>
              </w:rPr>
              <w:t xml:space="preserve">Appellate Error</w:t>
            </w:r>
          </w:p>
        </w:tc>
      </w:tr>
      <w:tr>
        <w:tc>
          <w:p>
            <w:r>
              <w:rPr>
                <w:rFonts w:ascii="Kalpurush" w:cs="Kalpurush" w:eastAsia="Kalpurush" w:hAnsi="Kalpurush"/>
                <w:sz w:val="20"/>
                <w:szCs w:val="20"/>
              </w:rPr>
              <w:t xml:space="preserve">১. আব্দুল করিম মূল রায়ত ছিলেন</w:t>
            </w:r>
          </w:p>
        </w:tc>
        <w:tc>
          <w:p>
            <w:r>
              <w:rPr>
                <w:rFonts w:ascii="Kalpurush" w:cs="Kalpurush" w:eastAsia="Kalpurush" w:hAnsi="Kalpurush"/>
                <w:sz w:val="20"/>
                <w:szCs w:val="20"/>
              </w:rPr>
              <w:t xml:space="preserve">Foundation presumed, proved নয়। পাট্টা/কবুলিয়ত বা প্রাথমিক দলিলের অনুপস্থিতি বিবেচনায় নেওয়া হয়নি। *(Counsel: Impugned Judgment-এর Page/Para বসাবেন।)*</w:t>
            </w:r>
          </w:p>
        </w:tc>
      </w:tr>
      <w:tr>
        <w:tc>
          <w:p>
            <w:r>
              <w:rPr>
                <w:rFonts w:ascii="Kalpurush" w:cs="Kalpurush" w:eastAsia="Kalpurush" w:hAnsi="Kalpurush"/>
                <w:sz w:val="20"/>
                <w:szCs w:val="20"/>
              </w:rPr>
              <w:t xml:space="preserve">২. SA ২৩৮ খতিয়ান ভুল</w:t>
            </w:r>
          </w:p>
        </w:tc>
        <w:tc>
          <w:p>
            <w:r>
              <w:rPr>
                <w:rFonts w:ascii="Kalpurush" w:cs="Kalpurush" w:eastAsia="Kalpurush" w:hAnsi="Kalpurush"/>
                <w:sz w:val="20"/>
                <w:szCs w:val="20"/>
              </w:rPr>
              <w:t xml:space="preserve">Section 144A-এর rebuttable presumption যথাযথ evidentiary standard-এ খণ্ডিত না হয়েই বিবাদীদের correction theory গৃহীত হয়েছে।</w:t>
            </w:r>
          </w:p>
        </w:tc>
      </w:tr>
      <w:tr>
        <w:tc>
          <w:p>
            <w:r>
              <w:rPr>
                <w:rFonts w:ascii="Kalpurush" w:cs="Kalpurush" w:eastAsia="Kalpurush" w:hAnsi="Kalpurush"/>
                <w:sz w:val="20"/>
                <w:szCs w:val="20"/>
              </w:rPr>
              <w:t xml:space="preserve">৩. ১৯৬৯ সালের সংশোধন গৃহীত</w:t>
            </w:r>
          </w:p>
        </w:tc>
        <w:tc>
          <w:p>
            <w:r>
              <w:rPr>
                <w:rFonts w:ascii="Kalpurush" w:cs="Kalpurush" w:eastAsia="Kalpurush" w:hAnsi="Kalpurush"/>
                <w:sz w:val="20"/>
                <w:szCs w:val="20"/>
              </w:rPr>
              <w:t xml:space="preserve">The impugned judgment does not identify, with reference to any produced parent order or certified correction record, the legal source and implementation by which the AC Land entry displaced the finally published SA 238.</w:t>
            </w:r>
          </w:p>
        </w:tc>
      </w:tr>
      <w:tr>
        <w:tc>
          <w:p>
            <w:r>
              <w:rPr>
                <w:rFonts w:ascii="Kalpurush" w:cs="Kalpurush" w:eastAsia="Kalpurush" w:hAnsi="Kalpurush"/>
                <w:sz w:val="20"/>
                <w:szCs w:val="20"/>
              </w:rPr>
              <w:t xml:space="preserve">৪. AC Land ভলিউম এন্ট্রিকে প্রাধান্য</w:t>
            </w:r>
          </w:p>
        </w:tc>
        <w:tc>
          <w:p>
            <w:r>
              <w:rPr>
                <w:rFonts w:ascii="Kalpurush" w:cs="Kalpurush" w:eastAsia="Kalpurush" w:hAnsi="Kalpurush"/>
                <w:sz w:val="20"/>
                <w:szCs w:val="20"/>
              </w:rPr>
              <w:t xml:space="preserve">AC Land volume entry-র legal source, provenance, jurisdictional basis এবং implementation trail যথাযথভাবে নির্ধারণ না করিয়া চূড়ান্ত ROR-এর উপরে স্থান দেওয়া হয়েছে।</w:t>
            </w:r>
          </w:p>
        </w:tc>
      </w:tr>
      <w:tr>
        <w:tc>
          <w:p>
            <w:r>
              <w:rPr>
                <w:rFonts w:ascii="Kalpurush" w:cs="Kalpurush" w:eastAsia="Kalpurush" w:hAnsi="Kalpurush"/>
                <w:sz w:val="20"/>
                <w:szCs w:val="20"/>
              </w:rPr>
              <w:t xml:space="preserve">৫. ১৯৭৫ দলিলের বৈপরীত্য উপেক্ষিত</w:t>
            </w:r>
          </w:p>
        </w:tc>
        <w:tc>
          <w:p>
            <w:r>
              <w:rPr>
                <w:rFonts w:ascii="Kalpurush" w:cs="Kalpurush" w:eastAsia="Kalpurush" w:hAnsi="Kalpurush"/>
                <w:sz w:val="20"/>
                <w:szCs w:val="20"/>
              </w:rPr>
              <w:t xml:space="preserve">Material documentary evidence not properly considered. Exhibit Kha-1-এর ৬ দাগ বনাম কথিত ১ দাগের স্ববিরোধিতার ব্যাখ্যা judgment-এ নেই।</w:t>
            </w:r>
          </w:p>
        </w:tc>
      </w:tr>
      <w:tr>
        <w:tc>
          <w:p>
            <w:r>
              <w:rPr>
                <w:rFonts w:ascii="Kalpurush" w:cs="Kalpurush" w:eastAsia="Kalpurush" w:hAnsi="Kalpurush"/>
                <w:sz w:val="20"/>
                <w:szCs w:val="20"/>
              </w:rPr>
              <w:t xml:space="preserve">৬. Hotchpot/Non-joinder-এ খারিজ</w:t>
            </w:r>
          </w:p>
        </w:tc>
        <w:tc>
          <w:p>
            <w:r>
              <w:rPr>
                <w:rFonts w:ascii="Kalpurush" w:cs="Kalpurush" w:eastAsia="Kalpurush" w:hAnsi="Kalpurush"/>
                <w:sz w:val="20"/>
                <w:szCs w:val="20"/>
              </w:rPr>
              <w:t xml:space="preserve">পৃথক খতিয়ান এবং সরকারি জমি বাটোয়ারার বাইরে থাকা সত্ত্বেও technical objection-কে fatal ধরা হয়েছে।</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XII. সমাপনী মৌখিক নিবেদন ও প্রার্থিত প্রতিকার (Closing Prayer)</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বিবাদীদের দাবিকৃত 'সংশোধন' নির্ভরযোগ্য সাক্ষ্যে প্রমাণিত হয়নি, এবং তাহাদের নিজেদের দলিল তাহাদের correction theory-কেই প্রশ্নবিদ্ধ করিতেছে।*</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"My Lord, the respondents may have a theory; but a theory is not rebuttal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"We do not ask the Court to hold that a finally published SA record can never be wrong. We ask the Court to require the party challenging that record to prove how, when and by what lawful instrument it was displaced."</w:t>
      </w:r>
    </w:p>
    <w:p>
      <w:r>
        <w:rPr>
          <w:rFonts w:ascii="Kalpurush" w:cs="Kalpurush" w:eastAsia="Kalpurush" w:hAnsi="Kalpurush"/>
        </w:rPr>
        <w:t xml:space="preserve"/>
      </w:r>
    </w:p>
    <w:p>
      <w:r>
        <w:rPr>
          <w:rFonts w:ascii="Kalpurush" w:cs="Kalpurush" w:eastAsia="Kalpurush" w:hAnsi="Kalpurush"/>
          <w:sz w:val="20"/>
          <w:szCs w:val="20"/>
        </w:rPr>
        <w:t xml:space="preserve">*বিবাদীপক্ষ সেই প্রমাণ দিতে সম্পূর্ণ ব্যর্থ হইয়াছে। অতএব বিজ্ঞ বিচারিক আদালতের ০৫-০৪-২০২৬ তারিখের খারিজ রায় আইনত টিকিয়া থাকিতে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প্রার্থিত প্রতিকার (Reliefs Sought)</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আদালতের নিকট বিনীত প্রার্থনা:*</w:t>
      </w:r>
    </w:p>
    <w:p>
      <w:r>
        <w:rPr>
          <w:rFonts w:ascii="Kalpurush" w:cs="Kalpurush" w:eastAsia="Kalpurush" w:hAnsi="Kalpurush"/>
        </w:rPr>
        <w:t xml:space="preserve"/>
      </w:r>
    </w:p>
    <w:p>
      <w:r>
        <w:rPr>
          <w:rFonts w:ascii="Kalpurush" w:cs="Kalpurush" w:eastAsia="Kalpurush" w:hAnsi="Kalpurush"/>
          <w:b/>
          <w:bCs/>
          <w:sz w:val="20"/>
          <w:szCs w:val="20"/>
        </w:rPr>
        <w:t xml:space="preserve">(ক)</w:t>
      </w:r>
      <w:r>
        <w:rPr>
          <w:rFonts w:ascii="Kalpurush" w:cs="Kalpurush" w:eastAsia="Kalpurush" w:hAnsi="Kalpurush"/>
          <w:sz w:val="20"/>
          <w:szCs w:val="20"/>
        </w:rPr>
        <w:t xml:space="preserve"> রেকর্ডে বিদ্যমান প্রমাণ পুনর্মূল্যায়ন করিয়া সখিপুর সিভিল জজ আদালতের ০৫/০৪/২০২৬ তারিখের Judgment এবং ০৯/০৪/২০২৬ তারিখের Decree বাতিল ও রহিত (set aside)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(খ)</w:t>
      </w:r>
      <w:r>
        <w:rPr>
          <w:rFonts w:ascii="Kalpurush" w:cs="Kalpurush" w:eastAsia="Kalpurush" w:hAnsi="Kalpurush"/>
          <w:sz w:val="20"/>
          <w:szCs w:val="20"/>
        </w:rPr>
        <w:t xml:space="preserve"> বর্তমানে বহাল ও কার্যকর SA ২৩৮ নং খতিয়ান এবং ১ নং রেসপন্ডেন্টের সোলেনামার ভিত্তিতে আপীল্যান্ট বাদীপক্ষের অনুকূলে বাটোয়ারার </w:t>
      </w:r>
      <w:r>
        <w:rPr>
          <w:rFonts w:ascii="Kalpurush" w:cs="Kalpurush" w:eastAsia="Kalpurush" w:hAnsi="Kalpurush"/>
          <w:b/>
          <w:bCs/>
          <w:sz w:val="20"/>
          <w:szCs w:val="20"/>
        </w:rPr>
        <w:t xml:space="preserve">প্রাথমিক ডিক্রি (Preliminary Decree)</w:t>
      </w:r>
      <w:r>
        <w:rPr>
          <w:rFonts w:ascii="Kalpurush" w:cs="Kalpurush" w:eastAsia="Kalpurush" w:hAnsi="Kalpurush"/>
          <w:sz w:val="20"/>
          <w:szCs w:val="20"/>
        </w:rPr>
        <w:t xml:space="preserve"> প্রদান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(গ) বিকল্পে (In the alternative):</w:t>
      </w:r>
      <w:r>
        <w:rPr>
          <w:rFonts w:ascii="Kalpurush" w:cs="Kalpurush" w:eastAsia="Kalpurush" w:hAnsi="Kalpurush"/>
          <w:sz w:val="20"/>
          <w:szCs w:val="20"/>
        </w:rPr>
        <w:t xml:space="preserve"> CPC Order XLI Rule 23/23A অনুযায়ী মামলাটি বিচারিক আদালতে রিমান্ড (Remand) করিয়া বাদীপক্ষকে আরজি সংশোধন (Order VI Rule 17) ও আবশ্যকীয় পক্ষ সংযোজনের (Order I Rule 10(2)) সুযোগ প্রদানপূর্বক merits-এ চূড়ান্ত রায় প্রদানের নির্দেশ দেওয়া হউক;</w:t>
      </w:r>
    </w:p>
    <w:p>
      <w:r>
        <w:rPr>
          <w:rFonts w:ascii="Kalpurush" w:cs="Kalpurush" w:eastAsia="Kalpurush" w:hAnsi="Kalpurush"/>
        </w:rPr>
        <w:t xml:space="preserve"/>
      </w:r>
    </w:p>
    <w:p>
      <w:r>
        <w:rPr>
          <w:rFonts w:ascii="Kalpurush" w:cs="Kalpurush" w:eastAsia="Kalpurush" w:hAnsi="Kalpurush"/>
          <w:b/>
          <w:bCs/>
          <w:sz w:val="20"/>
          <w:szCs w:val="20"/>
        </w:rPr>
        <w:t xml:space="preserve">(ঘ)</w:t>
      </w:r>
      <w:r>
        <w:rPr>
          <w:rFonts w:ascii="Kalpurush" w:cs="Kalpurush" w:eastAsia="Kalpurush" w:hAnsi="Kalpurush"/>
          <w:sz w:val="20"/>
          <w:szCs w:val="20"/>
        </w:rPr>
        <w:t xml:space="preserve"> প্রয়োজনে appellate court documentary record verification বা appropriate further evidence-এর জন্য lawful order প্রদান করিতে পারেন; এবং</w:t>
      </w:r>
    </w:p>
    <w:p>
      <w:r>
        <w:rPr>
          <w:rFonts w:ascii="Kalpurush" w:cs="Kalpurush" w:eastAsia="Kalpurush" w:hAnsi="Kalpurush"/>
        </w:rPr>
        <w:t xml:space="preserve"/>
      </w:r>
    </w:p>
    <w:p>
      <w:r>
        <w:rPr>
          <w:rFonts w:ascii="Kalpurush" w:cs="Kalpurush" w:eastAsia="Kalpurush" w:hAnsi="Kalpurush"/>
          <w:b/>
          <w:bCs/>
          <w:sz w:val="20"/>
          <w:szCs w:val="20"/>
        </w:rPr>
        <w:t xml:space="preserve">(ঙ)</w:t>
      </w:r>
      <w:r>
        <w:rPr>
          <w:rFonts w:ascii="Kalpurush" w:cs="Kalpurush" w:eastAsia="Kalpurush" w:hAnsi="Kalpurush"/>
          <w:sz w:val="20"/>
          <w:szCs w:val="20"/>
        </w:rPr>
        <w:t xml:space="preserve"> সার্বিক ন্যায়বিচারের স্বার্থে আপীলটি খরচসহ মঞ্জুর করা হউক।</w:t>
      </w:r>
    </w:p>
    <w:p>
      <w:r>
        <w:rPr>
          <w:rFonts w:ascii="Kalpurush" w:cs="Kalpurush" w:eastAsia="Kalpurush" w:hAnsi="Kalpurush"/>
        </w:rPr>
        <w:t xml:space="preserve"/>
      </w:r>
    </w:p>
    <w:p>
      <w:r>
        <w:rPr>
          <w:rFonts w:ascii="Kalpurush" w:cs="Kalpurush" w:eastAsia="Kalpurush" w:hAnsi="Kalpurush"/>
          <w:sz w:val="20"/>
          <w:szCs w:val="20"/>
        </w:rPr>
        <w:t xml:space="preserve">*সবিনয় নিবেদন ইতি।*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 বিজ্ঞ কৌসুলির জন্য চূড়ান্ত যাচাইকরণ তালিকা (Counsel's Mandatory Pre-Filing Checklist)</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Citation Verification:</w:t>
      </w:r>
      <w:r>
        <w:rPr>
          <w:rFonts w:ascii="Kalpurush" w:cs="Kalpurush" w:eastAsia="Kalpurush" w:hAnsi="Kalpurush"/>
          <w:sz w:val="20"/>
          <w:szCs w:val="20"/>
        </w:rPr>
        <w:t xml:space="preserve"> প্রতিটি কোটেশন ও রেশিও original print report থেকে মিলিয়ে নিতে হইবে।</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Trial Court Record Mapping:</w:t>
      </w:r>
      <w:r>
        <w:rPr>
          <w:rFonts w:ascii="Kalpurush" w:cs="Kalpurush" w:eastAsia="Kalpurush" w:hAnsi="Kalpurush"/>
          <w:sz w:val="20"/>
          <w:szCs w:val="20"/>
        </w:rPr>
        <w:t xml:space="preserve"> ট্রায়াল কোর্টের রায়ের প্রতিটি finding-এর পাশে এই ড্রাফটে exact page/paragraph reference বসাতে হইবে।</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 The Locked Hierarchy — ৯-ধাপের চূড়ান্ত কাঠামো (শুনানির মূল ক্রম)</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SA 238 — Section 144A presumption</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Respondents allege a later displacement/correction</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What is the legal source of that alleged correction?</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What was the proceeding, its jurisdiction, parties and actual result?</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What documentary evidence proves lawful implementation?</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What authoritative record presently manifests that alleged substantive change?</w:t>
      </w:r>
    </w:p>
    <w:p>
      <w:r>
        <w:rPr>
          <w:rFonts w:ascii="Kalpurush" w:cs="Kalpurush" w:eastAsia="Kalpurush" w:hAnsi="Kalpurush"/>
          <w:sz w:val="20"/>
          <w:szCs w:val="20"/>
        </w:rPr>
        <w:t xml:space="preserve">৭. </w:t>
      </w:r>
      <w:r>
        <w:rPr>
          <w:rFonts w:ascii="Kalpurush" w:cs="Kalpurush" w:eastAsia="Kalpurush" w:hAnsi="Kalpurush"/>
          <w:b/>
          <w:bCs/>
          <w:sz w:val="20"/>
          <w:szCs w:val="20"/>
        </w:rPr>
        <w:t xml:space="preserve">District Settlement Record Room still records Abdul Ali</w:t>
      </w:r>
    </w:p>
    <w:p>
      <w:r>
        <w:rPr>
          <w:rFonts w:ascii="Kalpurush" w:cs="Kalpurush" w:eastAsia="Kalpurush" w:hAnsi="Kalpurush"/>
          <w:sz w:val="20"/>
          <w:szCs w:val="20"/>
        </w:rPr>
        <w:t xml:space="preserve">৮. </w:t>
      </w:r>
      <w:r>
        <w:rPr>
          <w:rFonts w:ascii="Kalpurush" w:cs="Kalpurush" w:eastAsia="Kalpurush" w:hAnsi="Kalpurush"/>
          <w:b/>
          <w:bCs/>
          <w:sz w:val="20"/>
          <w:szCs w:val="20"/>
        </w:rPr>
        <w:t xml:space="preserve">Respondents’ own 1975 deed creates the six-dag/one-dag inconsistency</w:t>
      </w:r>
    </w:p>
    <w:p>
      <w:r>
        <w:rPr>
          <w:rFonts w:ascii="Kalpurush" w:cs="Kalpurush" w:eastAsia="Kalpurush" w:hAnsi="Kalpurush"/>
          <w:sz w:val="20"/>
          <w:szCs w:val="20"/>
        </w:rPr>
        <w:t xml:space="preserve">৯. </w:t>
      </w:r>
      <w:r>
        <w:rPr>
          <w:rFonts w:ascii="Kalpurush" w:cs="Kalpurush" w:eastAsia="Kalpurush" w:hAnsi="Kalpurush"/>
          <w:b/>
          <w:bCs/>
          <w:sz w:val="20"/>
          <w:szCs w:val="20"/>
        </w:rPr>
        <w:t xml:space="preserve">Even assuming pre-SA interest of Abdul Karim, displacement of SA 238 remains independently unproved.</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আপীল্যান্টগণের পক্ষে বিজ্ঞ কৌসুলি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2026-08-15T10:42:17.842Z</dcterms:created>
  <dcterms:modified xsi:type="dcterms:W3CDTF">2026-08-15T10:42:17.842Z</dcterms:modified>
</cp:coreProperties>
</file>

<file path=docProps/custom.xml><?xml version="1.0" encoding="utf-8"?>
<Properties xmlns="http://schemas.openxmlformats.org/officeDocument/2006/custom-properties" xmlns:vt="http://schemas.openxmlformats.org/officeDocument/2006/docPropsVTypes"/>
</file>