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শুনানি সহায়িকা (Version 87 — Disciplined Oral Hearing Aid)</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Oral Hearing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State Record):</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রেকর্ড চূড়ান্তভাবে প্রকাশিত হয়। বর্তমানে জেলা Settlement Record Room-এ সংরক্ষিত সইমোহরি SA ২৩৮ রেকর্ড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Evidentiary Advantage):</w:t>
      </w:r>
    </w:p>
    <w:p>
      <w:pPr>
        <w:ind w:left="720"/>
      </w:pPr>
      <w:r>
        <w:rPr>
          <w:rFonts w:ascii="Kalpurush" w:cs="Kalpurush" w:eastAsia="Kalpurush" w:hAnsi="Kalpurush"/>
          <w:i/>
          <w:iCs/>
          <w:sz w:val="20"/>
          <w:szCs w:val="20"/>
        </w:rPr>
        <w:t xml:space="preserve">*"মহামান্য আদালত, আপীল্যান্টপক্ষ এমন কোনো absolute proposition করছে না যে revenue record কখনো সংশোধনযোগ্য নয়, অথবা final SA record কখনো ভুল হতে পারে না। আমাদের বক্তব্য আরও নির্দিষ্ট। Section 144A-এর অধীনে SA 238 একটি rebuttable statutory presumption বহন করে। বিবাদীপক্ষ সেই presumption অতিক্রম করতে বলছে একটি alleged 1969 correction-এর ভিত্তিতে। অতএব তাঁদের particular case-এর legal source, proceeding, contents, authority এবং lawful implementation নির্ভরযোগ্য প্রমাণে প্রতিষ্ঠিত হওয়া আবশ্যক।"*</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*"এই মামলায় একটি AC Land volume entry আছে; কিন্তু সেই entry-এর legal source এবং provenance সম্পর্কে DW-4 নিজেই অজ্ঞতা প্রকাশ করেছেন। কথিত Misc Case-এর parent order আদালতে নেই। বর্তমান District Settlement Record Room-এর SA 238-এও Sona Bhanu recorded co-sharer হিসেবে প্রতিফলিত নন। মূল আদেশ বা আইনগত উৎস প্রমাণিত না হলে, একটি পরবর্তী revenue entry-কে এককভাবে এমন প্রমাণ হিসেবে গ্রহণ করা নিরাপদ নয়, যা final SA record-এর statutory presumption-কে displaced বলে গণ্য করার জন্য যথেষ্ট।"*</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*"Respondents’ present theory: 1969 correction → SA 238 effectively one dag, Plot 1259. Their own registered deed of 1975: SA 238 → six dags, including Plots 1259, 75, 3, 54, 1252 and 1220. Question: If the 1969 correction had already altered the SA holding to one dag, why did their own subsequent registered deed describe six dags under the same khatian? We do not say this contradiction by itself proves fabrication. We say it materially weakens the evidentiary reliability of the one-dag correction theory unless satisfactorily explained."*</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*"অতএব প্রশ্নটি revenue authority-এর সাধারণ ক্ষমতা আছে কি না—তা নয়। প্রশ্নটি হলো: এই particular substantive change আইনসম্মতভাবে ঘটেছিল—এর reliable documentary proof কোথায়? আমাদের বিনীত বক্তব্য, record-এ সেই proof যথেষ্টভাবে প্রতিষ্ঠিত হয়নি। বিজ্ঞ ট্রায়াল কোর্ট এই evidentiary gap-সমূহ মূল্যায়ন না করিয়া SA ২৩৮-এর statutory presumption-কে খারিজ করিয়াছেন। অতএব ট্রায়াল কোর্টের খারিজ রায় বাতিল করিয়া বাদীদের অনুকূলে প্রাথমিক ডিক্রি প্রদানই ন্যায়বিচারের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এখতিয়ারগত স্পষ্টীকরণ (Jurisdictional Clarification)</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এই আপীলে SA ২৩৮ সংশোধন বা বাতিলের জন্য কোনো independent relief প্রার্থনা করা হইতেছে না; বরং বিবাদীপক্ষের প্রতিরক্ষার ভিত্তি হিসেবে কথিত ১৯৬৯ সালের সংশোধন আদৌ নির্ভরযোগ্য সাক্ষ্যে প্রমাণিত এবং এই বাটোয়ারা মামলার title dispute-এ আইনগতভাবে কার্যকর হয়েছিল কি না, সেই প্রশ্নের evidentiary sufficiency পরীক্ষা করা হইতেছে। বর্তমান record-এ SA ২৩৮ হলো সেই final Record-of-Rights যার entry section 144A-এর statutory presumption বহন করে; অতএব respondents-এর contrary case গ্রহণের জন্য উক্ত presumption rebut করার মতো reliable evidence প্রয়োজন।"*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The Two-Layer Test (আপীলের মূল আইনি কাঠামো)</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Layer 1 (Competing Root):</w:t>
      </w:r>
      <w:r>
        <w:rPr>
          <w:rFonts w:ascii="Kalpurush" w:cs="Kalpurush" w:eastAsia="Kalpurush" w:hAnsi="Kalpurush"/>
          <w:sz w:val="20"/>
          <w:szCs w:val="20"/>
        </w:rPr>
        <w:t xml:space="preserve"> আব্দুল করিম কি পূর্বে এমন কোনো legally cognizable tenancy interest </w:t>
      </w:r>
      <w:r>
        <w:rPr>
          <w:rFonts w:ascii="Kalpurush" w:cs="Kalpurush" w:eastAsia="Kalpurush" w:hAnsi="Kalpurush"/>
          <w:b/>
          <w:bCs/>
          <w:sz w:val="20"/>
          <w:szCs w:val="20"/>
        </w:rPr>
        <w:t xml:space="preserve">নির্ভরযোগ্যভাবে</w:t>
      </w:r>
      <w:r>
        <w:rPr>
          <w:rFonts w:ascii="Kalpurush" w:cs="Kalpurush" w:eastAsia="Kalpurush" w:hAnsi="Kalpurush"/>
          <w:sz w:val="20"/>
          <w:szCs w:val="20"/>
        </w:rPr>
        <w:t xml:space="preserve"> অর্জন করিয়াছিলেন, যার উত্তরাধিকার সোনাভানুর দিকে যায়?</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Layer 2 (Displacement) — আসল শক্তি:</w:t>
      </w:r>
      <w:r>
        <w:rPr>
          <w:rFonts w:ascii="Kalpurush" w:cs="Kalpurush" w:eastAsia="Kalpurush" w:hAnsi="Kalpurush"/>
          <w:sz w:val="20"/>
          <w:szCs w:val="20"/>
        </w:rPr>
        <w:t xml:space="preserve"> যদি এমন কোনো interest থাকিয়াও থাকে, তবে তাহা কীভাবে আইনসম্মতভাবে আব্দুল আলীর চূড়ান্তভাবে প্রকাশিত SA entry-কে displace করিয়া সোনাভানুর জন্য বর্তমান বলবৎযোগ্য স্বত্ব সৃষ্টি করিল?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that proposition for argument's sake, it does not by itself establish that Abdul Ali's finally published SA entry was wrong, nor does it establish the lawful creation of a present enforceable interest in Sona Bhanu."</w:t>
      </w:r>
    </w:p>
    <w:p>
      <w:pPr>
        <w:ind w:left="720"/>
      </w:pPr>
      <w:r>
        <w:rPr>
          <w:rFonts w:ascii="Kalpurush" w:cs="Kalpurush" w:eastAsia="Kalpurush" w:hAnsi="Kalpurush"/>
          <w:i/>
          <w:iCs/>
          <w:sz w:val="20"/>
          <w:szCs w:val="20"/>
        </w:rPr>
        <w:t xml:space="preserve">*(বঙ্গানুবাদ: "তর্কের খাতিরে যদি সেই দাবি মেনেও নেওয়া হয়, তবু তাহা নিজে থেকেই প্রমাণ করে না যে আব্দুল আলীর চূড়ান্তভাবে প্রকাশিত SA entry ভুল ছিল, এবং তাহা সোনাভানুর জন্য বর্তমান বলবৎযোগ্য স্বত্ব সৃষ্টির বৈধতাও প্রতিষ্ঠিত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Clerical correction ≠ Substantive displacement</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আপীল্যান্টপক্ষ এমন কোনো absolute proposition করছে না যে Revenue Officer কখনো Record-of-Rights-এ কোনো পরিবর্তন আনিতে পারেন না। আইন clerical mistake correction এবং mutation/inheritance-জনিত পরিবর্তনের জন্য statutory mechanism রাখে। কিন্তু এখানে বিবাদীপক্ষের case হলো—একজন final SA record-holder আব্দুল আলীর recorded interest-এর বিপরীতে সোনাভানুর জন্য substantive interest সৃষ্টি বা স্বীকৃত হয়েছে। Section 143-এর সাধারণ ক্ষমতার অস্তিত্ব প্রমাণ করলেই এই নির্দিষ্ট entry যে আইনসম্মতভাবে substantive title-interest পরিবর্তন করেছে, তা প্রমাণিত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Evidentiary Checklist: কথিত সংশোধনের গুরুত্বপূর্ণ প্রশ্নসমূহ</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Existence:</w:t>
      </w:r>
      <w:r>
        <w:rPr>
          <w:rFonts w:ascii="Kalpurush" w:cs="Kalpurush" w:eastAsia="Kalpurush" w:hAnsi="Kalpurush"/>
          <w:sz w:val="20"/>
          <w:szCs w:val="20"/>
        </w:rPr>
        <w:t xml:space="preserve"> আদেশটি আদৌ অস্তিত্বশীল ছিল কি? সার্টিফাইড কপি কোথায়?</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Contents:</w:t>
      </w:r>
      <w:r>
        <w:rPr>
          <w:rFonts w:ascii="Kalpurush" w:cs="Kalpurush" w:eastAsia="Kalpurush" w:hAnsi="Kalpurush"/>
          <w:sz w:val="20"/>
          <w:szCs w:val="20"/>
        </w:rPr>
        <w:t xml:space="preserve"> আদেশটির সুনির্দিষ্ট বিষয়বস্তু কী ছিল?</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Jurisdiction:</w:t>
      </w:r>
      <w:r>
        <w:rPr>
          <w:rFonts w:ascii="Kalpurush" w:cs="Kalpurush" w:eastAsia="Kalpurush" w:hAnsi="Kalpurush"/>
          <w:sz w:val="20"/>
          <w:szCs w:val="20"/>
        </w:rPr>
        <w:t xml:space="preserve"> কোন এখতিয়ারে আদেশটি প্রদান করা হইয়াছিল?</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Notice:</w:t>
      </w:r>
      <w:r>
        <w:rPr>
          <w:rFonts w:ascii="Kalpurush" w:cs="Kalpurush" w:eastAsia="Kalpurush" w:hAnsi="Kalpurush"/>
          <w:sz w:val="20"/>
          <w:szCs w:val="20"/>
        </w:rPr>
        <w:t xml:space="preserve"> রেকর্ডভুক্ত প্রজা আব্দুল আলীকে নোটিশ দেওয়া হয়েছিল কি?</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Implementation:</w:t>
      </w:r>
      <w:r>
        <w:rPr>
          <w:rFonts w:ascii="Kalpurush" w:cs="Kalpurush" w:eastAsia="Kalpurush" w:hAnsi="Kalpurush"/>
          <w:sz w:val="20"/>
          <w:szCs w:val="20"/>
        </w:rPr>
        <w:t xml:space="preserve"> কথিত সংশোধনটি যদি সত্যিই substantive effect সৃষ্টি করে থাকে, তার lawful implementation-এর কোনো corresponding official trail কোথায়—এই প্রশ্নের উত্তর record-এ কী?</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District Record Room-এ আজও Abdul Ali-এর নাম বহাল। বিবাদীপক্ষ কোনো সংশোধিত SA ২৩৮-এর certified copy দেখায়নি। মূল আদেশ বা আইনগত উৎস প্রমাণিত না হলে, একটি পরবর্তী revenue entry-কে এককভাবে এমন প্রমাণ হিসেবে গ্রহণ করা নিরাপদ নয়, যা final SA record-এর statutory presumption-কে displaced বলে গণ্য করার জন্য যথেষ্ট।</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মৌখিক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আপনারা যদি ১৯৩৪ সালের পত্তন প্রমাণ না করেন, তবে আব্দুল আলীর স্বত্বের উৎস 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আমাদের দাবি আব্দুল করিমের কথিত পত্তন থেকে derivative নয়। আমাদের প্রমাণের কেন্দ্রবিন্দু হলো রাষ্ট্রের Estate Acquisition-পরবর্তী State Recognition এবং finally published SA Record। বিবাদীপক্ষই প্রথম সেই State Recognition-কে ভুল দাবি করেছেন — তাই তাঁদের competing root tenancy এবং lawful displacement উভয়ই প্রমাণ করতে হবে।"*</w:t>
      </w:r>
    </w:p>
    <w:p>
      <w:r>
        <w:rPr>
          <w:rFonts w:ascii="Kalpurush" w:cs="Kalpurush" w:eastAsia="Kalpurush" w:hAnsi="Kalpurush"/>
        </w:rPr>
        <w:t xml:space="preserve"/>
      </w:r>
    </w:p>
    <w:p>
      <w:r>
        <w:rPr>
          <w:rFonts w:ascii="Kalpurush" w:cs="Kalpurush" w:eastAsia="Kalpurush" w:hAnsi="Kalpurush"/>
          <w:b/>
          <w:bCs/>
          <w:sz w:val="20"/>
          <w:szCs w:val="20"/>
        </w:rPr>
        <w:t xml:space="preserve">Q2: Misc Case 1181/1969-এর certified copy কেন উপস্থাপিত হয়নি?</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বিবাদীরা Misc Case-এর certified copy দিতে পারেননি; মূল ফাইলও সমন করেননি। কথিত Misc Case-এর মূল নথি বা certified order আদালতে উপস্থাপিত হয়নি; উপরন্তু, record summoned/search করা সত্ত্বেও যদি সংশ্লিষ্ট proceeding-এর authoritative record পাওয়া না যায়, তবে alleged correction theory আরও evidentiary difficulty-র সম্মুখীন হয়।"*</w:t>
      </w:r>
    </w:p>
    <w:p>
      <w:r>
        <w:rPr>
          <w:rFonts w:ascii="Kalpurush" w:cs="Kalpurush" w:eastAsia="Kalpurush" w:hAnsi="Kalpurush"/>
        </w:rPr>
        <w:t xml:space="preserve"/>
      </w:r>
    </w:p>
    <w:p>
      <w:r>
        <w:rPr>
          <w:rFonts w:ascii="Kalpurush" w:cs="Kalpurush" w:eastAsia="Kalpurush" w:hAnsi="Kalpurush"/>
          <w:b/>
          <w:bCs/>
          <w:sz w:val="20"/>
          <w:szCs w:val="20"/>
        </w:rPr>
        <w:t xml:space="preserve">Q3: AC Land ভলিউম এন্ট্রির আইনি গুরুত্ব কতটুকু?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AC Land-এর statutory power থাকলেও, সেই power-এর particular exercise কীভাবে, কোন proceeding-এ, কোন statutory basis-এ এবং কোন evidence-এর ভিত্তিতে ঘটেছে—সেটা এই case-এ establish করতে হবে। 'ভিন্ন কালিতে ভিন্ন হাতের লেখা'—এই observation-এর চেয়ে গুরুত্বপূর্ণ প্রশ্ন হলো—entryটির supporting proceeding, order এবং lawful implementation কী?"*</w:t>
      </w:r>
    </w:p>
    <w:p>
      <w:r>
        <w:rPr>
          <w:rFonts w:ascii="Kalpurush" w:cs="Kalpurush" w:eastAsia="Kalpurush" w:hAnsi="Kalpurush"/>
        </w:rPr>
        <w:t xml:space="preserve"/>
      </w:r>
    </w:p>
    <w:p>
      <w:r>
        <w:rPr>
          <w:rFonts w:ascii="Kalpurush" w:cs="Kalpurush" w:eastAsia="Kalpurush" w:hAnsi="Kalpurush"/>
          <w:b/>
          <w:bCs/>
          <w:sz w:val="20"/>
          <w:szCs w:val="20"/>
        </w:rPr>
        <w:t xml:space="preserve">Q4: District Record Room-এর অপরিবর্তিত খতিয়ানের গুরুত্ব 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আজও District Settlement Record Room-এ SA ২৩৮-এ Abdul Ali-এর নাম বহাল। বিবাদীপক্ষ কোনো সংশোধিত SA ২৩৮-এর certified copy দেখায়নি। আমরা বলছি না corrected certified copy না থাকলেই correction অসম্ভব — আমরা বলছি যে পক্ষ correction-এর উপর substantive title দাবি করছে, সে correction-এর authoritative existence, content এবং implementation নির্ভরযোগ্যভাবে প্রমাণ করার মতো কোনো documentary chain-ও উপস্থাপন করেনি।"*</w:t>
      </w:r>
    </w:p>
    <w:p>
      <w:r>
        <w:rPr>
          <w:rFonts w:ascii="Kalpurush" w:cs="Kalpurush" w:eastAsia="Kalpurush" w:hAnsi="Kalpurush"/>
        </w:rPr>
        <w:t xml:space="preserve"/>
      </w:r>
    </w:p>
    <w:p>
      <w:r>
        <w:rPr>
          <w:rFonts w:ascii="Kalpurush" w:cs="Kalpurush" w:eastAsia="Kalpurush" w:hAnsi="Kalpurush"/>
          <w:b/>
          <w:bCs/>
          <w:sz w:val="20"/>
          <w:szCs w:val="20"/>
        </w:rPr>
        <w:t xml:space="preserve">Q5: ১৯৭৫ সালের দলিলে ৬ দাগের বিষয়টি কতটা গুরুত্বপূর্ণ?</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Respondents’ present theory: 1969 correction → SA 238 effectively one dag. Their own registered deed of 1975: SA 238 → six dags. We do not say this contradiction by itself proves fabrication. We say it materially weakens the evidentiary reliability of the one-dag correction theory unless satisfactorily explained."*</w:t>
      </w:r>
    </w:p>
    <w:p>
      <w:r>
        <w:rPr>
          <w:rFonts w:ascii="Kalpurush" w:cs="Kalpurush" w:eastAsia="Kalpurush" w:hAnsi="Kalpurush"/>
        </w:rPr>
        <w:t xml:space="preserve"/>
      </w:r>
    </w:p>
    <w:p>
      <w:r>
        <w:rPr>
          <w:rFonts w:ascii="Kalpurush" w:cs="Kalpurush" w:eastAsia="Kalpurush" w:hAnsi="Kalpurush"/>
          <w:b/>
          <w:bCs/>
          <w:sz w:val="20"/>
          <w:szCs w:val="20"/>
        </w:rPr>
        <w:t xml:space="preserve">Q6: ১৯৫৭ সালের দলিলের ভূমিকা 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২৩৯৮/১৯৫৭ নং দলিল SA ২৩৮-এর title source নহে। এটি SA operation চলাকালীন সময়ের একটি contemporaneous corroborative circumstance। যদি impugned judgment-এ Exhibit-2-এর material contents ও its relation to SA 238-এর কোনো substantive evaluation না থাকে, তবে appellate consideration-এর একটি material omission সৃষ্টি হয়।"*</w:t>
      </w:r>
    </w:p>
    <w:p>
      <w:r>
        <w:rPr>
          <w:rFonts w:ascii="Kalpurush" w:cs="Kalpurush" w:eastAsia="Kalpurush" w:hAnsi="Kalpurush"/>
        </w:rPr>
        <w:t xml:space="preserve"/>
      </w:r>
    </w:p>
    <w:p>
      <w:r>
        <w:rPr>
          <w:rFonts w:ascii="Kalpurush" w:cs="Kalpurush" w:eastAsia="Kalpurush" w:hAnsi="Kalpurush"/>
          <w:b/>
          <w:bCs/>
          <w:sz w:val="20"/>
          <w:szCs w:val="20"/>
        </w:rPr>
        <w:t xml:space="preserve">Q7: Abdul Karim-এর pre-SA interest ধরে নিলে কী হয়?</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even assuming for argument's sake that Abdul Karim had some pre-SA interest, that assumption alone does not prove that Abdul Ali's finally published SA entry was wrong, nor does it prove how Sona Bhanu acquired a legally effective interest in SA 238. Layer 2 এর displacement প্রমাণ তখনও বাকি থাকে।"*</w:t>
      </w:r>
    </w:p>
    <w:p>
      <w:r>
        <w:rPr>
          <w:rFonts w:ascii="Kalpurush" w:cs="Kalpurush" w:eastAsia="Kalpurush" w:hAnsi="Kalpurush"/>
        </w:rPr>
        <w:t xml:space="preserve"/>
      </w:r>
    </w:p>
    <w:p>
      <w:r>
        <w:rPr>
          <w:rFonts w:ascii="Kalpurush" w:cs="Kalpurush" w:eastAsia="Kalpurush" w:hAnsi="Kalpurush"/>
          <w:b/>
          <w:bCs/>
          <w:sz w:val="20"/>
          <w:szCs w:val="20"/>
        </w:rPr>
        <w:t xml:space="preserve">Q8: সরকারি জমি বাদ পড়ায় কি Hotchpot দোষ হইয়াছে?</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একই দাগে সরকারি জমি পৃথক খতিয়ানে। পৃথক খতিয়ানের জমি বা সরকারের জমি ব্যক্তিমালিকানাধীন বাটোয়ারায় আনা বাধ্যতামূলক নয় (27 BLD HD 229)।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Q9: সরকারকে পক্ষ না করায় কি মামলা খারিজ হইতে পারে?</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49 DLR (AD) 15 অনুযায়ী সহ-শরীকদের বাটোয়ারা মামলায় সরকার আবশ্যকীয় পক্ষ নয় যেখানে রাষ্ট্রের বিরুদ্ধে কোনো প্রতিকার চাওয়া হয়নি।"*</w:t>
      </w:r>
    </w:p>
    <w:p>
      <w:r>
        <w:rPr>
          <w:rFonts w:ascii="Kalpurush" w:cs="Kalpurush" w:eastAsia="Kalpurush" w:hAnsi="Kalpurush"/>
        </w:rPr>
        <w:t xml:space="preserve"/>
      </w:r>
    </w:p>
    <w:p>
      <w:r>
        <w:rPr>
          <w:rFonts w:ascii="Kalpurush" w:cs="Kalpurush" w:eastAsia="Kalpurush" w:hAnsi="Kalpurush"/>
          <w:b/>
          <w:bCs/>
          <w:sz w:val="20"/>
          <w:szCs w:val="20"/>
        </w:rPr>
        <w:t xml:space="preserve">Q10: বাদীপক্ষের হিসাবে ৩৪০ শতাংশ কি সঠিক?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বাদীপক্ষের তফসিলে ৩৪০ শতাংশ নালিশী অংশ এবং ১৩৭ শতাংশ সরকারি খাস, যোগফল ৪৭৭ শতাংশ — যা ১২৫৯ দাগের সরকারি মোট পরিমাপের সাথে মিলে যায়। বিবাদীপক্ষের দাবি অনুযায়ী ৩৪৯ + ১৩৭ = ৪৮৬ শতাংশ, যা দাগের মোট পরিমাণকে অতিক্রম করে। আদালত নিজেই এই অসামঞ্জস্য বিবেচনা করিতে পারেন।"*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মৌখিক নিবেদন ও প্রার্থনাসহ প্রতিকার (Closing &amp; Prayer)</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"My Lord, the respondents may have a theory; but a theory is not rebuttal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r>
        <w:rPr>
          <w:rFonts w:ascii="Kalpurush" w:cs="Kalpurush" w:eastAsia="Kalpurush" w:hAnsi="Kalpurush"/>
        </w:rPr>
        <w:t xml:space="preserve"/>
      </w:r>
    </w:p>
    <w:p>
      <w:r>
        <w:rPr>
          <w:rFonts w:ascii="Kalpurush" w:cs="Kalpurush" w:eastAsia="Kalpurush" w:hAnsi="Kalpurush"/>
          <w:b/>
          <w:bCs/>
          <w:sz w:val="20"/>
          <w:szCs w:val="20"/>
        </w:rPr>
        <w:t xml:space="preserve">প্রার্থিত প্রতিকার:</w:t>
      </w:r>
    </w:p>
    <w:p>
      <w:pPr>
        <w:pStyle w:val="ListParagraph"/>
        <w:numPr>
          <w:ilvl w:val="0"/>
          <w:numId w:val="1"/>
        </w:numPr>
      </w:pPr>
      <w:r>
        <w:rPr>
          <w:rFonts w:ascii="Kalpurush" w:cs="Kalpurush" w:eastAsia="Kalpurush" w:hAnsi="Kalpurush"/>
          <w:b/>
          <w:bCs/>
          <w:sz w:val="20"/>
          <w:szCs w:val="20"/>
        </w:rPr>
        <w:t xml:space="preserve">(ক)</w:t>
      </w:r>
      <w:r>
        <w:rPr>
          <w:rFonts w:ascii="Kalpurush" w:cs="Kalpurush" w:eastAsia="Kalpurush" w:hAnsi="Kalpurush"/>
          <w:sz w:val="20"/>
          <w:szCs w:val="20"/>
        </w:rPr>
        <w:t xml:space="preserve"> ০৫/০৪/২০২৬ তারিখের রায় ও ০৯/০৪/২০২৬ তারিখের ডিক্রি বাতিল;</w:t>
      </w:r>
    </w:p>
    <w:p>
      <w:pPr>
        <w:pStyle w:val="ListParagraph"/>
        <w:numPr>
          <w:ilvl w:val="0"/>
          <w:numId w:val="1"/>
        </w:numPr>
      </w:pPr>
      <w:r>
        <w:rPr>
          <w:rFonts w:ascii="Kalpurush" w:cs="Kalpurush" w:eastAsia="Kalpurush" w:hAnsi="Kalpurush"/>
          <w:b/>
          <w:bCs/>
          <w:sz w:val="20"/>
          <w:szCs w:val="20"/>
        </w:rPr>
        <w:t xml:space="preserve">(খ)</w:t>
      </w:r>
      <w:r>
        <w:rPr>
          <w:rFonts w:ascii="Kalpurush" w:cs="Kalpurush" w:eastAsia="Kalpurush" w:hAnsi="Kalpurush"/>
          <w:sz w:val="20"/>
          <w:szCs w:val="20"/>
        </w:rPr>
        <w:t xml:space="preserve"> SA ২৩৮ ও ১ নং রেসপন্ডেন্টের সোলেনামার ভিত্তিতে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w:t>
      </w:r>
    </w:p>
    <w:p>
      <w:pPr>
        <w:pStyle w:val="ListParagraph"/>
        <w:numPr>
          <w:ilvl w:val="0"/>
          <w:numId w:val="1"/>
        </w:numPr>
      </w:pPr>
      <w:r>
        <w:rPr>
          <w:rFonts w:ascii="Kalpurush" w:cs="Kalpurush" w:eastAsia="Kalpurush" w:hAnsi="Kalpurush"/>
          <w:b/>
          <w:bCs/>
          <w:sz w:val="20"/>
          <w:szCs w:val="20"/>
        </w:rPr>
        <w:t xml:space="preserve">(গ) বিকল্পে:</w:t>
      </w:r>
      <w:r>
        <w:rPr>
          <w:rFonts w:ascii="Kalpurush" w:cs="Kalpurush" w:eastAsia="Kalpurush" w:hAnsi="Kalpurush"/>
          <w:sz w:val="20"/>
          <w:szCs w:val="20"/>
        </w:rPr>
        <w:t xml:space="preserve"> CPC Order XLI Rule 23/23A-তে </w:t>
      </w:r>
      <w:r>
        <w:rPr>
          <w:rFonts w:ascii="Kalpurush" w:cs="Kalpurush" w:eastAsia="Kalpurush" w:hAnsi="Kalpurush"/>
          <w:b/>
          <w:bCs/>
          <w:sz w:val="20"/>
          <w:szCs w:val="20"/>
        </w:rPr>
        <w:t xml:space="preserve">রিমান্ড</w:t>
      </w:r>
      <w:r>
        <w:rPr>
          <w:rFonts w:ascii="Kalpurush" w:cs="Kalpurush" w:eastAsia="Kalpurush" w:hAnsi="Kalpurush"/>
          <w:sz w:val="20"/>
          <w:szCs w:val="20"/>
        </w:rPr>
        <w:t xml:space="preserve"> — বাদীপক্ষকে Order VI Rule 17 ও Order I Rule 10(2)-এর সুযোগ দিয়ে;</w:t>
      </w:r>
    </w:p>
    <w:p>
      <w:pPr>
        <w:pStyle w:val="ListParagraph"/>
        <w:numPr>
          <w:ilvl w:val="0"/>
          <w:numId w:val="1"/>
        </w:numPr>
      </w:pPr>
      <w:r>
        <w:rPr>
          <w:rFonts w:ascii="Kalpurush" w:cs="Kalpurush" w:eastAsia="Kalpurush" w:hAnsi="Kalpurush"/>
          <w:b/>
          <w:bCs/>
          <w:sz w:val="20"/>
          <w:szCs w:val="20"/>
        </w:rPr>
        <w:t xml:space="preserve">(ঘ)</w:t>
      </w:r>
      <w:r>
        <w:rPr>
          <w:rFonts w:ascii="Kalpurush" w:cs="Kalpurush" w:eastAsia="Kalpurush" w:hAnsi="Kalpurush"/>
          <w:sz w:val="20"/>
          <w:szCs w:val="20"/>
        </w:rPr>
        <w:t xml:space="preserve"> প্রয়োজনে appellate court documentary record verification বা appropriate further evidence-এর জন্য lawful order প্রদান করিতে পারেন।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 বিজ্ঞ কৌসুলির জন্য চূড়ান্ত সতর্কবার্তা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The Locked Hierarchy — ৯-ধাপের চূড়ান্ত কাঠামো</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SA 238 — Section 144A presumption</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Respondents allege a later displacement/correction</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What is the legal source of that alleged correction?</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What was the proceeding, its jurisdiction, parties and actual result?</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What documentary evidence proves lawful implementation?</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What authoritative record presently manifests that alleged substantive change?</w:t>
      </w:r>
    </w:p>
    <w:p>
      <w:r>
        <w:rPr>
          <w:rFonts w:ascii="Kalpurush" w:cs="Kalpurush" w:eastAsia="Kalpurush" w:hAnsi="Kalpurush"/>
          <w:sz w:val="20"/>
          <w:szCs w:val="20"/>
        </w:rPr>
        <w:t xml:space="preserve">৭. </w:t>
      </w:r>
      <w:r>
        <w:rPr>
          <w:rFonts w:ascii="Kalpurush" w:cs="Kalpurush" w:eastAsia="Kalpurush" w:hAnsi="Kalpurush"/>
          <w:b/>
          <w:bCs/>
          <w:sz w:val="20"/>
          <w:szCs w:val="20"/>
        </w:rPr>
        <w:t xml:space="preserve">District Settlement Record Room still records Abdul Ali</w:t>
      </w:r>
    </w:p>
    <w:p>
      <w:r>
        <w:rPr>
          <w:rFonts w:ascii="Kalpurush" w:cs="Kalpurush" w:eastAsia="Kalpurush" w:hAnsi="Kalpurush"/>
          <w:sz w:val="20"/>
          <w:szCs w:val="20"/>
        </w:rPr>
        <w:t xml:space="preserve">৮. </w:t>
      </w:r>
      <w:r>
        <w:rPr>
          <w:rFonts w:ascii="Kalpurush" w:cs="Kalpurush" w:eastAsia="Kalpurush" w:hAnsi="Kalpurush"/>
          <w:b/>
          <w:bCs/>
          <w:sz w:val="20"/>
          <w:szCs w:val="20"/>
        </w:rPr>
        <w:t xml:space="preserve">Respondents’ own 1975 deed creates the six-dag/one-dag inconsistency</w:t>
      </w:r>
    </w:p>
    <w:p>
      <w:r>
        <w:rPr>
          <w:rFonts w:ascii="Kalpurush" w:cs="Kalpurush" w:eastAsia="Kalpurush" w:hAnsi="Kalpurush"/>
          <w:sz w:val="20"/>
          <w:szCs w:val="20"/>
        </w:rPr>
        <w:t xml:space="preserve">৯. </w:t>
      </w:r>
      <w:r>
        <w:rPr>
          <w:rFonts w:ascii="Kalpurush" w:cs="Kalpurush" w:eastAsia="Kalpurush" w:hAnsi="Kalpurush"/>
          <w:b/>
          <w:bCs/>
          <w:sz w:val="20"/>
          <w:szCs w:val="20"/>
        </w:rPr>
        <w:t xml:space="preserve">Even assuming pre-SA interest of Abdul Karim, displacement of SA 238 remains independently unproved.</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2026-08-15T10:42:17.876Z</dcterms:created>
  <dcterms:modified xsi:type="dcterms:W3CDTF">2026-08-15T10:42:17.876Z</dcterms:modified>
</cp:coreProperties>
</file>

<file path=docProps/custom.xml><?xml version="1.0" encoding="utf-8"?>
<Properties xmlns="http://schemas.openxmlformats.org/officeDocument/2006/custom-properties" xmlns:vt="http://schemas.openxmlformats.org/officeDocument/2006/docPropsVTypes"/>
</file>