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rFonts w:ascii="Kalpurush" w:cs="Kalpurush" w:eastAsia="Kalpurush" w:hAnsi="Kalpurush"/>
          <w:sz w:val="20"/>
          <w:szCs w:val="20"/>
        </w:rPr>
        <w:t xml:space="preserve">জেলা জজ আদালত, টাঙ্গাইল</w:t>
      </w:r>
    </w:p>
    <w:p>
      <w:pPr>
        <w:pStyle w:val="Heading2"/>
      </w:pPr>
      <w:r>
        <w:rPr>
          <w:rFonts w:ascii="Kalpurush" w:cs="Kalpurush" w:eastAsia="Kalpurush" w:hAnsi="Kalpurush"/>
          <w:sz w:val="20"/>
          <w:szCs w:val="20"/>
        </w:rPr>
        <w:t xml:space="preserve">আপীল মামলা নং ৩৮/২০২৬</w:t>
      </w:r>
    </w:p>
    <w:p>
      <w:pPr>
        <w:pStyle w:val="Heading3"/>
      </w:pPr>
      <w:r>
        <w:rPr>
          <w:rFonts w:ascii="Kalpurush" w:cs="Kalpurush" w:eastAsia="Kalpurush" w:hAnsi="Kalpurush"/>
          <w:sz w:val="20"/>
          <w:szCs w:val="20"/>
        </w:rPr>
        <w:t xml:space="preserve">বাটোয়ারা মামলা নং ৬৬/২০১৬, সখিপুর সিভিল জজ আদালত হইতে উদ্ভূত</w:t>
      </w:r>
    </w:p>
    <w:p>
      <w:r>
        <w:rPr>
          <w:rFonts w:ascii="Kalpurush" w:cs="Kalpurush" w:eastAsia="Kalpurush" w:hAnsi="Kalpurush"/>
          <w:b/>
          <w:bCs/>
          <w:sz w:val="20"/>
          <w:szCs w:val="20"/>
        </w:rPr>
        <w:t xml:space="preserve">হাতেম আলী ও অন্যান্য (আপীল্যান্ট/বাদী) বনাম আলহাজ উদ্দিন ও অন্যান্য (রেসপন্ডেন্ট/বিবাদী)</w:t>
      </w:r>
    </w:p>
    <w:p>
      <w:r>
        <w:rPr>
          <w:rFonts w:ascii="Kalpurush" w:cs="Kalpurush" w:eastAsia="Kalpurush" w:hAnsi="Kalpurush"/>
        </w:rPr>
        <w:t xml:space="preserve"/>
      </w:r>
    </w:p>
    <w:p>
      <w:r>
        <w:rPr>
          <w:rFonts w:ascii="Kalpurush" w:cs="Kalpurush" w:eastAsia="Kalpurush" w:hAnsi="Kalpurush"/>
          <w:b/>
          <w:bCs/>
          <w:sz w:val="20"/>
          <w:szCs w:val="20"/>
        </w:rPr>
        <w:t xml:space="preserve">আপীল্যান্টপক্ষের পূর্ণাঙ্গ মাস্টার লিখিত যুক্তিতর্ক (Version 82 — Definitive Filing-Ready Appellate Brief)</w:t>
      </w:r>
    </w:p>
    <w:p>
      <w:r>
        <w:rPr>
          <w:rFonts w:ascii="Kalpurush" w:cs="Kalpurush" w:eastAsia="Kalpurush" w:hAnsi="Kalpurush"/>
        </w:rPr>
        <w:t xml:space="preserve"/>
      </w:r>
    </w:p>
    <w:p>
      <w:r>
        <w:rPr>
          <w:rFonts w:ascii="Kalpurush" w:cs="Kalpurush" w:eastAsia="Kalpurush" w:hAnsi="Kalpurush"/>
          <w:b/>
          <w:bCs/>
          <w:sz w:val="20"/>
          <w:szCs w:val="20"/>
        </w:rPr>
        <w:t xml:space="preserve">তারিখ:</w:t>
      </w:r>
      <w:r>
        <w:rPr>
          <w:rFonts w:ascii="Kalpurush" w:cs="Kalpurush" w:eastAsia="Kalpurush" w:hAnsi="Kalpurush"/>
          <w:sz w:val="20"/>
          <w:szCs w:val="20"/>
        </w:rPr>
        <w:t xml:space="preserve"> ১৫ আগস্ট ২০২৬ | </w:t>
      </w:r>
      <w:r>
        <w:rPr>
          <w:rFonts w:ascii="Kalpurush" w:cs="Kalpurush" w:eastAsia="Kalpurush" w:hAnsi="Kalpurush"/>
          <w:b/>
          <w:bCs/>
          <w:sz w:val="20"/>
          <w:szCs w:val="20"/>
        </w:rPr>
        <w:t xml:space="preserve">আদালত:</w:t>
      </w:r>
      <w:r>
        <w:rPr>
          <w:rFonts w:ascii="Kalpurush" w:cs="Kalpurush" w:eastAsia="Kalpurush" w:hAnsi="Kalpurush"/>
          <w:sz w:val="20"/>
          <w:szCs w:val="20"/>
        </w:rPr>
        <w:t xml:space="preserve"> জেলা জজ আদালত, টাঙ্গাইল</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মহামান্য আদালতের উদ্দেশ্যে প্রারম্ভিক বক্তব্য ও রোডম্যাপ (Opening Address &amp; 5-Minute Roadmap)</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*সখিপুর সিভিল জজ আদালতের বাটোয়ারা মামলা নং ৬৬/২০১৬-এর ০৫-০৪-২০২৬ তারিখের খারিজ রায় ও ০৯-০৪-২০২৬ তারিখের ডিক্রির বিরুদ্ধে আপীল্যান্ট বাদীপক্ষের এই আপীল।*</w:t>
      </w:r>
    </w:p>
    <w:p>
      <w:r>
        <w:rPr>
          <w:rFonts w:ascii="Kalpurush" w:cs="Kalpurush" w:eastAsia="Kalpurush" w:hAnsi="Kalpurush"/>
        </w:rPr>
        <w:t xml:space="preserve"/>
      </w:r>
    </w:p>
    <w:p>
      <w:r>
        <w:rPr>
          <w:rFonts w:ascii="Kalpurush" w:cs="Kalpurush" w:eastAsia="Kalpurush" w:hAnsi="Kalpurush"/>
          <w:sz w:val="20"/>
          <w:szCs w:val="20"/>
        </w:rPr>
        <w:t xml:space="preserve">*এই আপীলের নিষ্পত্তির জন্য ১৯৩৪ সালের কথিত পত্তনের সম্পূর্ণ ইতিহাস পুনর্গঠন করা আবশ্যক নহে। বর্তমান বিরোধের মূল প্রশ্ন হলো — রাষ্ট্রের চূড়ান্তভাবে প্রকাশিত SA ২৩৮ নং খতিয়ান, যেখানে আব্দুল আলী ১৬ আনা একক রায়ত হিসেবে রেকর্ডভুক্ত, সেটি পরবর্তীতে কোন বৈধ প্রক্রিয়া ও কোন নির্ভরযোগ্য প্রমাণের মাধ্যমে পরাস্ত হয়েছে।*</w:t>
      </w:r>
    </w:p>
    <w:p>
      <w:r>
        <w:rPr>
          <w:rFonts w:ascii="Kalpurush" w:cs="Kalpurush" w:eastAsia="Kalpurush" w:hAnsi="Kalpurush"/>
        </w:rPr>
        <w:t xml:space="preserve"/>
      </w:r>
    </w:p>
    <w:p>
      <w:r>
        <w:rPr>
          <w:rFonts w:ascii="Kalpurush" w:cs="Kalpurush" w:eastAsia="Kalpurush" w:hAnsi="Kalpurush"/>
          <w:sz w:val="20"/>
          <w:szCs w:val="20"/>
        </w:rPr>
        <w:t xml:space="preserve">*আমরা বলছি না যে একটি চূড়ান্ত প্রকাশিত SA Record কখনো ভুল হতে পারে না। আমরা বলছি — যে পক্ষ ইহাকে ভুল বা পরবর্তীতে সংশোধিত বলিতেছে, সেই পক্ষকে সেই দাবি নির্ভরযোগ্য প্রমাণ দ্বারা প্রতিষ্ঠা করিতে হইবে।*</w:t>
      </w:r>
    </w:p>
    <w:p>
      <w:r>
        <w:rPr>
          <w:rFonts w:ascii="Kalpurush" w:cs="Kalpurush" w:eastAsia="Kalpurush" w:hAnsi="Kalpurush"/>
        </w:rPr>
        <w:t xml:space="preserve"/>
      </w:r>
    </w:p>
    <w:p>
      <w:r>
        <w:rPr>
          <w:rFonts w:ascii="Kalpurush" w:cs="Kalpurush" w:eastAsia="Kalpurush" w:hAnsi="Kalpurush"/>
          <w:sz w:val="20"/>
          <w:szCs w:val="20"/>
        </w:rPr>
        <w:t xml:space="preserve">*The respondents are not merely challenging a record; they are asking the Court to accept an alleged legal event — correction of SA 238 — which they have not proved by the order that supposedly caused it, the official record that supposedly implemented it, or consistent subsequent documentary conduct.*</w:t>
      </w:r>
    </w:p>
    <w:p>
      <w:r>
        <w:rPr>
          <w:rFonts w:ascii="Kalpurush" w:cs="Kalpurush" w:eastAsia="Kalpurush" w:hAnsi="Kalpurush"/>
        </w:rPr>
        <w:t xml:space="preserve"/>
      </w:r>
    </w:p>
    <w:p>
      <w:r>
        <w:rPr>
          <w:rFonts w:ascii="Kalpurush" w:cs="Kalpurush" w:eastAsia="Kalpurush" w:hAnsi="Kalpurush"/>
          <w:sz w:val="20"/>
          <w:szCs w:val="20"/>
        </w:rPr>
        <w:t xml:space="preserve">*(বঙ্গানুবাদ: "বিবাদীপক্ষ কেবল একটি রেকর্ডকে চ্যালেঞ্জ করছে না; তারা আদালতকে এমন একটি কথিত আইনগত ঘটনা বিশ্বাস করতে বলছে — যার কারণে SA ২৩৮ সংশোধিত হয়েছিল — কিন্তু সেই ঘটনার মূল আদেশ, সরকারি বাস্তবায়ন এবং পরবর্তী সামঞ্জস্যপূর্ণ দলিলগত আচরণ — কোনোটিই তারা নির্ভরযোগ্যভাবে প্রমাণ করতে পারেনি।")*</w:t>
      </w:r>
    </w:p>
    <w:p>
      <w:r>
        <w:rPr>
          <w:rFonts w:ascii="Kalpurush" w:cs="Kalpurush" w:eastAsia="Kalpurush" w:hAnsi="Kalpurush"/>
        </w:rPr>
        <w:t xml:space="preserve"/>
      </w:r>
    </w:p>
    <w:p>
      <w:r>
        <w:rPr>
          <w:rFonts w:ascii="Kalpurush" w:cs="Kalpurush" w:eastAsia="Kalpurush" w:hAnsi="Kalpurush"/>
          <w:sz w:val="20"/>
          <w:szCs w:val="20"/>
        </w:rPr>
        <w:t xml:space="preserve">*অতএব এই আপীলের প্রকৃত প্রশ্ন 'SA ২৩৮ কি ভুল?' নয়।*</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'প্রকৃত প্রশ্ন হলো — যিনি SA ২৩৮ ভুল বা সংশোধিত বলছেন, তিনি সেই ভুল বা correction-এর আইনগত source কোথায় প্রমাণ করেছেন?'</w:t>
      </w:r>
    </w:p>
    <w:p>
      <w:r>
        <w:rPr>
          <w:rFonts w:ascii="Kalpurush" w:cs="Kalpurush" w:eastAsia="Kalpurush" w:hAnsi="Kalpurush"/>
        </w:rPr>
        <w:t xml:space="preserve"/>
      </w:r>
    </w:p>
    <w:p>
      <w:r>
        <w:rPr>
          <w:rFonts w:ascii="Kalpurush" w:cs="Kalpurush" w:eastAsia="Kalpurush" w:hAnsi="Kalpurush"/>
          <w:sz w:val="20"/>
          <w:szCs w:val="20"/>
        </w:rPr>
        <w:t xml:space="preserve">*আমাদের বিনীত বক্তব্য — প্রয়োজনীয় primary and reliable documentary evidence সেখানে অনুপস্থিত।*</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শুনানিতে ৫ মিনিটের সরাসরি পাঠযোগ্য রোডম্যাপ (5-Minute Oral Script)</w:t>
      </w:r>
    </w:p>
    <w:p>
      <w:r>
        <w:rPr>
          <w:rFonts w:ascii="Kalpurush" w:cs="Kalpurush" w:eastAsia="Kalpurush" w:hAnsi="Kalpurush"/>
        </w:rPr>
        <w:t xml:space="preserve"/>
      </w:r>
    </w:p>
    <w:p>
      <w:r>
        <w:rPr>
          <w:rFonts w:ascii="Kalpurush" w:cs="Kalpurush" w:eastAsia="Kalpurush" w:hAnsi="Kalpurush"/>
          <w:b/>
          <w:bCs/>
          <w:sz w:val="20"/>
          <w:szCs w:val="20"/>
        </w:rPr>
        <w:t xml:space="preserve">১. ১ম মিনিট (The Legal Starting Point &amp; Chronology):</w:t>
      </w:r>
    </w:p>
    <w:p>
      <w:pPr>
        <w:ind w:left="720"/>
      </w:pPr>
      <w:r>
        <w:rPr>
          <w:rFonts w:ascii="Kalpurush" w:cs="Kalpurush" w:eastAsia="Kalpurush" w:hAnsi="Kalpurush"/>
          <w:i/>
          <w:iCs/>
          <w:sz w:val="20"/>
          <w:szCs w:val="20"/>
        </w:rPr>
        <w:t xml:space="preserve">*মহামান্য আদালত, আমাদের দাবি আব্দুল করিমের কথিত পত্তন থেকে derivative নয়। CS ২ নং খতিয়ানে নালিশী জমি কোনো ব্যক্তিগত রায়তি নামে রেকর্ডভুক্ত ছিল না; জমিটি নবাব এস্টেটের খাস হিসেবে প্রতিফলিত। ১৯৫২ সালের State Acquisition-এর পর ১৯৫৬–১৯৬২ সালের SA জরিপ কার্যক্রমে রাষ্ট্র আব্দুল আলীকে ১৬ আনা একক রায়ত হিসেবে রেকর্ড করে এবং সেই Record চূড়ান্তভাবে প্রকাশিত হয়। বর্তমানে জেলা Settlement Record Room-এ সংরক্ষিত সইমোহরি SA ২৩৮ record remains unchanged (অপরিবর্তিত রহিয়াছে)।*</w:t>
      </w:r>
    </w:p>
    <w:p>
      <w:r>
        <w:rPr>
          <w:rFonts w:ascii="Kalpurush" w:cs="Kalpurush" w:eastAsia="Kalpurush" w:hAnsi="Kalpurush"/>
        </w:rPr>
        <w:t xml:space="preserve"/>
      </w:r>
    </w:p>
    <w:p>
      <w:r>
        <w:rPr>
          <w:rFonts w:ascii="Kalpurush" w:cs="Kalpurush" w:eastAsia="Kalpurush" w:hAnsi="Kalpurush"/>
          <w:b/>
          <w:bCs/>
          <w:sz w:val="20"/>
          <w:szCs w:val="20"/>
        </w:rPr>
        <w:t xml:space="preserve">২. ২য় মিনিট (The Statutory Presumption &amp; Legal Formulation):</w:t>
      </w:r>
    </w:p>
    <w:p>
      <w:pPr>
        <w:ind w:left="720"/>
      </w:pPr>
      <w:r>
        <w:rPr>
          <w:rFonts w:ascii="Kalpurush" w:cs="Kalpurush" w:eastAsia="Kalpurush" w:hAnsi="Kalpurush"/>
          <w:i/>
          <w:iCs/>
          <w:sz w:val="20"/>
          <w:szCs w:val="20"/>
        </w:rPr>
        <w:t xml:space="preserve">*We do not say that a finally published SA record can never be wrong. We say that the party alleging the error or subsequent correction must prove it by reliable evidence. (বঙ্গানুবাদ: আমরা বলছি না যে চূড়ান্তভাবে প্রকাশিত এসএ রেকর্ড কখনো ভুল হতে পারে না। আমরা বলছি যে পক্ষ ভুল বা পরবর্তী সংশোধন দাবি করছে, তাকেই নির্ভরযোগ্য সাক্ষ্য দ্বারা তা প্রমাণ করতে হবে।) SAT Act-এর ধারা ১৪৪A অনুযায়ী Record of Rights-এর presumption হলো rebuttable; কিন্তু সেই অনুমান খণ্ডন করিতে হইলে challenger-কে positive ও reliable evidence দাখিল করিতে হইবে (50 DLR 186; 56 DLR (AD) 53; 10 BLT (AD) 105)। বাদীপক্ষ সইমোহরি খতিয়ান (প্রদর্শনী-৪) দাখিল করিয়া Initial Burden সম্পূর্ণ পূরণ করিয়াছে।*</w:t>
      </w:r>
    </w:p>
    <w:p>
      <w:r>
        <w:rPr>
          <w:rFonts w:ascii="Kalpurush" w:cs="Kalpurush" w:eastAsia="Kalpurush" w:hAnsi="Kalpurush"/>
        </w:rPr>
        <w:t xml:space="preserve"/>
      </w:r>
    </w:p>
    <w:p>
      <w:r>
        <w:rPr>
          <w:rFonts w:ascii="Kalpurush" w:cs="Kalpurush" w:eastAsia="Kalpurush" w:hAnsi="Kalpurush"/>
          <w:b/>
          <w:bCs/>
          <w:sz w:val="20"/>
          <w:szCs w:val="20"/>
        </w:rPr>
        <w:t xml:space="preserve">৩. ৩য় মিনিট (The Missing Foundation — The Central Question):</w:t>
      </w:r>
    </w:p>
    <w:p>
      <w:pPr>
        <w:ind w:left="720"/>
      </w:pPr>
      <w:r>
        <w:rPr>
          <w:rFonts w:ascii="Kalpurush" w:cs="Kalpurush" w:eastAsia="Kalpurush" w:hAnsi="Kalpurush"/>
          <w:i/>
          <w:iCs/>
          <w:sz w:val="20"/>
          <w:szCs w:val="20"/>
        </w:rPr>
        <w:t xml:space="preserve">*মহামান্য আদালত, বিবাদীপক্ষ AC Land ভলিউমের এন্ট্রি দেখাইয়াছে — কিন্তু যে আদেশের ভিত্তিতে entry-টি allegedly তৈরি, সেই আদেশ কোথায়? কথিত ১১৮১/১৯৬৯ Misc Case-এর existence, contents, jurisdiction, notice, implementation এবং সংশোধিত খতিয়ান — এই ছয়টির কোনো প্রাতিষ্ঠানিক প্রমাণ রেকর্ডে নাই। A consequential revenue entry, standing alone and without proof of its legal source, cannot displace the statutory presumption attached to a finally published SA record. (বঙ্গানুবাদ: আইনগত উৎস প্রমাণ ব্যতীত কোনো রাজস্ব এন্ট্রি এককভাবে চূড়ান্ত প্রকাশিত এসএ রেকর্ডের সংবিধিবদ্ধ অনুমানকে বাতিল করিতে পারে না; 53 DLR 19; 27 BLD 544)।*</w:t>
      </w:r>
    </w:p>
    <w:p>
      <w:r>
        <w:rPr>
          <w:rFonts w:ascii="Kalpurush" w:cs="Kalpurush" w:eastAsia="Kalpurush" w:hAnsi="Kalpurush"/>
        </w:rPr>
        <w:t xml:space="preserve"/>
      </w:r>
    </w:p>
    <w:p>
      <w:r>
        <w:rPr>
          <w:rFonts w:ascii="Kalpurush" w:cs="Kalpurush" w:eastAsia="Kalpurush" w:hAnsi="Kalpurush"/>
          <w:b/>
          <w:bCs/>
          <w:sz w:val="20"/>
          <w:szCs w:val="20"/>
        </w:rPr>
        <w:t xml:space="preserve">৪. ৪র্থ মিনিট (The Fatal Contradiction — 1975 Registered Deed):</w:t>
      </w:r>
    </w:p>
    <w:p>
      <w:pPr>
        <w:ind w:left="720"/>
      </w:pPr>
      <w:r>
        <w:rPr>
          <w:rFonts w:ascii="Kalpurush" w:cs="Kalpurush" w:eastAsia="Kalpurush" w:hAnsi="Kalpurush"/>
          <w:i/>
          <w:iCs/>
          <w:sz w:val="20"/>
          <w:szCs w:val="20"/>
        </w:rPr>
        <w:t xml:space="preserve">*বিবাদীদের তলবকৃত AC Land ভলিউমে এবং সাক্ষীদের জেরায় SA ২৩৮ খতিয়ানে কেবল ১টি দাগের (১২৫৯ দাগ) কথা বলা হইয়াছে — তাও দাগের মোট পরিমাণের চেয়ে ৯ শতাংশ বেশি ভুল পরিমাপে। অথচ তাহাদের নিজেদেরই সম্পাদিত ও রেজিস্ট্রিকৃত ৩৫৯৬/১৯৭৫ নং দলিলে (Exhibit Kha-1) SA ২৩৮ খতিয়ানের অধীনে ১টি নহে, বরং ৬টি দাগের বর্ণনা রহিয়াছে! If the alleged 1969 correction had reduced the SA 238 holding to one dag, why does the respondents' own registered deed of 1975 describe six dags under the same khatian? (বঙ্গানুবাদ: যদি কথিত ১৯৬৯ সালের সংশোধনে এসএ ২৩৮ খতিয়ানভুক্ত জমি একটি দাগে সীমাবদ্ধ হয়ে থাকে, তবে ১৯৭৫ সালে বিবাদীদের নিজেদের রেজিস্ট্রিকৃত দলিলে একই খতিয়ানের অধীনে ছয়টি দাগের বর্ণনা কেন?) এই অখণ্ডনীয় দালিলিক বৈপরীত্য কথিত সংশোধন তত্ত্বের গ্রহণযোগ্যতা সম্পর্কে গুরুতর সন্দেহ সৃষ্টি করে।*</w:t>
      </w:r>
    </w:p>
    <w:p>
      <w:r>
        <w:rPr>
          <w:rFonts w:ascii="Kalpurush" w:cs="Kalpurush" w:eastAsia="Kalpurush" w:hAnsi="Kalpurush"/>
        </w:rPr>
        <w:t xml:space="preserve"/>
      </w:r>
    </w:p>
    <w:p>
      <w:r>
        <w:rPr>
          <w:rFonts w:ascii="Kalpurush" w:cs="Kalpurush" w:eastAsia="Kalpurush" w:hAnsi="Kalpurush"/>
          <w:b/>
          <w:bCs/>
          <w:sz w:val="20"/>
          <w:szCs w:val="20"/>
        </w:rPr>
        <w:t xml:space="preserve">৫. ৫ম মিনিট (The Structural Errors &amp; Prayer):</w:t>
      </w:r>
    </w:p>
    <w:p>
      <w:pPr>
        <w:ind w:left="720"/>
      </w:pPr>
      <w:r>
        <w:rPr>
          <w:rFonts w:ascii="Kalpurush" w:cs="Kalpurush" w:eastAsia="Kalpurush" w:hAnsi="Kalpurush"/>
          <w:i/>
          <w:iCs/>
          <w:sz w:val="20"/>
          <w:szCs w:val="20"/>
        </w:rPr>
        <w:t xml:space="preserve">*বিজ্ঞ ট্রায়াল কোর্ট চারটি মৌলিক ভুল করিয়াছেন: (১) আব্দুল করিমের মূল স্বত্বের দালিলিক প্রমাণ ছাড়াই অনুমান গ্রহণ করিয়াছেন, (২) অপ্রমাণিত Misc Case-এর আইনি ফলাফল প্রতিষ্ঠিত ধরে নিয়েছেন, (৩) সহকারী কমিশনার (ভূমি) অফিসের রাজস্ব ভলিউম এন্ট্রিকে মূল রেকর্ড রুমের সংবিধিবদ্ধ রেকর্ডের উপরে স্থান দিয়েছেন, এবং (৪) নিজস্ব দলিলের অখণ্ডনীয় বৈপরীত্য ও গাণিতিক অসামঞ্জস্য বিবেচনায় নেননি। অতএব ট্রায়াল কোর্টের খারিজ রায় বাতিল করিয়া বাদীদের অনুকূলে প্রাথমিক ডিক্রি (Preliminary Decree) প্রদানই ন্যায়বিচারের একমাত্র দাবি।'*</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 বিজ্ঞ বিচারিক আদালতের খারিজ সিদ্ধান্তের সংক্ষিপ্ত রূপরেখা</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*বিজ্ঞ বিচারিক আদালত মূলত কয়েকটি ভুল ধারণার বশবর্তী হইয়া বাদীপক্ষের বাটোয়ারা মামলাটি খারিজ করিয়াছেন:*</w:t>
      </w:r>
    </w:p>
    <w:p>
      <w:r>
        <w:rPr>
          <w:rFonts w:ascii="Kalpurush" w:cs="Kalpurush" w:eastAsia="Kalpurush" w:hAnsi="Kalpurush"/>
          <w:sz w:val="20"/>
          <w:szCs w:val="20"/>
        </w:rPr>
        <w:t xml:space="preserve">*১. তিনি ধরে নিয়েছেন যে আব্দুল করিম ১৯৩৪ সালের কথিত পত্তনমূলে নালিশী জমির মূল রায়ত ছিলেন এবং উত্তরাধিকারসূত্রে সোনাভানু স্বত্ব লাভ করিয়াছেন — যদিও ইহার কোনো প্রাথমিক দালিলিক প্রমাণ রেকর্ডে দাখিল হয় নাই।*</w:t>
      </w:r>
    </w:p>
    <w:p>
      <w:r>
        <w:rPr>
          <w:rFonts w:ascii="Kalpurush" w:cs="Kalpurush" w:eastAsia="Kalpurush" w:hAnsi="Kalpurush"/>
          <w:sz w:val="20"/>
          <w:szCs w:val="20"/>
        </w:rPr>
        <w:t xml:space="preserve">*২. তিনি ধরে নিয়েছেন যে ১৯৬৯ সালের ১১৮১ নং Misc Case-এর মাধ্যমে SA ২৩৮ খতিয়ান সংশোধিত হইয়া সোনাভানুর স্বত্ব প্রতিষ্ঠিত হইয়াছে — যদিও উক্ত মামলার কোনো আদেশনামা, রায় বা ডিক্রি আদালতে দাখিল হয় নাই।*</w:t>
      </w:r>
    </w:p>
    <w:p>
      <w:r>
        <w:rPr>
          <w:rFonts w:ascii="Kalpurush" w:cs="Kalpurush" w:eastAsia="Kalpurush" w:hAnsi="Kalpurush"/>
          <w:sz w:val="20"/>
          <w:szCs w:val="20"/>
        </w:rPr>
        <w:t xml:space="preserve">*৩. তিনি সখিপুর AC Land অফিসের রাজস্ব ভলিউমে থাকা একটি ব্যাখ্যাহীন এন্ট্রির উপর নির্ভর করিয়া জেলা রেকর্ড রুমের চূড়ান্ত প্রকাশিত সংবিধিবদ্ধ রেকর্ডকে অপ্রমাণিত ধরে নিয়েছেন এবং একই দাগে সরকারি খাস জমি থাকাকে Hotchpot defect গণ্য করিয়াছেন।*</w:t>
      </w:r>
    </w:p>
    <w:p>
      <w:r>
        <w:rPr>
          <w:rFonts w:ascii="Kalpurush" w:cs="Kalpurush" w:eastAsia="Kalpurush" w:hAnsi="Kalpurush"/>
        </w:rPr>
        <w:t xml:space="preserve"/>
      </w:r>
    </w:p>
    <w:p>
      <w:r>
        <w:rPr>
          <w:rFonts w:ascii="Kalpurush" w:cs="Kalpurush" w:eastAsia="Kalpurush" w:hAnsi="Kalpurush"/>
          <w:sz w:val="20"/>
          <w:szCs w:val="20"/>
        </w:rPr>
        <w:t xml:space="preserve">*নিম্নে প্রতিটি সিদ্ধান্তের বিপরীতে দালিলিক ও আইনি খণ্ডন পেশ করিতেছি।"*</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II. SA ২৩৮ নং খতিয়ান: প্রারম্ভিক ভিত্তি ও ধারা ১৪৪A-এর সংবিধিবদ্ধ অনুমান</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*বর্তমান মামলার বিচারিক সূচনা বিন্দু (Starting Point) হইল রাষ্ট্রের চূড়ান্তভাবে প্রকাশিত SA ২৩৮ নং খতিয়ান (প্রদর্শনী-৪)।*</w:t>
      </w:r>
    </w:p>
    <w:p>
      <w:r>
        <w:rPr>
          <w:rFonts w:ascii="Kalpurush" w:cs="Kalpurush" w:eastAsia="Kalpurush" w:hAnsi="Kalpurush"/>
        </w:rPr>
        <w:t xml:space="preserve"/>
      </w:r>
    </w:p>
    <w:p>
      <w:r>
        <w:rPr>
          <w:rFonts w:ascii="Kalpurush" w:cs="Kalpurush" w:eastAsia="Kalpurush" w:hAnsi="Kalpurush"/>
          <w:sz w:val="20"/>
          <w:szCs w:val="20"/>
        </w:rPr>
        <w:t xml:space="preserve">*আমরা বলছি না SA ২৩৮ নিজে title সৃষ্টি করেছে। আমরা বলছি — বর্তমান record অনুযায়ী রাষ্ট্রের final Record of Rights-এ আব্দুল আলীকে ১৬ আনা একক রায়ত হিসেবে record করা হয়েছে। SAT Act, 1950-এর Section 144A অনুযায়ী চূড়ান্তভাবে প্রকাশিত খতিয়ানের পেছনে সংবিধিবদ্ধ নির্ভুলতার অনুমান (Statutory Presumption of Correctness) বিদ্যমান। বাদীপক্ষ জেলা রেকর্ড রুমের সইমোহরি কপি দাখিল করিয়া স্বত্বের প্রাথমিক দালিলিক ভিত্তি সম্পূর্ণরূপে প্রতিষ্ঠিত করিয়াছে।*</w:t>
      </w:r>
    </w:p>
    <w:p>
      <w:r>
        <w:rPr>
          <w:rFonts w:ascii="Kalpurush" w:cs="Kalpurush" w:eastAsia="Kalpurush" w:hAnsi="Kalpurush"/>
        </w:rPr>
        <w:t xml:space="preserve"/>
      </w:r>
    </w:p>
    <w:p>
      <w:r>
        <w:rPr>
          <w:rFonts w:ascii="Kalpurush" w:cs="Kalpurush" w:eastAsia="Kalpurush" w:hAnsi="Kalpurush"/>
          <w:sz w:val="20"/>
          <w:szCs w:val="20"/>
        </w:rPr>
        <w:t xml:space="preserve">*এখানে মহামান্য আদালতের সদয় অবগতির জন্য সুপ্রিম কোর্টের সুপ্রতিষ্ঠিত সিদ্ধান্ত উদ্ধৃত করিতেছি —*</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Dayal Chandra Mondal vs. Assistant Custodian, 50 DLR 186:</w:t>
      </w:r>
    </w:p>
    <w:p>
      <w:pPr>
        <w:ind w:left="720"/>
      </w:pPr>
      <w:r>
        <w:rPr>
          <w:rFonts w:ascii="Kalpurush" w:cs="Kalpurush" w:eastAsia="Kalpurush" w:hAnsi="Kalpurush"/>
          <w:i/>
          <w:iCs/>
          <w:sz w:val="20"/>
          <w:szCs w:val="20"/>
        </w:rPr>
        <w:t xml:space="preserve">*"A record of rights finally published and revised under section 144A of the S.A.T. Act has a presumption of correctness and that presumption continues till it is rebutted by reliable evidence."*</w:t>
      </w:r>
    </w:p>
    <w:p>
      <w:pPr>
        <w:ind w:left="720"/>
      </w:pPr>
      <w:r>
        <w:rPr>
          <w:rFonts w:ascii="Kalpurush" w:cs="Kalpurush" w:eastAsia="Kalpurush" w:hAnsi="Kalpurush"/>
          <w:i/>
          <w:iCs/>
          <w:sz w:val="20"/>
          <w:szCs w:val="20"/>
        </w:rPr>
        <w:t xml:space="preserve">*(বঙ্গানুবাদ: "এস.এ.টি. আইনের ১৪৪A ধারার অধীনে চূড়ান্তভাবে প্রকাশিত ও সংশোধিত খতিয়ানের পেছনে সংবিধিবদ্ধ নির্ভুলতার অনুমান বিদ্যমান এবং নির্ভরযোগ্য সাক্ষ্য দ্বারা খণ্ডন না হওয়া পর্যন্ত সেই অনুমান অব্যাহত থাকে।")*</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Government of Bangladesh vs. AKM Abdul Hye, 56 DLR (AD) 53:</w:t>
      </w:r>
    </w:p>
    <w:p>
      <w:pPr>
        <w:ind w:left="720"/>
      </w:pPr>
      <w:r>
        <w:rPr>
          <w:rFonts w:ascii="Kalpurush" w:cs="Kalpurush" w:eastAsia="Kalpurush" w:hAnsi="Kalpurush"/>
          <w:i/>
          <w:iCs/>
          <w:sz w:val="20"/>
          <w:szCs w:val="20"/>
        </w:rPr>
        <w:t xml:space="preserve">*"Records of rights prepared under the State Acquisition and Tenancy Act carry a statutory presumption of correctness which must be rebutted by positive and reliable evidence by the party asserting otherwise."*</w:t>
      </w:r>
    </w:p>
    <w:p>
      <w:pPr>
        <w:ind w:left="720"/>
      </w:pPr>
      <w:r>
        <w:rPr>
          <w:rFonts w:ascii="Kalpurush" w:cs="Kalpurush" w:eastAsia="Kalpurush" w:hAnsi="Kalpurush"/>
          <w:i/>
          <w:iCs/>
          <w:sz w:val="20"/>
          <w:szCs w:val="20"/>
        </w:rPr>
        <w:t xml:space="preserve">*(বঙ্গানুবাদ: "স্টেট একুইজিশন অ্যান্ড প্রজাস্বত্ব আইনের অধীনে প্রস্তুতকৃত খতিয়ান সংবিধিবদ্ধ নির্ভুলতার অনুমান বহন করে, যা বিপরীত দাবিদার পক্ষকে ইতিবাচক ও নির্ভরযোগ্য সাক্ষ্য দ্বারা খণ্ডন করতে হবে।")*</w:t>
      </w:r>
    </w:p>
    <w:p>
      <w:r>
        <w:rPr>
          <w:rFonts w:ascii="Kalpurush" w:cs="Kalpurush" w:eastAsia="Kalpurush" w:hAnsi="Kalpurush"/>
        </w:rPr>
        <w:t xml:space="preserve"/>
      </w:r>
    </w:p>
    <w:p>
      <w:r>
        <w:rPr>
          <w:rFonts w:ascii="Kalpurush" w:cs="Kalpurush" w:eastAsia="Kalpurush" w:hAnsi="Kalpurush"/>
          <w:sz w:val="20"/>
          <w:szCs w:val="20"/>
        </w:rPr>
        <w:t xml:space="preserve">*অতএব মহামান্য আদালত, সুনির্দিষ্ট ও পরিমিত আইনি অবস্থান হইল:*</w:t>
      </w:r>
    </w:p>
    <w:p>
      <w:pPr>
        <w:ind w:left="720"/>
      </w:pPr>
      <w:r>
        <w:rPr>
          <w:rFonts w:ascii="Kalpurush" w:cs="Kalpurush" w:eastAsia="Kalpurush" w:hAnsi="Kalpurush"/>
          <w:b/>
          <w:bCs/>
          <w:i/>
          <w:iCs/>
          <w:sz w:val="20"/>
          <w:szCs w:val="20"/>
        </w:rPr>
        <w:t xml:space="preserve">'SA 238 is presumptively correct; it is rebuttable, but it must be rebutted by reliable evidence — not merely by assertion.'</w:t>
      </w:r>
    </w:p>
    <w:p>
      <w:pPr>
        <w:ind w:left="720"/>
      </w:pPr>
      <w:r>
        <w:rPr>
          <w:rFonts w:ascii="Kalpurush" w:cs="Kalpurush" w:eastAsia="Kalpurush" w:hAnsi="Kalpurush"/>
          <w:i/>
          <w:iCs/>
          <w:sz w:val="20"/>
          <w:szCs w:val="20"/>
        </w:rPr>
        <w:t xml:space="preserve">*(বঙ্গানুবাদ: "এসএ ২৩৮ খতিয়ান আইনত সঠিক বলে অনুমিত; ইহা খণ্ডনযোগ্য, তবে কেবল মৌখিক দাবি দিয়ে নয়, নির্ভরযোগ্য সাক্ষ্য দ্বারাই ইহাকে খণ্ডন করিতে হইবে।")*"*</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III. কথিত ১৯৬৯ সালের Misc Case: Missing Legal Source &amp; The Six Foundational Questions</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*বিবাদীপক্ষের বর্তমান অবস্থান অনুযায়ী ১৯৬৯ সালের ১১৮১ নং Misc Case-ই allegedly SA position পরিবর্তনের legal source।*</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'Before accepting the alleged correction, the Court must identify the legal instrument by which the correction occurred.'</w:t>
      </w:r>
    </w:p>
    <w:p>
      <w:pPr>
        <w:ind w:left="720"/>
      </w:pPr>
      <w:r>
        <w:rPr>
          <w:rFonts w:ascii="Kalpurush" w:cs="Kalpurush" w:eastAsia="Kalpurush" w:hAnsi="Kalpurush"/>
          <w:i/>
          <w:iCs/>
          <w:sz w:val="20"/>
          <w:szCs w:val="20"/>
        </w:rPr>
        <w:t xml:space="preserve">*(বঙ্গানুবাদ: "কথিত সংশোধনকে গ্রহণ করার পূর্বে আদালতকে অবশ্যই সনাক্ত করিতে হইবে কোন আইনি দলিলের মাধ্যমে উক্ত সংশোধন সংঘটিত হইয়াছিল।")*</w:t>
      </w:r>
    </w:p>
    <w:p>
      <w:r>
        <w:rPr>
          <w:rFonts w:ascii="Kalpurush" w:cs="Kalpurush" w:eastAsia="Kalpurush" w:hAnsi="Kalpurush"/>
        </w:rPr>
        <w:t xml:space="preserve"/>
      </w:r>
    </w:p>
    <w:p>
      <w:r>
        <w:rPr>
          <w:rFonts w:ascii="Kalpurush" w:cs="Kalpurush" w:eastAsia="Kalpurush" w:hAnsi="Kalpurush"/>
          <w:sz w:val="20"/>
          <w:szCs w:val="20"/>
        </w:rPr>
        <w:t xml:space="preserve">*তাহলে আমাদের কেন্দ্রীয় প্রশ্ন:*</w:t>
      </w:r>
    </w:p>
    <w:p>
      <w:pPr>
        <w:ind w:left="720"/>
      </w:pPr>
      <w:r>
        <w:rPr>
          <w:rFonts w:ascii="Kalpurush" w:cs="Kalpurush" w:eastAsia="Kalpurush" w:hAnsi="Kalpurush"/>
          <w:b/>
          <w:bCs/>
          <w:i/>
          <w:iCs/>
          <w:sz w:val="20"/>
          <w:szCs w:val="20"/>
        </w:rPr>
        <w:t xml:space="preserve">'মহামান্য আদালত, AC Land volume entry দেখানো হয়েছে — কিন্তু যে আদেশের ভিত্তিতে entry-টি allegedly তৈরি, সেই আদেশ কোথায়?'</w:t>
      </w:r>
    </w:p>
    <w:p>
      <w:r>
        <w:rPr>
          <w:rFonts w:ascii="Kalpurush" w:cs="Kalpurush" w:eastAsia="Kalpurush" w:hAnsi="Kalpurush"/>
        </w:rPr>
        <w:t xml:space="preserve"/>
      </w:r>
    </w:p>
    <w:p>
      <w:r>
        <w:rPr>
          <w:rFonts w:ascii="Kalpurush" w:cs="Kalpurush" w:eastAsia="Kalpurush" w:hAnsi="Kalpurush"/>
          <w:sz w:val="20"/>
          <w:szCs w:val="20"/>
        </w:rPr>
        <w:t xml:space="preserve">*আদালতের সামনে এই ছয়টি মৌলিক প্রমাণের সম্পূর্ণ অনুপস্থিতি বিদ্যমান:*</w:t>
      </w:r>
    </w:p>
    <w:p>
      <w:r>
        <w:rPr>
          <w:rFonts w:ascii="Kalpurush" w:cs="Kalpurush" w:eastAsia="Kalpurush" w:hAnsi="Kalpurush"/>
          <w:sz w:val="20"/>
          <w:szCs w:val="20"/>
        </w:rPr>
        <w:t xml:space="preserve">*১. </w:t>
      </w:r>
      <w:r>
        <w:rPr>
          <w:rFonts w:ascii="Kalpurush" w:cs="Kalpurush" w:eastAsia="Kalpurush" w:hAnsi="Kalpurush"/>
          <w:b/>
          <w:bCs/>
          <w:sz w:val="20"/>
          <w:szCs w:val="20"/>
        </w:rPr>
        <w:t xml:space="preserve">Existence</w:t>
      </w:r>
      <w:r>
        <w:rPr>
          <w:rFonts w:ascii="Kalpurush" w:cs="Kalpurush" w:eastAsia="Kalpurush" w:hAnsi="Kalpurush"/>
          <w:sz w:val="20"/>
          <w:szCs w:val="20"/>
        </w:rPr>
        <w:t xml:space="preserve"> (আদেশটি আদৌ অস্তিত্বশীল ছিল কি?)*</w:t>
      </w:r>
    </w:p>
    <w:p>
      <w:r>
        <w:rPr>
          <w:rFonts w:ascii="Kalpurush" w:cs="Kalpurush" w:eastAsia="Kalpurush" w:hAnsi="Kalpurush"/>
          <w:sz w:val="20"/>
          <w:szCs w:val="20"/>
        </w:rPr>
        <w:t xml:space="preserve">*২. </w:t>
      </w:r>
      <w:r>
        <w:rPr>
          <w:rFonts w:ascii="Kalpurush" w:cs="Kalpurush" w:eastAsia="Kalpurush" w:hAnsi="Kalpurush"/>
          <w:b/>
          <w:bCs/>
          <w:sz w:val="20"/>
          <w:szCs w:val="20"/>
        </w:rPr>
        <w:t xml:space="preserve">Contents</w:t>
      </w:r>
      <w:r>
        <w:rPr>
          <w:rFonts w:ascii="Kalpurush" w:cs="Kalpurush" w:eastAsia="Kalpurush" w:hAnsi="Kalpurush"/>
          <w:sz w:val="20"/>
          <w:szCs w:val="20"/>
        </w:rPr>
        <w:t xml:space="preserve"> (আদেশটির সুনির্দিষ্ট বিষয়বস্তু ও শর্তাবলী কী ছিল?)*</w:t>
      </w:r>
    </w:p>
    <w:p>
      <w:r>
        <w:rPr>
          <w:rFonts w:ascii="Kalpurush" w:cs="Kalpurush" w:eastAsia="Kalpurush" w:hAnsi="Kalpurush"/>
          <w:sz w:val="20"/>
          <w:szCs w:val="20"/>
        </w:rPr>
        <w:t xml:space="preserve">*৩. </w:t>
      </w:r>
      <w:r>
        <w:rPr>
          <w:rFonts w:ascii="Kalpurush" w:cs="Kalpurush" w:eastAsia="Kalpurush" w:hAnsi="Kalpurush"/>
          <w:b/>
          <w:bCs/>
          <w:sz w:val="20"/>
          <w:szCs w:val="20"/>
        </w:rPr>
        <w:t xml:space="preserve">Jurisdiction</w:t>
      </w:r>
      <w:r>
        <w:rPr>
          <w:rFonts w:ascii="Kalpurush" w:cs="Kalpurush" w:eastAsia="Kalpurush" w:hAnsi="Kalpurush"/>
          <w:sz w:val="20"/>
          <w:szCs w:val="20"/>
        </w:rPr>
        <w:t xml:space="preserve"> (কোন এখতিয়ারে আদেশটি প্রদান করা হইয়াছিল?)*</w:t>
      </w:r>
    </w:p>
    <w:p>
      <w:r>
        <w:rPr>
          <w:rFonts w:ascii="Kalpurush" w:cs="Kalpurush" w:eastAsia="Kalpurush" w:hAnsi="Kalpurush"/>
          <w:sz w:val="20"/>
          <w:szCs w:val="20"/>
        </w:rPr>
        <w:t xml:space="preserve">*৪. </w:t>
      </w:r>
      <w:r>
        <w:rPr>
          <w:rFonts w:ascii="Kalpurush" w:cs="Kalpurush" w:eastAsia="Kalpurush" w:hAnsi="Kalpurush"/>
          <w:b/>
          <w:bCs/>
          <w:sz w:val="20"/>
          <w:szCs w:val="20"/>
        </w:rPr>
        <w:t xml:space="preserve">Notice</w:t>
      </w:r>
      <w:r>
        <w:rPr>
          <w:rFonts w:ascii="Kalpurush" w:cs="Kalpurush" w:eastAsia="Kalpurush" w:hAnsi="Kalpurush"/>
          <w:sz w:val="20"/>
          <w:szCs w:val="20"/>
        </w:rPr>
        <w:t xml:space="preserve"> (রেকর্ডভুক্ত প্রজা আব্দুল আলীকে নোটিশ প্রদান করা হইয়াছিল কি?)*</w:t>
      </w:r>
    </w:p>
    <w:p>
      <w:r>
        <w:rPr>
          <w:rFonts w:ascii="Kalpurush" w:cs="Kalpurush" w:eastAsia="Kalpurush" w:hAnsi="Kalpurush"/>
          <w:sz w:val="20"/>
          <w:szCs w:val="20"/>
        </w:rPr>
        <w:t xml:space="preserve">*৫. </w:t>
      </w:r>
      <w:r>
        <w:rPr>
          <w:rFonts w:ascii="Kalpurush" w:cs="Kalpurush" w:eastAsia="Kalpurush" w:hAnsi="Kalpurush"/>
          <w:b/>
          <w:bCs/>
          <w:sz w:val="20"/>
          <w:szCs w:val="20"/>
        </w:rPr>
        <w:t xml:space="preserve">Implementation</w:t>
      </w:r>
      <w:r>
        <w:rPr>
          <w:rFonts w:ascii="Kalpurush" w:cs="Kalpurush" w:eastAsia="Kalpurush" w:hAnsi="Kalpurush"/>
          <w:sz w:val="20"/>
          <w:szCs w:val="20"/>
        </w:rPr>
        <w:t xml:space="preserve"> (সেই আদেশের ভিত্তিতে SA ২৩৮ কীভাবে আইনসম্মতভাবে Register of Alterations-এ পরিবর্তিত হইল?)*</w:t>
      </w:r>
    </w:p>
    <w:p>
      <w:r>
        <w:rPr>
          <w:rFonts w:ascii="Kalpurush" w:cs="Kalpurush" w:eastAsia="Kalpurush" w:hAnsi="Kalpurush"/>
          <w:sz w:val="20"/>
          <w:szCs w:val="20"/>
        </w:rPr>
        <w:t xml:space="preserve">*৬. </w:t>
      </w:r>
      <w:r>
        <w:rPr>
          <w:rFonts w:ascii="Kalpurush" w:cs="Kalpurush" w:eastAsia="Kalpurush" w:hAnsi="Kalpurush"/>
          <w:b/>
          <w:bCs/>
          <w:sz w:val="20"/>
          <w:szCs w:val="20"/>
        </w:rPr>
        <w:t xml:space="preserve">Corrected Khatian</w:t>
      </w:r>
      <w:r>
        <w:rPr>
          <w:rFonts w:ascii="Kalpurush" w:cs="Kalpurush" w:eastAsia="Kalpurush" w:hAnsi="Kalpurush"/>
          <w:sz w:val="20"/>
          <w:szCs w:val="20"/>
        </w:rPr>
        <w:t xml:space="preserve"> (সংশোধিত SA ২৩৮ নং খতিয়ানের সইমোহরি কপি কোথায়?)*</w:t>
      </w:r>
    </w:p>
    <w:p>
      <w:r>
        <w:rPr>
          <w:rFonts w:ascii="Kalpurush" w:cs="Kalpurush" w:eastAsia="Kalpurush" w:hAnsi="Kalpurush"/>
        </w:rPr>
        <w:t xml:space="preserve"/>
      </w:r>
    </w:p>
    <w:p>
      <w:r>
        <w:rPr>
          <w:rFonts w:ascii="Kalpurush" w:cs="Kalpurush" w:eastAsia="Kalpurush" w:hAnsi="Kalpurush"/>
          <w:sz w:val="20"/>
          <w:szCs w:val="20"/>
        </w:rPr>
        <w:t xml:space="preserve">*বিবাদীপক্ষ যদি দাবি করে যে আদেশের মাধ্যমে রেকর্ড সংশোধন হইয়াছে, তবে সেই আদেশ ও সংশোধিত খতিয়ান প্রদর্শন করা তাহাদের প্রাথমিক দায়িত্ব ছিল।*</w:t>
      </w:r>
    </w:p>
    <w:p>
      <w:r>
        <w:rPr>
          <w:rFonts w:ascii="Kalpurush" w:cs="Kalpurush" w:eastAsia="Kalpurush" w:hAnsi="Kalpurush"/>
        </w:rPr>
        <w:t xml:space="preserve"/>
      </w:r>
    </w:p>
    <w:p>
      <w:r>
        <w:rPr>
          <w:rFonts w:ascii="Kalpurush" w:cs="Kalpurush" w:eastAsia="Kalpurush" w:hAnsi="Kalpurush"/>
          <w:sz w:val="20"/>
          <w:szCs w:val="20"/>
        </w:rPr>
        <w:t xml:space="preserve">*সাক্ষ্যগত যুক্তির ভিত্তি (Evidentiary Logic) হইল —*</w:t>
      </w:r>
    </w:p>
    <w:p>
      <w:pPr>
        <w:ind w:left="720"/>
      </w:pPr>
      <w:r>
        <w:rPr>
          <w:rFonts w:ascii="Kalpurush" w:cs="Kalpurush" w:eastAsia="Kalpurush" w:hAnsi="Kalpurush"/>
          <w:b/>
          <w:bCs/>
          <w:i/>
          <w:iCs/>
          <w:sz w:val="20"/>
          <w:szCs w:val="20"/>
        </w:rPr>
        <w:t xml:space="preserve">'We are not asking the Court to assume that the volume entry is false. We are asking a simpler question: what is the legal source of that entry? If the alleged parent order is not proved, the consequential entry cannot, by itself, prove the substantive right supposedly created by that order.'</w:t>
      </w:r>
    </w:p>
    <w:p>
      <w:pPr>
        <w:ind w:left="720"/>
      </w:pPr>
      <w:r>
        <w:rPr>
          <w:rFonts w:ascii="Kalpurush" w:cs="Kalpurush" w:eastAsia="Kalpurush" w:hAnsi="Kalpurush"/>
          <w:i/>
          <w:iCs/>
          <w:sz w:val="20"/>
          <w:szCs w:val="20"/>
        </w:rPr>
        <w:t xml:space="preserve">*(বঙ্গানুবাদ: "আমরা আদালতকে ভলিউম এন্ট্রিটি মিথ্যা ধরে নিতে বলছি না। আমরা একটি সরল প্রশ্ন করছি: সেই এন্ট্রির আইনগত উৎস কী? যদি মূল আদেশই প্রমাণিত না হয়, তবে আনুষঙ্গিক এন্ট্রি নিজে থেকে সেই আদেশের দ্বারা সৃষ্ট কথিত মূল স্বত্ব প্রমাণ করতে পারে না।")*</w:t>
      </w:r>
    </w:p>
    <w:p>
      <w:r>
        <w:rPr>
          <w:rFonts w:ascii="Kalpurush" w:cs="Kalpurush" w:eastAsia="Kalpurush" w:hAnsi="Kalpurush"/>
        </w:rPr>
        <w:t xml:space="preserve"/>
      </w:r>
    </w:p>
    <w:p>
      <w:r>
        <w:rPr>
          <w:rFonts w:ascii="Kalpurush" w:cs="Kalpurush" w:eastAsia="Kalpurush" w:hAnsi="Kalpurush"/>
          <w:sz w:val="20"/>
          <w:szCs w:val="20"/>
        </w:rPr>
        <w:t xml:space="preserve">*আইনি নজির —*</w:t>
      </w:r>
    </w:p>
    <w:p>
      <w:pPr>
        <w:ind w:left="720"/>
      </w:pPr>
      <w:r>
        <w:rPr>
          <w:rFonts w:ascii="Kalpurush" w:cs="Kalpurush" w:eastAsia="Kalpurush" w:hAnsi="Kalpurush"/>
          <w:b/>
          <w:bCs/>
          <w:i/>
          <w:iCs/>
          <w:sz w:val="20"/>
          <w:szCs w:val="20"/>
        </w:rPr>
        <w:t xml:space="preserve">Malay Miah vs. Maharam Ali, 27 BLD (HD) 544:</w:t>
      </w:r>
    </w:p>
    <w:p>
      <w:pPr>
        <w:ind w:left="720"/>
      </w:pPr>
      <w:r>
        <w:rPr>
          <w:rFonts w:ascii="Kalpurush" w:cs="Kalpurush" w:eastAsia="Kalpurush" w:hAnsi="Kalpurush"/>
          <w:i/>
          <w:iCs/>
          <w:sz w:val="20"/>
          <w:szCs w:val="20"/>
        </w:rPr>
        <w:t xml:space="preserve">*"Question of title cannot be decided in a miscellaneous proceeding. Declaration of title requires a properly constituted civil suit."*</w:t>
      </w:r>
    </w:p>
    <w:p>
      <w:pPr>
        <w:ind w:left="720"/>
      </w:pPr>
      <w:r>
        <w:rPr>
          <w:rFonts w:ascii="Kalpurush" w:cs="Kalpurush" w:eastAsia="Kalpurush" w:hAnsi="Kalpurush"/>
          <w:i/>
          <w:iCs/>
          <w:sz w:val="20"/>
          <w:szCs w:val="20"/>
        </w:rPr>
        <w:t xml:space="preserve">*(বঙ্গানুবাদ: "মিস মোকদ্দমার সংক্ষিপ্ত প্রক্রিয়ায় স্বত্বের প্রশ্ন নিষ্পত্তি করা যায় না। স্বত্ব ঘোষণার জন্য দেওয়ানি মামলা আবশ্যক।")*"*</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IV. কথিত সংশোধনের সরকারি প্রতিফলন কোথায়? (The Missing Official Record)</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*বিবাদীপক্ষের বক্তব্য যদি হয় যে ১৯৬৯ সালের কথিত Misc Case-এর মাধ্যমে SA ২৩৮ নং খতিয়ানের substantive অবস্থান পরিবর্তিত হইয়া সোনাভানুর স্বত্ব সৃষ্টি হয়েছিল, তবে সেই কথিত correction-এর আইনগত উৎসের পাশাপাশি তাহার সরকারি বাস্তবায়নের প্রমাণও প্রত্যাশিত ছিল।*</w:t>
      </w:r>
    </w:p>
    <w:p>
      <w:r>
        <w:rPr>
          <w:rFonts w:ascii="Kalpurush" w:cs="Kalpurush" w:eastAsia="Kalpurush" w:hAnsi="Kalpurush"/>
        </w:rPr>
        <w:t xml:space="preserve"/>
      </w:r>
    </w:p>
    <w:p>
      <w:r>
        <w:rPr>
          <w:rFonts w:ascii="Kalpurush" w:cs="Kalpurush" w:eastAsia="Kalpurush" w:hAnsi="Kalpurush"/>
          <w:sz w:val="20"/>
          <w:szCs w:val="20"/>
        </w:rPr>
        <w:t xml:space="preserve">*কিন্তু জেলা Settlement Record Room-এ সংরক্ষিত বর্তমান SA ২৩৮ নং খতিয়ানে আজও আব্দুল আলীর নামই বহাল; কোনো সংশোধিত SA ২৩৮-এর সইমোহরি কপি, সংশোধনের official trail বা সংশ্লিষ্ট alteration entry বিবাদীপক্ষ প্রদর্শন করে নাই। অতএব কথিত correction-এর ফলাফলটি একটি authoritative final record-এ কোথায় এবং কীভাবে কার্যকর হইয়াছিল — এই মৌলিক প্রশ্নের উত্তর অনুপস্থিত।*</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'The present authoritative record maintained in the District Settlement Record Room does not reflect Sona Bhanu as a recorded co-sharer in SA 238. Thus, the alleged 1969 correction is not merely unsupported by its parent order; its alleged substantive result is also not reflected in the present final SA record.'</w:t>
      </w:r>
    </w:p>
    <w:p>
      <w:pPr>
        <w:ind w:left="720"/>
      </w:pPr>
      <w:r>
        <w:rPr>
          <w:rFonts w:ascii="Kalpurush" w:cs="Kalpurush" w:eastAsia="Kalpurush" w:hAnsi="Kalpurush"/>
          <w:i/>
          <w:iCs/>
          <w:sz w:val="20"/>
          <w:szCs w:val="20"/>
        </w:rPr>
        <w:t xml:space="preserve">*(বঙ্গানুবাদ: "জেলা সেটেলমেন্ট রেকর্ড রুমে সংরক্ষিত বর্তমান authoritative SA ২৩৮ নং রেকর্ডে সোনাভানুর নামে কোনো recorded co-sharership প্রতিফলিত হয় নাই। অতএব কথিত ১৯৬৯ সালের সংশোধন শুধু তার মূল আদেশ দ্বারা অপ্রমাণিতই নয়; সেই সংশোধনের কথিত substantive ফলাফলও বর্তমান চূড়ান্ত SA রেকর্ডে প্রতিফলিত নয়।")*</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সইমোহরি সংশোধিত খতিয়ানের অনুপস্থিতি:</w:t>
      </w:r>
    </w:p>
    <w:p>
      <w:r>
        <w:rPr>
          <w:rFonts w:ascii="Kalpurush" w:cs="Kalpurush" w:eastAsia="Kalpurush" w:hAnsi="Kalpurush"/>
          <w:sz w:val="20"/>
          <w:szCs w:val="20"/>
        </w:rPr>
        <w:t xml:space="preserve">*বিবাদীপক্ষ নিজেরাই কোনো সংশোধিত SA ২৩৮ নং খতিয়ানের সইমোহরি কপি আদালতে দাখিল করে নাই।*</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'At the very least, the respondents were required to place before the Court sufficient documentary evidence from which the existence, contents and implementation of the alleged correction could be reliably ascertained. The absence of the best available documentary evidence warrants an adverse inference against the party asserting the alleged correction, subject to the Court’s appreciation of the entire evidence.'</w:t>
      </w:r>
    </w:p>
    <w:p>
      <w:pPr>
        <w:ind w:left="720"/>
      </w:pPr>
      <w:r>
        <w:rPr>
          <w:rFonts w:ascii="Kalpurush" w:cs="Kalpurush" w:eastAsia="Kalpurush" w:hAnsi="Kalpurush"/>
          <w:i/>
          <w:iCs/>
          <w:sz w:val="20"/>
          <w:szCs w:val="20"/>
        </w:rPr>
        <w:t xml:space="preserve">*(বঙ্গানুবাদ: "ন্যূনতমপক্ষে বিবাদীপক্ষের দায়িত্ব ছিল আদালতের সামনে এমন পর্যাপ্ত দালিলিক সাক্ষ্য উপস্থাপন করা, যা দ্বারা কথিত সংশোধনের অস্তিত্ব, বিষয়বস্তু ও বাস্তবায়ন নির্ভরযোগ্যভাবে নিরূপণ করা যায়। সর্বোত্তম দালিলিক প্রমাণের অনুপস্থিতি, সমগ্র সাক্ষ্যের আলোকে আদালতের বিবেচনাসাপেক্ষে, কথিত সংশোধন দাবিদার পক্ষের বিরুদ্ধে একটি প্রতিকূল অনুমানের যৌক্তিকতা সৃষ্টি করে।")*</w:t>
      </w:r>
    </w:p>
    <w:p>
      <w:r>
        <w:rPr>
          <w:rFonts w:ascii="Kalpurush" w:cs="Kalpurush" w:eastAsia="Kalpurush" w:hAnsi="Kalpurush"/>
        </w:rPr>
        <w:t xml:space="preserve"/>
      </w:r>
    </w:p>
    <w:p>
      <w:r>
        <w:rPr>
          <w:rFonts w:ascii="Kalpurush" w:cs="Kalpurush" w:eastAsia="Kalpurush" w:hAnsi="Kalpurush"/>
          <w:sz w:val="20"/>
          <w:szCs w:val="20"/>
        </w:rPr>
        <w:t xml:space="preserve">*অতএব AC Land office-এর একটি isolated volume entry-কে এমন একটি correction-এর বিকল্প হিসেবে গ্রহণ করা নিরাপদ নয়, যার সরকারি ও প্রাতিষ্ঠানিক ফলাফলই অন্য কোনো authoritative record-এ প্রতিফলিত হয় নাই।"*</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V. AC Land ভলিউম এন্ট্রি: প্রমাণিক গুরুত্ব ও Provenance</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*সখিপুর AC Land অফিসের রাজস্ব ভলিউমে থাকা এন্ট্রি সম্পর্কে আমাদের বিনীত অবস্থান:*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'Even assuming the AC Land volume is a genuine revenue record, the respondents must still establish its legal source, nature and authority to alter the substantive interest recorded in SA 238. A revenue volume entry cannot, merely by appearing in a government office book, acquire the evidentiary effect of a judicial or statutory correction order.'</w:t>
      </w:r>
    </w:p>
    <w:p>
      <w:pPr>
        <w:ind w:left="720"/>
      </w:pPr>
      <w:r>
        <w:rPr>
          <w:rFonts w:ascii="Kalpurush" w:cs="Kalpurush" w:eastAsia="Kalpurush" w:hAnsi="Kalpurush"/>
          <w:i/>
          <w:iCs/>
          <w:sz w:val="20"/>
          <w:szCs w:val="20"/>
        </w:rPr>
        <w:t xml:space="preserve">*(বঙ্গানুবাদ: "এমনকি যদি ধরেও নেওয়া হয় যে এসি ল্যান্ড ভলিউম একটি প্রকৃত রাজস্ব রেকর্ড, তবুও বিবাদীপক্ষকে অবশ্যই এসএ ২৩৮-এ রেকর্ডকৃত মূল স্বত্ব পরিবর্তন করার আইনগত উৎস, প্রকৃতি ও কর্তৃত্ব প্রমাণ করতে হবে। একটি রাজস্ব ভলিউম এন্ট্রি কেবল কোনো সরকারি অফিসের বইয়ে দৃশ্যমান হওয়ার কারণেই কোনো বিচারিক বা সংবিধিবদ্ধ সংশোধন আদেশের প্রমাণিক মর্যাদা লাভ করতে পারে না।")*</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DW-4-এর সাক্ষ্য (Evidence on Record):</w:t>
      </w:r>
    </w:p>
    <w:p>
      <w:r>
        <w:rPr>
          <w:rFonts w:ascii="Kalpurush" w:cs="Kalpurush" w:eastAsia="Kalpurush" w:hAnsi="Kalpurush"/>
          <w:sz w:val="20"/>
          <w:szCs w:val="20"/>
        </w:rPr>
        <w:t xml:space="preserve">*বিবাদীদের সাক্ষী DW-4 আদালতে স্বীকার করিয়াছেন যে —*</w:t>
      </w:r>
    </w:p>
    <w:p>
      <w:pPr>
        <w:pStyle w:val="ListParagraph"/>
        <w:numPr>
          <w:ilvl w:val="0"/>
          <w:numId w:val="1"/>
        </w:numPr>
      </w:pPr>
      <w:r>
        <w:rPr>
          <w:rFonts w:ascii="Kalpurush" w:cs="Kalpurush" w:eastAsia="Kalpurush" w:hAnsi="Kalpurush"/>
          <w:sz w:val="20"/>
          <w:szCs w:val="20"/>
        </w:rPr>
        <w:t xml:space="preserve">*তিনি entry-এর provenance ব্যাখ্যা বা underlying record দেখাতে সক্ষম হননি;*</w:t>
      </w:r>
    </w:p>
    <w:p>
      <w:pPr>
        <w:pStyle w:val="ListParagraph"/>
        <w:numPr>
          <w:ilvl w:val="0"/>
          <w:numId w:val="1"/>
        </w:numPr>
      </w:pPr>
      <w:r>
        <w:rPr>
          <w:rFonts w:ascii="Kalpurush" w:cs="Kalpurush" w:eastAsia="Kalpurush" w:hAnsi="Kalpurush"/>
          <w:sz w:val="20"/>
          <w:szCs w:val="20"/>
        </w:rPr>
        <w:t xml:space="preserve">*কোনো underlying file বা parent order প্রদর্শন করতে পারেননি;*</w:t>
      </w:r>
    </w:p>
    <w:p>
      <w:pPr>
        <w:pStyle w:val="ListParagraph"/>
        <w:numPr>
          <w:ilvl w:val="0"/>
          <w:numId w:val="1"/>
        </w:numPr>
      </w:pPr>
      <w:r>
        <w:rPr>
          <w:rFonts w:ascii="Kalpurush" w:cs="Kalpurush" w:eastAsia="Kalpurush" w:hAnsi="Kalpurush"/>
          <w:sz w:val="20"/>
          <w:szCs w:val="20"/>
        </w:rPr>
        <w:t xml:space="preserve">*এবং এন্ট্রিটি ভিন্ন কালিতে থাকার বিষয়টি স্বীকার করিয়াছেন — যা এন্ট্রির provenance এবং legal basis সম্পর্কে serious evidentiary doubt সৃষ্টি করে।*</w:t>
      </w:r>
    </w:p>
    <w:p>
      <w:r>
        <w:rPr>
          <w:rFonts w:ascii="Kalpurush" w:cs="Kalpurush" w:eastAsia="Kalpurush" w:hAnsi="Kalpurush"/>
        </w:rPr>
        <w:t xml:space="preserve"/>
      </w:r>
    </w:p>
    <w:p>
      <w:r>
        <w:rPr>
          <w:rFonts w:ascii="Kalpurush" w:cs="Kalpurush" w:eastAsia="Kalpurush" w:hAnsi="Kalpurush"/>
          <w:sz w:val="20"/>
          <w:szCs w:val="20"/>
        </w:rPr>
        <w:t xml:space="preserve">*প্রাসঙ্গিক আইনি নজির —*</w:t>
      </w:r>
    </w:p>
    <w:p>
      <w:pPr>
        <w:ind w:left="720"/>
      </w:pPr>
      <w:r>
        <w:rPr>
          <w:rFonts w:ascii="Kalpurush" w:cs="Kalpurush" w:eastAsia="Kalpurush" w:hAnsi="Kalpurush"/>
          <w:b/>
          <w:bCs/>
          <w:i/>
          <w:iCs/>
          <w:sz w:val="20"/>
          <w:szCs w:val="20"/>
        </w:rPr>
        <w:t xml:space="preserve">Shahera Khatun vs. State, 53 DLR 19:</w:t>
      </w:r>
    </w:p>
    <w:p>
      <w:pPr>
        <w:ind w:left="720"/>
      </w:pPr>
      <w:r>
        <w:rPr>
          <w:rFonts w:ascii="Kalpurush" w:cs="Kalpurush" w:eastAsia="Kalpurush" w:hAnsi="Kalpurush"/>
          <w:i/>
          <w:iCs/>
          <w:sz w:val="20"/>
          <w:szCs w:val="20"/>
        </w:rPr>
        <w:t xml:space="preserve">*"A volume note or mutation entry carries no statutory presumption of correctness without the underlying parent order."*</w:t>
      </w:r>
    </w:p>
    <w:p>
      <w:pPr>
        <w:ind w:left="720"/>
      </w:pPr>
      <w:r>
        <w:rPr>
          <w:rFonts w:ascii="Kalpurush" w:cs="Kalpurush" w:eastAsia="Kalpurush" w:hAnsi="Kalpurush"/>
          <w:i/>
          <w:iCs/>
          <w:sz w:val="20"/>
          <w:szCs w:val="20"/>
        </w:rPr>
        <w:t xml:space="preserve">*(বঙ্গানুবাদ: "মূল আদেশ ব্যতীত ভলিউম নোট বা নামজারি এন্ট্রির কোনো সংবিধিবদ্ধ নির্ভুলতার অনুমান থাকে 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Fazlur Rahman vs. Bangladesh, 1 BLT (HD) 18:</w:t>
      </w:r>
    </w:p>
    <w:p>
      <w:pPr>
        <w:ind w:left="720"/>
      </w:pPr>
      <w:r>
        <w:rPr>
          <w:rFonts w:ascii="Kalpurush" w:cs="Kalpurush" w:eastAsia="Kalpurush" w:hAnsi="Kalpurush"/>
          <w:i/>
          <w:iCs/>
          <w:sz w:val="20"/>
          <w:szCs w:val="20"/>
        </w:rPr>
        <w:t xml:space="preserve">*"SA Khatian changes made in separate ink or handwriting without a parent judicial order sheet are invalid and legally ineffective."*</w:t>
      </w:r>
    </w:p>
    <w:p>
      <w:pPr>
        <w:ind w:left="720"/>
      </w:pPr>
      <w:r>
        <w:rPr>
          <w:rFonts w:ascii="Kalpurush" w:cs="Kalpurush" w:eastAsia="Kalpurush" w:hAnsi="Kalpurush"/>
          <w:i/>
          <w:iCs/>
          <w:sz w:val="20"/>
          <w:szCs w:val="20"/>
        </w:rPr>
        <w:t xml:space="preserve">*(বঙ্গানুবাদ: "মূল বিচারিক আদেশনামা ছাড়া ভিন্ন কালিতে বা হস্তাক্ষরে এসএ খতিয়ানে কৃত পরিবর্তন অবৈধ এবং আইনত অকার্যকর।")*</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Mrigangka Mohan Dhali vs. Chitta Ranjan Mondol, 18 SCOB [2023] AD 20 (পাঁচ বিচারপতির আপীল বিভাগীয় বেঞ্চ):</w:t>
      </w:r>
    </w:p>
    <w:p>
      <w:pPr>
        <w:ind w:left="720"/>
      </w:pPr>
      <w:r>
        <w:rPr>
          <w:rFonts w:ascii="Kalpurush" w:cs="Kalpurush" w:eastAsia="Kalpurush" w:hAnsi="Kalpurush"/>
          <w:i/>
          <w:iCs/>
          <w:sz w:val="20"/>
          <w:szCs w:val="20"/>
        </w:rPr>
        <w:t xml:space="preserve">*"An administrative ROR entry or procured mutation note cannot override an established title or statutory presumption attached to a finally published record."*</w:t>
      </w:r>
    </w:p>
    <w:p>
      <w:pPr>
        <w:ind w:left="720"/>
      </w:pPr>
      <w:r>
        <w:rPr>
          <w:rFonts w:ascii="Kalpurush" w:cs="Kalpurush" w:eastAsia="Kalpurush" w:hAnsi="Kalpurush"/>
          <w:i/>
          <w:iCs/>
          <w:sz w:val="20"/>
          <w:szCs w:val="20"/>
        </w:rPr>
        <w:t xml:space="preserve">*(বঙ্গানুবাদ: "প্রশাসনিক খতিয়ান এন্ট্রি বা সংগৃহীত নামজারি নোট কোনো প্রতিষ্ঠিত স্বত্ব বা চূড়ান্ত প্রকাশিত রেকর্ডের সংবিধিবদ্ধ অনুমানকে বাতিল করতে পারে 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VI. ১৯৭৫ সালের রেজিস্ট্রিকৃত দলিল (Deed No. 3596/1975) — দালিলিক বৈপরীত্য</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*বিবাদীপক্ষের বর্তমান theory:*</w:t>
      </w:r>
    </w:p>
    <w:p>
      <w:r>
        <w:rPr>
          <w:rFonts w:ascii="Kalpurush" w:cs="Kalpurush" w:eastAsia="Kalpurush" w:hAnsi="Kalpurush"/>
          <w:sz w:val="20"/>
          <w:szCs w:val="20"/>
        </w:rPr>
        <w:t xml:space="preserve">$$\text{Alleged 1969 correction} \longrightarrow \text{SA 238 effectively one dag (1259)}$$</w:t>
      </w:r>
    </w:p>
    <w:p>
      <w:r>
        <w:rPr>
          <w:rFonts w:ascii="Kalpurush" w:cs="Kalpurush" w:eastAsia="Kalpurush" w:hAnsi="Kalpurush"/>
        </w:rPr>
        <w:t xml:space="preserve"/>
      </w:r>
    </w:p>
    <w:p>
      <w:r>
        <w:rPr>
          <w:rFonts w:ascii="Kalpurush" w:cs="Kalpurush" w:eastAsia="Kalpurush" w:hAnsi="Kalpurush"/>
          <w:sz w:val="20"/>
          <w:szCs w:val="20"/>
        </w:rPr>
        <w:t xml:space="preserve">*কিন্তু তাহাদের নিজেদের রেজিস্ট্রিকৃত ৩৫৯৬/১৯৭৫ নং দলিলে (Exhibit Kha-1) SA ২৩৮-এর অধীনে ছয়টি দাগের বর্ণনা রহিয়াছে:*</w:t>
      </w:r>
    </w:p>
    <w:p>
      <w:r>
        <w:rPr>
          <w:rFonts w:ascii="Kalpurush" w:cs="Kalpurush" w:eastAsia="Kalpurush" w:hAnsi="Kalpurush"/>
          <w:sz w:val="20"/>
          <w:szCs w:val="20"/>
        </w:rPr>
        <w:t xml:space="preserve">$$\text{দাগসমূহ: ১২৫৯, ৭৫, ৩, ৫৪, ১২৫২ এবং ১২২০}$$</w:t>
      </w:r>
    </w:p>
    <w:p>
      <w:r>
        <w:rPr>
          <w:rFonts w:ascii="Kalpurush" w:cs="Kalpurush" w:eastAsia="Kalpurush" w:hAnsi="Kalpurush"/>
        </w:rPr>
        <w:t xml:space="preserve"/>
      </w:r>
    </w:p>
    <w:p>
      <w:r>
        <w:rPr>
          <w:rFonts w:ascii="Kalpurush" w:cs="Kalpurush" w:eastAsia="Kalpurush" w:hAnsi="Kalpurush"/>
          <w:sz w:val="20"/>
          <w:szCs w:val="20"/>
        </w:rPr>
        <w:t xml:space="preserve">*তাই আদালতের সামনে প্রশ্নটি খুব স্পষ্ট ও সুনির্দিষ্ট:*</w:t>
      </w:r>
    </w:p>
    <w:p>
      <w:pPr>
        <w:ind w:left="720"/>
      </w:pPr>
      <w:r>
        <w:rPr>
          <w:rFonts w:ascii="Kalpurush" w:cs="Kalpurush" w:eastAsia="Kalpurush" w:hAnsi="Kalpurush"/>
          <w:b/>
          <w:bCs/>
          <w:i/>
          <w:iCs/>
          <w:sz w:val="20"/>
          <w:szCs w:val="20"/>
        </w:rPr>
        <w:t xml:space="preserve">'If the alleged 1969 correction had reduced the SA 238 holding to one dag, why does the respondents' own registered deed of 1975 describe six dags under the same khatian?'</w:t>
      </w:r>
    </w:p>
    <w:p>
      <w:pPr>
        <w:ind w:left="720"/>
      </w:pPr>
      <w:r>
        <w:rPr>
          <w:rFonts w:ascii="Kalpurush" w:cs="Kalpurush" w:eastAsia="Kalpurush" w:hAnsi="Kalpurush"/>
          <w:i/>
          <w:iCs/>
          <w:sz w:val="20"/>
          <w:szCs w:val="20"/>
        </w:rPr>
        <w:t xml:space="preserve">*(বঙ্গানুবাদ: "যদি কথিত ১৯৬৯ সালের সংশোধনে এসএ ২৩৮ খতিয়ানভুক্ত জমি একটি দাগে সীমাবদ্ধ হয়ে থাকে, তবে ১৯৭৫ সালে বিবাদীদের নিজেদের রেজিস্ট্রিকৃত দলিলে একই খতিয়ানের অধীনে ছয়টি দাগের বর্ণনা কেন?")*</w:t>
      </w:r>
    </w:p>
    <w:p>
      <w:r>
        <w:rPr>
          <w:rFonts w:ascii="Kalpurush" w:cs="Kalpurush" w:eastAsia="Kalpurush" w:hAnsi="Kalpurush"/>
        </w:rPr>
        <w:t xml:space="preserve"/>
      </w:r>
    </w:p>
    <w:p>
      <w:r>
        <w:rPr>
          <w:rFonts w:ascii="Kalpurush" w:cs="Kalpurush" w:eastAsia="Kalpurush" w:hAnsi="Kalpurush"/>
          <w:sz w:val="20"/>
          <w:szCs w:val="20"/>
        </w:rPr>
        <w:t xml:space="preserve">*আমাদের বিনীত বক্তব্য:*</w:t>
      </w:r>
    </w:p>
    <w:p>
      <w:pPr>
        <w:ind w:left="720"/>
      </w:pPr>
      <w:r>
        <w:rPr>
          <w:rFonts w:ascii="Kalpurush" w:cs="Kalpurush" w:eastAsia="Kalpurush" w:hAnsi="Kalpurush"/>
          <w:b/>
          <w:bCs/>
          <w:i/>
          <w:iCs/>
          <w:sz w:val="20"/>
          <w:szCs w:val="20"/>
        </w:rPr>
        <w:t xml:space="preserve">'এই দলিলটি Evidence Act-এর admission principles-এর অধীনে বিবাদীপক্ষের বর্তমান correction theory-এর বিরুদ্ধে অত্যন্ত গুরুত্বপূর্ণ documentary circumstance এবং explanation-demanding inconsistency সৃষ্টি করে, যা তাদের কথিত correction theory-এর credibility সম্পর্কে গুরুতর সন্দেহ সৃষ্টি করে।'</w:t>
      </w:r>
    </w:p>
    <w:p>
      <w:r>
        <w:rPr>
          <w:rFonts w:ascii="Kalpurush" w:cs="Kalpurush" w:eastAsia="Kalpurush" w:hAnsi="Kalpurush"/>
        </w:rPr>
        <w:t xml:space="preserve"/>
      </w:r>
    </w:p>
    <w:p>
      <w:r>
        <w:rPr>
          <w:rFonts w:ascii="Kalpurush" w:cs="Kalpurush" w:eastAsia="Kalpurush" w:hAnsi="Kalpurush"/>
          <w:sz w:val="20"/>
          <w:szCs w:val="20"/>
        </w:rPr>
        <w:t xml:space="preserve">*(Supporting Doctrine: Doctrine of Approbate and Reprobate)।"*</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VII. ১৯৫৭ সালের দলিল (Deed No. 2398/1957) — সমসাময়িক দালিলিক সমর্থন</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*২৩৯৮/১৯৫৭ নং রেজিস্ট্রিকৃত দলিলটি (প্রদর্শনী-২) SA জরিপকালীন সময়ের (১৯৫৬–১৯৬২) সমসাময়িক রেজিস্ট্রিকৃত দলিল। উক্ত দলিলভুক্ত ৩ নং দাগের জমি SA ২৩৮ নং খতিয়ানের অন্তর্ভুক্ত জমিরই অংশ হিসেবে রেকর্ডভুক্ত।*</w:t>
      </w:r>
    </w:p>
    <w:p>
      <w:r>
        <w:rPr>
          <w:rFonts w:ascii="Kalpurush" w:cs="Kalpurush" w:eastAsia="Kalpurush" w:hAnsi="Kalpurush"/>
        </w:rPr>
        <w:t xml:space="preserve"/>
      </w:r>
    </w:p>
    <w:p>
      <w:r>
        <w:rPr>
          <w:rFonts w:ascii="Kalpurush" w:cs="Kalpurush" w:eastAsia="Kalpurush" w:hAnsi="Kalpurush"/>
          <w:sz w:val="20"/>
          <w:szCs w:val="20"/>
        </w:rPr>
        <w:t xml:space="preserve">*অতএব দলিলটি SA ২৩৮-এর title source নয়; ইহা SA operation-এর সমসাময়িক একটি registered documentary circumstance, যা একই নির্দিষ্ট জমির সঙ্গে আব্দুল আলীর প্রকাশ্য সম্পত্তিগত সম্পর্ককে corroborate করে।*</w:t>
      </w:r>
    </w:p>
    <w:p>
      <w:r>
        <w:rPr>
          <w:rFonts w:ascii="Kalpurush" w:cs="Kalpurush" w:eastAsia="Kalpurush" w:hAnsi="Kalpurush"/>
        </w:rPr>
        <w:t xml:space="preserve"/>
      </w:r>
    </w:p>
    <w:p>
      <w:r>
        <w:rPr>
          <w:rFonts w:ascii="Kalpurush" w:cs="Kalpurush" w:eastAsia="Kalpurush" w:hAnsi="Kalpurush"/>
          <w:sz w:val="20"/>
          <w:szCs w:val="20"/>
        </w:rPr>
        <w:t xml:space="preserve">*বিজ্ঞ বিচারিক আদালত যদি প্রশ্ন করেন — 'আপনারা যদি ১৯৩৪ সালের পত্তন দাবি না করেন, তবে আব্দুল আলীর স্বত্বের ভিত্তি কী?'*</w:t>
      </w:r>
    </w:p>
    <w:p>
      <w:r>
        <w:rPr>
          <w:rFonts w:ascii="Kalpurush" w:cs="Kalpurush" w:eastAsia="Kalpurush" w:hAnsi="Kalpurush"/>
        </w:rPr>
        <w:t xml:space="preserve"/>
      </w:r>
    </w:p>
    <w:p>
      <w:r>
        <w:rPr>
          <w:rFonts w:ascii="Kalpurush" w:cs="Kalpurush" w:eastAsia="Kalpurush" w:hAnsi="Kalpurush"/>
          <w:sz w:val="20"/>
          <w:szCs w:val="20"/>
        </w:rPr>
        <w:t xml:space="preserve">*আমাদের বিনীত উত্তর:*</w:t>
      </w:r>
    </w:p>
    <w:p>
      <w:pPr>
        <w:ind w:left="720"/>
      </w:pPr>
      <w:r>
        <w:rPr>
          <w:rFonts w:ascii="Kalpurush" w:cs="Kalpurush" w:eastAsia="Kalpurush" w:hAnsi="Kalpurush"/>
          <w:b/>
          <w:bCs/>
          <w:i/>
          <w:iCs/>
          <w:sz w:val="20"/>
          <w:szCs w:val="20"/>
        </w:rPr>
        <w:t xml:space="preserve">'মহামান্য আদালত, আপীল্যান্টদের বর্তমান দাবি আব্দুল করিমের কথিত পত্তনের derivative claim নয়; অতএব বিবাদীদের competing root tenancy-কে বাদীর title-এর উৎস হিসেবে ধরে নিয়ে বাদীর উপর সেই root tenancy প্রমাণ বা খণ্ডনের অতিরিক্ত burden আরোপ করা সঠিক নয়। আমাদের প্রমাণের কেন্দ্রবিন্দু হলো রাষ্ট্রের Estate Acquisition-পরবর্তী State Recognition এবং finally published SA Record।'</w:t>
      </w:r>
      <w:r>
        <w:rPr>
          <w:rFonts w:ascii="Kalpurush" w:cs="Kalpurush" w:eastAsia="Kalpurush" w:hAnsi="Kalpurush"/>
          <w:i/>
          <w:iCs/>
          <w:sz w:val="20"/>
          <w:szCs w:val="20"/>
        </w:rPr>
        <w:t xml:space="preserve">"</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VIII. বিবাদীপক্ষের দাবিকৃত Competing Root Tenancy-র দালিলিক দুর্বলতা ও Fallback Argument</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*বিবাদীপক্ষ যখন SA ২৩৮-এর বিপরীতে একটি competing root tenancy ও inheritance chain উত্থাপন করিতেছে, তখন সেই competing chain-এর foundational facts তাঁদেরই প্রমাণে প্রতিষ্ঠিত হইতে হবে; কেবল উক্ত chain-এর assertion দ্বারা final SA record-এর evidentiary effect নষ্ট হয় না।*</w:t>
      </w:r>
    </w:p>
    <w:p>
      <w:r>
        <w:rPr>
          <w:rFonts w:ascii="Kalpurush" w:cs="Kalpurush" w:eastAsia="Kalpurush" w:hAnsi="Kalpurush"/>
        </w:rPr>
        <w:t xml:space="preserve"/>
      </w:r>
    </w:p>
    <w:p>
      <w:r>
        <w:rPr>
          <w:rFonts w:ascii="Kalpurush" w:cs="Kalpurush" w:eastAsia="Kalpurush" w:hAnsi="Kalpurush"/>
          <w:sz w:val="20"/>
          <w:szCs w:val="20"/>
        </w:rPr>
        <w:t xml:space="preserve">*CS ২ নং খতিয়ানে পূর্বতন ব্যক্তিগত রায়তি স্বত্বের কোনো record নেই। জমিটি ঢাকা নবাব এস্টেটের খাস হিসেবে প্রতিফলিত। অতএব, বিবাদীপক্ষ যদি দাবি করে যে পরবর্তীতে ১৯৩৪ সালে আব্দুল করিম একটি স্বতন্ত্র উত্তরাধিকারযোগ্য রায়তি স্বত্ব অর্জন করেন, সেই পরিবর্তনের foundational document ও legal source তাঁদেরই প্রদর্শন করতে হবে।*</w:t>
      </w:r>
    </w:p>
    <w:p>
      <w:r>
        <w:rPr>
          <w:rFonts w:ascii="Kalpurush" w:cs="Kalpurush" w:eastAsia="Kalpurush" w:hAnsi="Kalpurush"/>
        </w:rPr>
        <w:t xml:space="preserve"/>
      </w:r>
    </w:p>
    <w:p>
      <w:r>
        <w:rPr>
          <w:rFonts w:ascii="Kalpurush" w:cs="Kalpurush" w:eastAsia="Kalpurush" w:hAnsi="Kalpurush"/>
          <w:sz w:val="20"/>
          <w:szCs w:val="20"/>
        </w:rPr>
        <w:t xml:space="preserve">*মহামান্য আপীল বিভাগের সুস্পষ্ট সিদ্ধান্ত —*</w:t>
      </w:r>
    </w:p>
    <w:p>
      <w:pPr>
        <w:ind w:left="720"/>
      </w:pPr>
      <w:r>
        <w:rPr>
          <w:rFonts w:ascii="Kalpurush" w:cs="Kalpurush" w:eastAsia="Kalpurush" w:hAnsi="Kalpurush"/>
          <w:b/>
          <w:bCs/>
          <w:i/>
          <w:iCs/>
          <w:sz w:val="20"/>
          <w:szCs w:val="20"/>
        </w:rPr>
        <w:t xml:space="preserve">Harun-al-Rashid Mollah vs. Bangladesh, 12 BLC (AD) 79:</w:t>
      </w:r>
    </w:p>
    <w:p>
      <w:pPr>
        <w:ind w:left="720"/>
      </w:pPr>
      <w:r>
        <w:rPr>
          <w:rFonts w:ascii="Kalpurush" w:cs="Kalpurush" w:eastAsia="Kalpurush" w:hAnsi="Kalpurush"/>
          <w:i/>
          <w:iCs/>
          <w:sz w:val="20"/>
          <w:szCs w:val="20"/>
        </w:rPr>
        <w:t xml:space="preserve">*"Settlement or rent receipts of Court of Wards / Dhaka Nawab Estate without the written approval of the Chief Manager are void ab initio and confer no title."*</w:t>
      </w:r>
    </w:p>
    <w:p>
      <w:pPr>
        <w:ind w:left="720"/>
      </w:pPr>
      <w:r>
        <w:rPr>
          <w:rFonts w:ascii="Kalpurush" w:cs="Kalpurush" w:eastAsia="Kalpurush" w:hAnsi="Kalpurush"/>
          <w:i/>
          <w:iCs/>
          <w:sz w:val="20"/>
          <w:szCs w:val="20"/>
        </w:rPr>
        <w:t xml:space="preserve">*(বঙ্গানুবাদ: "চিফ ম্যানেজারের লিখিত অনুমোদন ব্যতীত কোর্ট অব ওয়ার্ডস বা ঢাকা নবাব এস্টেটের কোনো বন্দোবস্ত বা খাজনা রসিদ শুরু থেকেই বাতিল এবং তা কোনো স্বত্ব প্রদান করে 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Md. Shajahan Bhuiyan vs. Md. Nurul Alam, 4 SCOB [2015] HCD 52:</w:t>
      </w:r>
    </w:p>
    <w:p>
      <w:pPr>
        <w:ind w:left="720"/>
      </w:pPr>
      <w:r>
        <w:rPr>
          <w:rFonts w:ascii="Kalpurush" w:cs="Kalpurush" w:eastAsia="Kalpurush" w:hAnsi="Kalpurush"/>
          <w:i/>
          <w:iCs/>
          <w:sz w:val="20"/>
          <w:szCs w:val="20"/>
        </w:rPr>
        <w:t xml:space="preserve">*"Irrespective of whatever title or right was acquired by virtue of the unregistered patta, it had extinguished as a result of State Acquisition under Section 86 of the SAT Act."*</w:t>
      </w:r>
    </w:p>
    <w:p>
      <w:pPr>
        <w:ind w:left="720"/>
      </w:pPr>
      <w:r>
        <w:rPr>
          <w:rFonts w:ascii="Kalpurush" w:cs="Kalpurush" w:eastAsia="Kalpurush" w:hAnsi="Kalpurush"/>
          <w:i/>
          <w:iCs/>
          <w:sz w:val="20"/>
          <w:szCs w:val="20"/>
        </w:rPr>
        <w:t xml:space="preserve">*(বঙ্গানুবাদ: "অনিবন্ধিত পাট্টার মাধ্যমে যে স্বত্ব বা অধিকারই অর্জিত হয়ে থাকুক না কেন, এস.এ.টি. আইনের ৮৬ ধারার অধীনে রাষ্ট্রীয় অধিগ্রহণের ফলে তা বিলুপ্ত হয়ে গেছে।")*</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আপীল্যান্টপক্ষের অত্যন্ত শক্তিশালী বিকল্প আইনি অবস্থান (The Strategic Fallback Argument):</w:t>
      </w:r>
    </w:p>
    <w:p>
      <w:pPr>
        <w:ind w:left="720"/>
      </w:pPr>
      <w:r>
        <w:rPr>
          <w:rFonts w:ascii="Kalpurush" w:cs="Kalpurush" w:eastAsia="Kalpurush" w:hAnsi="Kalpurush"/>
          <w:b/>
          <w:bCs/>
          <w:i/>
          <w:iCs/>
          <w:sz w:val="20"/>
          <w:szCs w:val="20"/>
        </w:rPr>
        <w:t xml:space="preserve">'মহামান্য আদালত, তর্কের খাতিরে যদি ধরেও নেওয়া হয় যে প্রাক-SA আমলে আব্দুল করিমের কোনো স্বত্ব বা দখলগত অধিকার ছিল, তবুও তাহা দ্বারা বর্তমান আপীলের নিষ্পত্তি হয় না। কারণ বিবাদীপক্ষেরই দাবি — সেই কথিত পূর্বতন স্বত্বের ভিত্তিতে SA ২৩৮-এ আব্দুল আলীর একক রেকর্ড ভুল ছিল এবং পরবর্তীতে সোনাভানুর স্বত্ব সৃষ্টি হইয়াছে। অতএব তাঁদের অবশ্যই প্রমাণ করিতে হইবে — কোন বৈধ প্রক্রিয়ায়, কোন আদেশের মাধ্যমে এবং কোন সরকারি record trail অনুসরণ করিয়া সেই pre-SA claim SA ২৩৮-এর final entry-কে displaced করেছিল। সেই foundational correction-এর প্রমাণ অনুপস্থিত থাকিলে, pre-SA claim-এর অস্তিত্ব ধরিয়া নিলেও SA ২৩৮-এর বিরুদ্ধে বিবাদীপক্ষের বর্তমান substantive দাবি প্রতিষ্ঠিত হয় না।'</w:t>
      </w:r>
      <w:r>
        <w:rPr>
          <w:rFonts w:ascii="Kalpurush" w:cs="Kalpurush" w:eastAsia="Kalpurush" w:hAnsi="Kalpurush"/>
          <w:i/>
          <w:iCs/>
          <w:sz w:val="20"/>
          <w:szCs w:val="20"/>
        </w:rPr>
        <w:t xml:space="preserve">"</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IX. সহায়ক পরিস্থিতিগত প্রমাণ (Supporting Circumstances)</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৯.১ সোনাভানুর অন্য ওয়ারিশদের বাদ পড়া (Selective Entry):</w:t>
      </w:r>
    </w:p>
    <w:p>
      <w:r>
        <w:rPr>
          <w:rFonts w:ascii="Kalpurush" w:cs="Kalpurush" w:eastAsia="Kalpurush" w:hAnsi="Kalpurush"/>
          <w:sz w:val="20"/>
          <w:szCs w:val="20"/>
        </w:rPr>
        <w:t xml:space="preserve">*যদি কথিত সংশোধনটি প্রকৃতপক্ষে উত্তরাধিকার নির্ধারণকারী বিচারিক আদেশের ফল হয়, তবে বিবাদীপক্ষকে ব্যাখ্যা করিতে হইবে কেন তাঁদের নিজেদের উত্তরাধিকার-তত্ত্ব অনুযায়ী দাবিকৃত অন্যান্য উত্তরাধিকারীদের (বেলুয়া ও কমলা) নাম একই সংশোধনে প্রতিফলিত হয়নি।*</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৯.২ গাণিতিক অসামঞ্জস্য (Arithmetic Discrepancy):</w:t>
      </w:r>
    </w:p>
    <w:p>
      <w:pPr>
        <w:pStyle w:val="ListParagraph"/>
        <w:numPr>
          <w:ilvl w:val="0"/>
          <w:numId w:val="1"/>
        </w:numPr>
      </w:pPr>
      <w:r>
        <w:rPr>
          <w:rFonts w:ascii="Kalpurush" w:cs="Kalpurush" w:eastAsia="Kalpurush" w:hAnsi="Kalpurush"/>
          <w:sz w:val="20"/>
          <w:szCs w:val="20"/>
        </w:rPr>
        <w:t xml:space="preserve">*বাদীপক্ষের হিসাব:* ৩৪০ শতাংশ + সরকারি খাস ১৩৭ শতাংশ = ৪৭৭ শতাংশ (দাগের মোট আয়তন)।</w:t>
      </w:r>
    </w:p>
    <w:p>
      <w:pPr>
        <w:pStyle w:val="ListParagraph"/>
        <w:numPr>
          <w:ilvl w:val="0"/>
          <w:numId w:val="1"/>
        </w:numPr>
      </w:pPr>
      <w:r>
        <w:rPr>
          <w:rFonts w:ascii="Kalpurush" w:cs="Kalpurush" w:eastAsia="Kalpurush" w:hAnsi="Kalpurush"/>
          <w:sz w:val="20"/>
          <w:szCs w:val="20"/>
        </w:rPr>
        <w:t xml:space="preserve">*বিবাদীপক্ষের হিসাব:* ৩৪৯ শতাংশ + সরকারি খাস ১৩৭ শতাংশ = ৪৮৬ শতাংশ (৯ শতাংশ অতিরিক্ত জমি)।</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'Respondents’ acreage/share narrative requires explanation.'</w:t>
      </w:r>
    </w:p>
    <w:p>
      <w:pPr>
        <w:ind w:left="720"/>
      </w:pPr>
      <w:r>
        <w:rPr>
          <w:rFonts w:ascii="Kalpurush" w:cs="Kalpurush" w:eastAsia="Kalpurush" w:hAnsi="Kalpurush"/>
          <w:i/>
          <w:iCs/>
          <w:sz w:val="20"/>
          <w:szCs w:val="20"/>
        </w:rPr>
        <w:t xml:space="preserve">*(বঙ্গানুবাদ: "বিবাদীপক্ষের জমির পরিমাণ ও অংশের বর্ণনায় যে অসামঞ্জস্য রয়েছে, তার আইনগত ব্যাখ্যা আবশ্যক।")*"*</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X. Hotchpot, পক্ষদোষ ও ১নং রেসপন্ডেন্টের সোলেনামা</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*১. একই dag number থাকিলেই সমগ্র জমি একই tenancy বা একই proprietary interest-এর অংশ হয়ে যায় না; এখানে Government অংশ পৃথক khatian-এ এবং plaintiffs-এর দাবি SA ২৩৮-এর recorded interest-এ সীমাবদ্ধ। The alleged Government land is neither claimed by the plaintiffs nor sought to be partitioned. পৃথক খতিয়ানের জমি বাদ দিলে আংশিক বাটোয়ারার কোনো দোষ ঘটে না —*</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Shahjahan Akon vs. Murshida Khanam, 27 BLD (HD) 229:</w:t>
      </w:r>
    </w:p>
    <w:p>
      <w:pPr>
        <w:ind w:left="720"/>
      </w:pPr>
      <w:r>
        <w:rPr>
          <w:rFonts w:ascii="Kalpurush" w:cs="Kalpurush" w:eastAsia="Kalpurush" w:hAnsi="Kalpurush"/>
          <w:i/>
          <w:iCs/>
          <w:sz w:val="20"/>
          <w:szCs w:val="20"/>
        </w:rPr>
        <w:t xml:space="preserve">*"Separate khatians create separate tenancies; no hotchpot defect arises from leaving out adjacent government plots or land under different tenancies."*</w:t>
      </w:r>
    </w:p>
    <w:p>
      <w:pPr>
        <w:ind w:left="720"/>
      </w:pPr>
      <w:r>
        <w:rPr>
          <w:rFonts w:ascii="Kalpurush" w:cs="Kalpurush" w:eastAsia="Kalpurush" w:hAnsi="Kalpurush"/>
          <w:i/>
          <w:iCs/>
          <w:sz w:val="20"/>
          <w:szCs w:val="20"/>
        </w:rPr>
        <w:t xml:space="preserve">*(বঙ্গানুবাদ: "পৃথক খতিয়ান পৃথক প্রজাস্বত্ব সৃষ্টি করে; সংলগ্ন সরকারি জমি বা ভিন্ন খতিয়ানের জমি বাদ দিলে আংশিক বাটোয়ারার কোনো দোষ সৃষ্টি হয় না।")*</w:t>
      </w:r>
    </w:p>
    <w:p>
      <w:r>
        <w:rPr>
          <w:rFonts w:ascii="Kalpurush" w:cs="Kalpurush" w:eastAsia="Kalpurush" w:hAnsi="Kalpurush"/>
        </w:rPr>
        <w:t xml:space="preserve"/>
      </w:r>
    </w:p>
    <w:p>
      <w:r>
        <w:rPr>
          <w:rFonts w:ascii="Kalpurush" w:cs="Kalpurush" w:eastAsia="Kalpurush" w:hAnsi="Kalpurush"/>
          <w:sz w:val="20"/>
          <w:szCs w:val="20"/>
        </w:rPr>
        <w:t xml:space="preserve">*২. প্রাইভেট কো-শেয়ারারদের মধ্যে বাটোয়ারা মামলায় সরকার আবশ্যকীয় পক্ষ নহে —*</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Safaruddin vs. Fazlul Huq, 49 DLR (AD) 15:</w:t>
      </w:r>
    </w:p>
    <w:p>
      <w:pPr>
        <w:ind w:left="720"/>
      </w:pPr>
      <w:r>
        <w:rPr>
          <w:rFonts w:ascii="Kalpurush" w:cs="Kalpurush" w:eastAsia="Kalpurush" w:hAnsi="Kalpurush"/>
          <w:i/>
          <w:iCs/>
          <w:sz w:val="20"/>
          <w:szCs w:val="20"/>
        </w:rPr>
        <w:t xml:space="preserve">*"The Government is not a necessary party in a private partition suit between co-sharers where no relief is sought against the State."*</w:t>
      </w:r>
    </w:p>
    <w:p>
      <w:pPr>
        <w:ind w:left="720"/>
      </w:pPr>
      <w:r>
        <w:rPr>
          <w:rFonts w:ascii="Kalpurush" w:cs="Kalpurush" w:eastAsia="Kalpurush" w:hAnsi="Kalpurush"/>
          <w:i/>
          <w:iCs/>
          <w:sz w:val="20"/>
          <w:szCs w:val="20"/>
        </w:rPr>
        <w:t xml:space="preserve">*(বঙ্গানুবাদ: "সহ-অংশীদারদের মধ্যে ব্যক্তিগত বাটোয়ারা মামলায় সরকার আবশ্যকীয় পক্ষ নয়, যেখানে রাষ্ট্রের বিরুদ্ধে কোনো প্রতিকার চাওয়া হয়নি।")*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Syed Nurul Huda vs. Govt. of Bangladesh, 8 SCOB (2016) HCD 1:</w:t>
      </w:r>
    </w:p>
    <w:p>
      <w:pPr>
        <w:ind w:left="720"/>
      </w:pPr>
      <w:r>
        <w:rPr>
          <w:rFonts w:ascii="Kalpurush" w:cs="Kalpurush" w:eastAsia="Kalpurush" w:hAnsi="Kalpurush"/>
          <w:i/>
          <w:iCs/>
          <w:sz w:val="20"/>
          <w:szCs w:val="20"/>
        </w:rPr>
        <w:t xml:space="preserve">*"A suit for partition cannot fail merely for non-joinder of parties unless the party omitted is a necessary party."*</w:t>
      </w:r>
    </w:p>
    <w:p>
      <w:pPr>
        <w:ind w:left="720"/>
      </w:pPr>
      <w:r>
        <w:rPr>
          <w:rFonts w:ascii="Kalpurush" w:cs="Kalpurush" w:eastAsia="Kalpurush" w:hAnsi="Kalpurush"/>
          <w:i/>
          <w:iCs/>
          <w:sz w:val="20"/>
          <w:szCs w:val="20"/>
        </w:rPr>
        <w:t xml:space="preserve">*(বঙ্গানুবাদ: "বাদ পড়া পক্ষ আবশ্যকীয় পক্ষ না হলে কেবল পক্ষদোষের কারণে বাটোয়ারা মামলা খারিজ হতে পারে না।")*</w:t>
      </w:r>
    </w:p>
    <w:p>
      <w:r>
        <w:rPr>
          <w:rFonts w:ascii="Kalpurush" w:cs="Kalpurush" w:eastAsia="Kalpurush" w:hAnsi="Kalpurush"/>
        </w:rPr>
        <w:t xml:space="preserve"/>
      </w:r>
    </w:p>
    <w:p>
      <w:r>
        <w:rPr>
          <w:rFonts w:ascii="Kalpurush" w:cs="Kalpurush" w:eastAsia="Kalpurush" w:hAnsi="Kalpurush"/>
          <w:sz w:val="20"/>
          <w:szCs w:val="20"/>
        </w:rPr>
        <w:t xml:space="preserve">*৩. ১ নং রেসপন্ডেন্ট সোলায়মান হোসেনের অবস্থান:*</w:t>
      </w:r>
    </w:p>
    <w:p>
      <w:pPr>
        <w:ind w:left="720"/>
      </w:pPr>
      <w:r>
        <w:rPr>
          <w:rFonts w:ascii="Kalpurush" w:cs="Kalpurush" w:eastAsia="Kalpurush" w:hAnsi="Kalpurush"/>
          <w:b/>
          <w:bCs/>
          <w:i/>
          <w:iCs/>
          <w:sz w:val="20"/>
          <w:szCs w:val="20"/>
        </w:rPr>
        <w:t xml:space="preserve">'এখানে contesting defendants-এর একাংশের বিরোধ এবং Abdul Ali-এর বৈধ উত্তরাধিকারীদের অবস্থান এক নয়। ১ নং respondent Solaiman Hossain — Abdul Ali-এর উত্তরাধিকারী — বাটোয়ারায় সম্মতি দিয়েছেন। ফলে আদালতের সামনে প্রকৃত contest মূলত alleged competing title-claimants-এর।'</w:t>
      </w:r>
      <w:r>
        <w:rPr>
          <w:rFonts w:ascii="Kalpurush" w:cs="Kalpurush" w:eastAsia="Kalpurush" w:hAnsi="Kalpurush"/>
          <w:i/>
          <w:iCs/>
          <w:sz w:val="20"/>
          <w:szCs w:val="20"/>
        </w:rPr>
        <w:t xml:space="preserve">"</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XI. ট্রায়াল কোর্টের সিদ্ধান্ত বনাম আপীল ভুলের তুলনামূলক ছক (Finding vs. Error Matrix)</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ট্রায়াল কোর্টের সিদ্ধান্ত ও আপীল ভুলসমূহকে নিম্নের তুলনামূলক ছকে স্পষ্টভাবে তুলে ধরা হলো:*</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ট্রায়াল কোর্টের সিদ্ধান্ত বনাম আপীল ভুলের তুলনামূলক ছক (Finding vs. Error Matrix):</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rFonts w:ascii="Kalpurush" w:cs="Kalpurush" w:eastAsia="Kalpurush" w:hAnsi="Kalpurush"/>
                <w:sz w:val="20"/>
                <w:szCs w:val="20"/>
              </w:rPr>
              <w:t xml:space="preserve">Trial Court finding (বিচারিক আদালতের সিদ্ধান্ত)</w:t>
            </w:r>
          </w:p>
        </w:tc>
        <w:tc>
          <w:p>
            <w:r>
              <w:rPr>
                <w:rFonts w:ascii="Kalpurush" w:cs="Kalpurush" w:eastAsia="Kalpurush" w:hAnsi="Kalpurush"/>
                <w:sz w:val="20"/>
                <w:szCs w:val="20"/>
              </w:rPr>
              <w:t xml:space="preserve">Appellate error (আপীল আদালতের দৃষ্টিতে ভুল)</w:t>
            </w:r>
          </w:p>
        </w:tc>
      </w:tr>
      <w:tr>
        <w:tc>
          <w:p>
            <w:r>
              <w:rPr>
                <w:rFonts w:ascii="Kalpurush" w:cs="Kalpurush" w:eastAsia="Kalpurush" w:hAnsi="Kalpurush"/>
                <w:sz w:val="20"/>
                <w:szCs w:val="20"/>
              </w:rPr>
              <w:t xml:space="preserve">১. আব্দুল করিম মূল রায়ত ছিলেন</w:t>
            </w:r>
          </w:p>
        </w:tc>
        <w:tc>
          <w:p>
            <w:r>
              <w:rPr>
                <w:rFonts w:ascii="Kalpurush" w:cs="Kalpurush" w:eastAsia="Kalpurush" w:hAnsi="Kalpurush"/>
                <w:b/>
                <w:bCs/>
                <w:sz w:val="20"/>
                <w:szCs w:val="20"/>
              </w:rPr>
              <w:t xml:space="preserve">Foundation presumed, proved নয়</w:t>
            </w:r>
            <w:r>
              <w:rPr>
                <w:rFonts w:ascii="Kalpurush" w:cs="Kalpurush" w:eastAsia="Kalpurush" w:hAnsi="Kalpurush"/>
                <w:sz w:val="20"/>
                <w:szCs w:val="20"/>
              </w:rPr>
              <w:t xml:space="preserve"> (পাট্টা/কবুলিয়ত বা প্রাথমিক দলিলের অনুপস্থিতি)</w:t>
            </w:r>
          </w:p>
        </w:tc>
      </w:tr>
      <w:tr>
        <w:tc>
          <w:p>
            <w:r>
              <w:rPr>
                <w:rFonts w:ascii="Kalpurush" w:cs="Kalpurush" w:eastAsia="Kalpurush" w:hAnsi="Kalpurush"/>
                <w:sz w:val="20"/>
                <w:szCs w:val="20"/>
              </w:rPr>
              <w:t xml:space="preserve">২. SA ২৩৮ খতিয়ান ভুল</w:t>
            </w:r>
          </w:p>
        </w:tc>
        <w:tc>
          <w:p>
            <w:r>
              <w:rPr>
                <w:rFonts w:ascii="Kalpurush" w:cs="Kalpurush" w:eastAsia="Kalpurush" w:hAnsi="Kalpurush"/>
                <w:b/>
                <w:bCs/>
                <w:sz w:val="20"/>
                <w:szCs w:val="20"/>
              </w:rPr>
              <w:t xml:space="preserve">Rebutting evidence inadequate</w:t>
            </w:r>
            <w:r>
              <w:rPr>
                <w:rFonts w:ascii="Kalpurush" w:cs="Kalpurush" w:eastAsia="Kalpurush" w:hAnsi="Kalpurush"/>
                <w:sz w:val="20"/>
                <w:szCs w:val="20"/>
              </w:rPr>
              <w:t xml:space="preserve"> (Section 144A-এর সংবিধিবদ্ধ অনুমান অপর্যাপ্ত সাক্ষ্যে খারিজ)</w:t>
            </w:r>
          </w:p>
        </w:tc>
      </w:tr>
      <w:tr>
        <w:tc>
          <w:p>
            <w:r>
              <w:rPr>
                <w:rFonts w:ascii="Kalpurush" w:cs="Kalpurush" w:eastAsia="Kalpurush" w:hAnsi="Kalpurush"/>
                <w:sz w:val="20"/>
                <w:szCs w:val="20"/>
              </w:rPr>
              <w:t xml:space="preserve">৩. ১৯৬৯ সালের সংশোধন গৃহীত</w:t>
            </w:r>
          </w:p>
        </w:tc>
        <w:tc>
          <w:p>
            <w:r>
              <w:rPr>
                <w:rFonts w:ascii="Kalpurush" w:cs="Kalpurush" w:eastAsia="Kalpurush" w:hAnsi="Kalpurush"/>
                <w:b/>
                <w:bCs/>
                <w:sz w:val="20"/>
                <w:szCs w:val="20"/>
              </w:rPr>
              <w:t xml:space="preserve">Parent order / source unproved</w:t>
            </w:r>
            <w:r>
              <w:rPr>
                <w:rFonts w:ascii="Kalpurush" w:cs="Kalpurush" w:eastAsia="Kalpurush" w:hAnsi="Kalpurush"/>
                <w:sz w:val="20"/>
                <w:szCs w:val="20"/>
              </w:rPr>
              <w:t xml:space="preserve"> (মূল আদেশনামা বা আইনি উৎস অপ্রমাণিত)</w:t>
            </w:r>
          </w:p>
        </w:tc>
      </w:tr>
      <w:tr>
        <w:tc>
          <w:p>
            <w:r>
              <w:rPr>
                <w:rFonts w:ascii="Kalpurush" w:cs="Kalpurush" w:eastAsia="Kalpurush" w:hAnsi="Kalpurush"/>
                <w:sz w:val="20"/>
                <w:szCs w:val="20"/>
              </w:rPr>
              <w:t xml:space="preserve">৪. AC Land ভলিউম এন্ট্রিকে প্রাধান্য</w:t>
            </w:r>
          </w:p>
        </w:tc>
        <w:tc>
          <w:p>
            <w:r>
              <w:rPr>
                <w:rFonts w:ascii="Kalpurush" w:cs="Kalpurush" w:eastAsia="Kalpurush" w:hAnsi="Kalpurush"/>
                <w:b/>
                <w:bCs/>
                <w:sz w:val="20"/>
                <w:szCs w:val="20"/>
              </w:rPr>
              <w:t xml:space="preserve">Consequential entry treated as foundational proof</w:t>
            </w:r>
            <w:r>
              <w:rPr>
                <w:rFonts w:ascii="Kalpurush" w:cs="Kalpurush" w:eastAsia="Kalpurush" w:hAnsi="Kalpurush"/>
                <w:sz w:val="20"/>
                <w:szCs w:val="20"/>
              </w:rPr>
              <w:t xml:space="preserve"> (আনুষঙ্গিক নোটকে মূল ভিত্তি মান্য করা)</w:t>
            </w:r>
          </w:p>
        </w:tc>
      </w:tr>
      <w:tr>
        <w:tc>
          <w:p>
            <w:r>
              <w:rPr>
                <w:rFonts w:ascii="Kalpurush" w:cs="Kalpurush" w:eastAsia="Kalpurush" w:hAnsi="Kalpurush"/>
                <w:sz w:val="20"/>
                <w:szCs w:val="20"/>
              </w:rPr>
              <w:t xml:space="preserve">৫. ১৯৭৫ সালের দলিলের বৈপরীত্য উপেক্ষিত</w:t>
            </w:r>
          </w:p>
        </w:tc>
        <w:tc>
          <w:p>
            <w:r>
              <w:rPr>
                <w:rFonts w:ascii="Kalpurush" w:cs="Kalpurush" w:eastAsia="Kalpurush" w:hAnsi="Kalpurush"/>
                <w:b/>
                <w:bCs/>
                <w:sz w:val="20"/>
                <w:szCs w:val="20"/>
              </w:rPr>
              <w:t xml:space="preserve">Material documentary evidence not properly considered</w:t>
            </w:r>
            <w:r>
              <w:rPr>
                <w:rFonts w:ascii="Kalpurush" w:cs="Kalpurush" w:eastAsia="Kalpurush" w:hAnsi="Kalpurush"/>
                <w:sz w:val="20"/>
                <w:szCs w:val="20"/>
              </w:rPr>
              <w:t xml:space="preserve"> (দলিলের ৬ দাগ বনাম ১ দাগের স্ববিরোধিতা এড়ানো)</w:t>
            </w:r>
          </w:p>
        </w:tc>
      </w:tr>
      <w:tr>
        <w:tc>
          <w:p>
            <w:r>
              <w:rPr>
                <w:rFonts w:ascii="Kalpurush" w:cs="Kalpurush" w:eastAsia="Kalpurush" w:hAnsi="Kalpurush"/>
                <w:sz w:val="20"/>
                <w:szCs w:val="20"/>
              </w:rPr>
              <w:t xml:space="preserve">৬. Hotchpot / Non-joinder-এ খারিজ</w:t>
            </w:r>
          </w:p>
        </w:tc>
        <w:tc>
          <w:p>
            <w:r>
              <w:rPr>
                <w:rFonts w:ascii="Kalpurush" w:cs="Kalpurush" w:eastAsia="Kalpurush" w:hAnsi="Kalpurush"/>
                <w:b/>
                <w:bCs/>
                <w:sz w:val="20"/>
                <w:szCs w:val="20"/>
              </w:rPr>
              <w:t xml:space="preserve">Technical objection treated as fatal despite separate khatian/interest</w:t>
            </w:r>
            <w:r>
              <w:rPr>
                <w:rFonts w:ascii="Kalpurush" w:cs="Kalpurush" w:eastAsia="Kalpurush" w:hAnsi="Kalpurush"/>
                <w:sz w:val="20"/>
                <w:szCs w:val="20"/>
              </w:rPr>
              <w:t xml:space="preserve"> (পৃথক খতিয়ান সত্ত্বেও পদ্ধতিগত অজুহাত)</w:t>
            </w:r>
          </w:p>
        </w:tc>
      </w:tr>
    </w:tbl>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XII. সমাপনী মৌখিক নিবেদন ও প্রার্থিত প্রতিকার (Closing Prayer)</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আমাদের সমাপনী বক্তব্য অত্যন্ত স্পষ্ট ও পরিমিত:*</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'মহামান্য আদালত, আমরা আদালতের কাছে কোনো অসম্ভব proposition চাই না। আমরা বলছি না যে SA ২৩৮ ভুল হতে পারে না। আমরা শুধু বলছি — যে পক্ষ বলছে এই record ভুল, পরে সংশোধিত, এবং সেই সংশোধনের মাধ্যমে নতুন substantive interest সৃষ্টি হয়েছে, তাকে অন্তত সেই corrective event-এর legal source, content এবং lawful implementation প্রমাণ করতে হবে।</w:t>
      </w:r>
    </w:p>
    <w:p>
      <w:pPr>
        <w:ind w:left="720"/>
      </w:pPr>
    </w:p>
    <w:p>
      <w:pPr>
        <w:ind w:left="720"/>
      </w:pPr>
      <w:r>
        <w:rPr>
          <w:rFonts w:ascii="Kalpurush" w:cs="Kalpurush" w:eastAsia="Kalpurush" w:hAnsi="Kalpurush"/>
          <w:b/>
          <w:bCs/>
          <w:i/>
          <w:iCs/>
          <w:sz w:val="20"/>
          <w:szCs w:val="20"/>
        </w:rPr>
        <w:t xml:space="preserve">এখানে root tenancy-এর foundational proof অনুপস্থিত; alleged correction order অনুপস্থিত; correction-এর official implementation trail অনুপস্থিত; এবং respondents-এর নিজেদের ১৯৭৫ সালের registered deed তাঁদের present one-dag theory-এর সঙ্গে সাংঘর্ষিক।</w:t>
      </w:r>
    </w:p>
    <w:p>
      <w:pPr>
        <w:ind w:left="720"/>
      </w:pPr>
    </w:p>
    <w:p>
      <w:pPr>
        <w:ind w:left="720"/>
      </w:pPr>
      <w:r>
        <w:rPr>
          <w:rFonts w:ascii="Kalpurush" w:cs="Kalpurush" w:eastAsia="Kalpurush" w:hAnsi="Kalpurush"/>
          <w:b/>
          <w:bCs/>
          <w:i/>
          <w:iCs/>
          <w:sz w:val="20"/>
          <w:szCs w:val="20"/>
        </w:rPr>
        <w:t xml:space="preserve">এই অবস্থায় final SA record-এর statutory presumption অতিক্রম করার মতো reliable evidence তৈরি হয়নি। অতএব impugned judgment cannot safely stand.'</w:t>
      </w:r>
    </w:p>
    <w:p>
      <w:pPr>
        <w:ind w:left="720"/>
      </w:pPr>
    </w:p>
    <w:p>
      <w:pPr>
        <w:ind w:left="720"/>
      </w:pPr>
      <w:r>
        <w:rPr>
          <w:rFonts w:ascii="Kalpurush" w:cs="Kalpurush" w:eastAsia="Kalpurush" w:hAnsi="Kalpurush"/>
          <w:i/>
          <w:iCs/>
          <w:sz w:val="20"/>
          <w:szCs w:val="20"/>
        </w:rPr>
        <w:t xml:space="preserve">*(বঙ্গানুবাদ: "এই পরিস্থিতিতে চূড়ান্ত এসএ রেকর্ডের সংবিধিবদ্ধ অনুমান অতিক্রম করার মতো নির্ভরযোগ্য সাক্ষ্য প্রতিষ্ঠিত হয়নি। অতএব বিচারিক আদালতের খারিজ রায় আইনত বহাল থাকিতে পারে 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প্রার্থিত প্রতিকার (Reliefs Sought)</w:t>
      </w:r>
    </w:p>
    <w:p>
      <w:r>
        <w:rPr>
          <w:rFonts w:ascii="Kalpurush" w:cs="Kalpurush" w:eastAsia="Kalpurush" w:hAnsi="Kalpurush"/>
        </w:rPr>
        <w:t xml:space="preserve"/>
      </w:r>
    </w:p>
    <w:p>
      <w:r>
        <w:rPr>
          <w:rFonts w:ascii="Kalpurush" w:cs="Kalpurush" w:eastAsia="Kalpurush" w:hAnsi="Kalpurush"/>
          <w:sz w:val="20"/>
          <w:szCs w:val="20"/>
        </w:rPr>
        <w:t xml:space="preserve">*অতএব মহামান্য আদালতের নিকট বিনীত প্রার্থনা:*</w:t>
      </w:r>
    </w:p>
    <w:p>
      <w:r>
        <w:rPr>
          <w:rFonts w:ascii="Kalpurush" w:cs="Kalpurush" w:eastAsia="Kalpurush" w:hAnsi="Kalpurush"/>
        </w:rPr>
        <w:t xml:space="preserve"/>
      </w:r>
    </w:p>
    <w:p>
      <w:r>
        <w:rPr>
          <w:rFonts w:ascii="Kalpurush" w:cs="Kalpurush" w:eastAsia="Kalpurush" w:hAnsi="Kalpurush"/>
          <w:b/>
          <w:bCs/>
          <w:sz w:val="20"/>
          <w:szCs w:val="20"/>
        </w:rPr>
        <w:t xml:space="preserve">ক)</w:t>
      </w:r>
      <w:r>
        <w:rPr>
          <w:rFonts w:ascii="Kalpurush" w:cs="Kalpurush" w:eastAsia="Kalpurush" w:hAnsi="Kalpurush"/>
          <w:sz w:val="20"/>
          <w:szCs w:val="20"/>
        </w:rPr>
        <w:t xml:space="preserve"> সখিপুর সিভিল জজ আদালতের ০৫/০৪/২০২৬ তারিখের Judgment এবং ০৯/০৪/২০২৬ তারিখের Decree বাতিল ও রহিত (set aside) করা হউক;</w:t>
      </w:r>
    </w:p>
    <w:p>
      <w:r>
        <w:rPr>
          <w:rFonts w:ascii="Kalpurush" w:cs="Kalpurush" w:eastAsia="Kalpurush" w:hAnsi="Kalpurush"/>
        </w:rPr>
        <w:t xml:space="preserve"/>
      </w:r>
    </w:p>
    <w:p>
      <w:r>
        <w:rPr>
          <w:rFonts w:ascii="Kalpurush" w:cs="Kalpurush" w:eastAsia="Kalpurush" w:hAnsi="Kalpurush"/>
          <w:b/>
          <w:bCs/>
          <w:sz w:val="20"/>
          <w:szCs w:val="20"/>
        </w:rPr>
        <w:t xml:space="preserve">খ)</w:t>
      </w:r>
      <w:r>
        <w:rPr>
          <w:rFonts w:ascii="Kalpurush" w:cs="Kalpurush" w:eastAsia="Kalpurush" w:hAnsi="Kalpurush"/>
          <w:sz w:val="20"/>
          <w:szCs w:val="20"/>
        </w:rPr>
        <w:t xml:space="preserve"> SA ২৩৮ নং খতিয়ানের ভিত্তিতে আপীল্যান্ট বাদীপক্ষ এবং ১নং রেসপন্ডেন্টের সোলেনামার অনুকূলে নালিশী সম্পত্তিতে </w:t>
      </w:r>
      <w:r>
        <w:rPr>
          <w:rFonts w:ascii="Kalpurush" w:cs="Kalpurush" w:eastAsia="Kalpurush" w:hAnsi="Kalpurush"/>
          <w:b/>
          <w:bCs/>
          <w:sz w:val="20"/>
          <w:szCs w:val="20"/>
        </w:rPr>
        <w:t xml:space="preserve">প্রাথমিক ডিক্রি (Preliminary Decree)</w:t>
      </w:r>
      <w:r>
        <w:rPr>
          <w:rFonts w:ascii="Kalpurush" w:cs="Kalpurush" w:eastAsia="Kalpurush" w:hAnsi="Kalpurush"/>
          <w:sz w:val="20"/>
          <w:szCs w:val="20"/>
        </w:rPr>
        <w:t xml:space="preserve"> প্রদান করা হউক;</w:t>
      </w:r>
    </w:p>
    <w:p>
      <w:r>
        <w:rPr>
          <w:rFonts w:ascii="Kalpurush" w:cs="Kalpurush" w:eastAsia="Kalpurush" w:hAnsi="Kalpurush"/>
        </w:rPr>
        <w:t xml:space="preserve"/>
      </w:r>
    </w:p>
    <w:p>
      <w:r>
        <w:rPr>
          <w:rFonts w:ascii="Kalpurush" w:cs="Kalpurush" w:eastAsia="Kalpurush" w:hAnsi="Kalpurush"/>
          <w:b/>
          <w:bCs/>
          <w:sz w:val="20"/>
          <w:szCs w:val="20"/>
        </w:rPr>
        <w:t xml:space="preserve">গ)</w:t>
      </w:r>
      <w:r>
        <w:rPr>
          <w:rFonts w:ascii="Kalpurush" w:cs="Kalpurush" w:eastAsia="Kalpurush" w:hAnsi="Kalpurush"/>
          <w:sz w:val="20"/>
          <w:szCs w:val="20"/>
        </w:rPr>
        <w:t xml:space="preserve"> বিকল্পে, একজন বিজ্ঞ Advocate Commissioner নিয়োগ করিয়া সরকারের খাস জমিতে কোনো হস্তক্ষেপ না করিয়া কেবল SA ২৩৮-ভুক্ত সম্পত্তিতে বাদীদের অংশ সরেজমিনে নির্ধারণ ও বণ্টনের ব্যবস্থা করা হউক; এবং</w:t>
      </w:r>
    </w:p>
    <w:p>
      <w:r>
        <w:rPr>
          <w:rFonts w:ascii="Kalpurush" w:cs="Kalpurush" w:eastAsia="Kalpurush" w:hAnsi="Kalpurush"/>
        </w:rPr>
        <w:t xml:space="preserve"/>
      </w:r>
    </w:p>
    <w:p>
      <w:r>
        <w:rPr>
          <w:rFonts w:ascii="Kalpurush" w:cs="Kalpurush" w:eastAsia="Kalpurush" w:hAnsi="Kalpurush"/>
          <w:b/>
          <w:bCs/>
          <w:sz w:val="20"/>
          <w:szCs w:val="20"/>
        </w:rPr>
        <w:t xml:space="preserve">ঘ)</w:t>
      </w:r>
      <w:r>
        <w:rPr>
          <w:rFonts w:ascii="Kalpurush" w:cs="Kalpurush" w:eastAsia="Kalpurush" w:hAnsi="Kalpurush"/>
          <w:sz w:val="20"/>
          <w:szCs w:val="20"/>
        </w:rPr>
        <w:t xml:space="preserve"> সার্বিক ন্যায়বিচারের স্বার্থে আপীলটি খরচসহ মঞ্জুর করা হউক।</w:t>
      </w:r>
    </w:p>
    <w:p>
      <w:r>
        <w:rPr>
          <w:rFonts w:ascii="Kalpurush" w:cs="Kalpurush" w:eastAsia="Kalpurush" w:hAnsi="Kalpurush"/>
        </w:rPr>
        <w:t xml:space="preserve"/>
      </w:r>
    </w:p>
    <w:p>
      <w:r>
        <w:rPr>
          <w:rFonts w:ascii="Kalpurush" w:cs="Kalpurush" w:eastAsia="Kalpurush" w:hAnsi="Kalpurush"/>
          <w:sz w:val="20"/>
          <w:szCs w:val="20"/>
        </w:rPr>
        <w:t xml:space="preserve">*সবিনয় নিবেদন ইতি।*</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r>
        <w:rPr>
          <w:rFonts w:ascii="Kalpurush" w:cs="Kalpurush" w:eastAsia="Kalpurush" w:hAnsi="Kalpurush"/>
          <w:b/>
          <w:bCs/>
          <w:sz w:val="20"/>
          <w:szCs w:val="20"/>
        </w:rPr>
        <w:t xml:space="preserve">আপীল্যান্টগণের পক্ষে বিজ্ঞ কৌসুলি | জেলা জজ আদালত, টাঙ্গাইল | আপীল মামলা নং ৩৮/২০২৬</w:t>
      </w:r>
    </w:p>
    <w:p>
      <w:r>
        <w:rPr>
          <w:rFonts w:ascii="Kalpurush" w:cs="Kalpurush" w:eastAsia="Kalpurush" w:hAnsi="Kalpurush"/>
        </w:rPr>
        <w:t xml:space="preserve"/>
      </w:r>
    </w:p>
    <w:sectPr>
      <w:pgSz w:w="12240" w:h="2016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Kalpurush" w:cs="Kalpurush" w:eastAsia="Kalpurush" w:hAnsi="Kalpurush"/>
        <w:sz w:val="20"/>
        <w:szCs w:val="20"/>
      </w:rPr>
    </w:rPrDefault>
    <w:pPrDefault>
      <w:pPr>
        <w:spacing w:after="0" w:before="0"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2026-08-15T08:04:59.094Z</dcterms:created>
  <dcterms:modified xsi:type="dcterms:W3CDTF">2026-08-15T08:04:59.094Z</dcterms:modified>
</cp:coreProperties>
</file>

<file path=docProps/custom.xml><?xml version="1.0" encoding="utf-8"?>
<Properties xmlns="http://schemas.openxmlformats.org/officeDocument/2006/custom-properties" xmlns:vt="http://schemas.openxmlformats.org/officeDocument/2006/docPropsVTypes"/>
</file>