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w:t>
      </w:r>
    </w:p>
    <w:p>
      <w:r>
        <w:rPr>
          <w:rFonts w:ascii="Kalpurush" w:cs="Kalpurush" w:eastAsia="Kalpurush" w:hAnsi="Kalpurush"/>
          <w:sz w:val="20"/>
          <w:szCs w:val="20"/>
        </w:rPr>
        <w:t xml:space="preserve">বনাম</w:t>
      </w:r>
    </w:p>
    <w:p>
      <w:r>
        <w:rPr>
          <w:rFonts w:ascii="Kalpurush" w:cs="Kalpurush" w:eastAsia="Kalpurush" w:hAnsi="Kalpurush"/>
          <w:b/>
          <w:bCs/>
          <w:sz w:val="20"/>
          <w:szCs w:val="20"/>
        </w:rPr>
        <w:t xml:space="preserve">আলহাজ উদ্দিন ও অন্যান্য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সম্পূরক লিখিত যুক্তিতর্ক</w:t>
      </w:r>
    </w:p>
    <w:p>
      <w:r>
        <w:rPr>
          <w:rFonts w:ascii="Kalpurush" w:cs="Kalpurush" w:eastAsia="Kalpurush" w:hAnsi="Kalpurush"/>
        </w:rPr>
        <w:t xml:space="preserve"/>
      </w:r>
    </w:p>
    <w:p>
      <w:r>
        <w:rPr>
          <w:rFonts w:ascii="Kalpurush" w:cs="Kalpurush" w:eastAsia="Kalpurush" w:hAnsi="Kalpurush"/>
          <w:b/>
          <w:bCs/>
          <w:sz w:val="20"/>
          <w:szCs w:val="20"/>
        </w:rPr>
        <w:t xml:space="preserve">Version 98</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সদয় অবগতির জন্য নিবেদন এই যে, আপীল মেমোরিয়ালে উত্থাপিত হেতু-সমূহের ধারাবাহিকতায় নিম্নোক্ত বিষয়সমূহ বিশেষভাবে বিবেচনার দাবি রাখে।</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ভূমিকা ও আপিলের মূল প্রশ্ন</w:t>
      </w:r>
    </w:p>
    <w:p>
      <w:r>
        <w:rPr>
          <w:rFonts w:ascii="Kalpurush" w:cs="Kalpurush" w:eastAsia="Kalpurush" w:hAnsi="Kalpurush"/>
        </w:rPr>
        <w:t xml:space="preserve"/>
      </w:r>
    </w:p>
    <w:p>
      <w:r>
        <w:rPr>
          <w:rFonts w:ascii="Kalpurush" w:cs="Kalpurush" w:eastAsia="Kalpurush" w:hAnsi="Kalpurush"/>
          <w:sz w:val="20"/>
          <w:szCs w:val="20"/>
        </w:rPr>
        <w:t xml:space="preserve">বিজ্ঞ নিম্ন আদালতের রায় পর্যালোচনা করিলে দেখা যায়, বিচার্য বিষয় নং-১-এ আদালত নিজেই সিদ্ধান্ত দিয়াছেন যে, মোকদ্দমাটি বর্তমান আকারে চলিতে কোনো আইনগত বাধা নেই। কিন্তু বিচার্য বিষয় ২-৫-এ হচপট দোষ, পক্ষদোষ এবং এস.এ ভলিউমের ভিত্তিতে মোকদ্দমাটি সম্পূর্ণরূপে খারিজ করা হইয়াছে। এই দুই সিদ্ধান্তের মধ্যকার সংগতি রায়ে সুস্পষ্টভাবে ব্যাখ্যা করা হয়নি, যাহা আপীল্যান্টপক্ষের বিনীত মতে রায়ের কাঠামোগত ত্রুটির ইঙ্গিত দেয়।</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বিনীত নিবেদনে এই আপিলের মূল আইনগত প্রশ্নটি একটিই: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এস.এ ২৩৮ নং খতিয়ানের চূড়ান্তভাবে প্রকাশিত এন্ট্রি কীভাবে, কখন এবং কোন আইনানুগভাবে প্রমাণযোগ্য প্রক্রিয়ায় পরিবর্তিত (displaced) হইয়াছে?</w:t>
      </w:r>
    </w:p>
    <w:p>
      <w:r>
        <w:rPr>
          <w:rFonts w:ascii="Kalpurush" w:cs="Kalpurush" w:eastAsia="Kalpurush" w:hAnsi="Kalpurush"/>
        </w:rPr>
        <w:t xml:space="preserve"/>
      </w:r>
    </w:p>
    <w:p>
      <w:r>
        <w:rPr>
          <w:rFonts w:ascii="Kalpurush" w:cs="Kalpurush" w:eastAsia="Kalpurush" w:hAnsi="Kalpurush"/>
          <w:sz w:val="20"/>
          <w:szCs w:val="20"/>
        </w:rPr>
        <w:t xml:space="preserve">উক্ত প্রশ্নের উত্তর বিবাদীপক্ষের সাক্ষ্য ও দালিলিক প্রমাণে প্রতীয়মান হয় না। অতএব, আপীল্যান্টপক্ষের সমগ্র যুক্তিতর্ক এই প্রশ্নকে ঘিরেই সাজানো হইয়াছে।</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মূল বক্তব্য এইরূপ:</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আপীল্যান্টপক্ষের বক্তব্য এই নয় যে এস.এ ২৩৮ নং খতিয়ান কোনো অবস্থাতেই ভুল হইতে পারে না। বরং বক্তব্য এই যে, যে পক্ষ এই চূড়ান্তভাবে প্রকাশিত এন্ট্রিকে পরবর্তী সংশোধন কার্যক্রমের মাধ্যমে পরিবর্তিত বলিয়া দাবি করিতেছে, তাহাকে সেই কথিত সংশোধন কার্যক্রমের অস্তিত্ব, উৎস, বিষয়বস্তু, আইনগত চরিত্র এবং কার্যকরী ফলাফল নির্ভরযোগ্য ও আইনত গ্রহণযোগ্য সাক্ষ্য-প্রমাণ দ্বারা প্রতিষ্ঠা করিতে হইবে। কেবলমাত্র একটি consequential ভলিউম এন্ট্রি দ্বারা এই সমগ্র ধারাবাহিকতা প্রমাণিত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I — এস.এ ২৩৮ নং খতিয়ান ও এন্ট্রির অনুমান (Rebuttable Statutory Presumption)</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১.১ এস.এ ২৩৮ কী এবং এর আইনগত মর্যাদা কী?</w:t>
      </w:r>
    </w:p>
    <w:p>
      <w:r>
        <w:rPr>
          <w:rFonts w:ascii="Kalpurush" w:cs="Kalpurush" w:eastAsia="Kalpurush" w:hAnsi="Kalpurush"/>
        </w:rPr>
        <w:t xml:space="preserve"/>
      </w:r>
    </w:p>
    <w:p>
      <w:r>
        <w:rPr>
          <w:rFonts w:ascii="Kalpurush" w:cs="Kalpurush" w:eastAsia="Kalpurush" w:hAnsi="Kalpurush"/>
          <w:sz w:val="20"/>
          <w:szCs w:val="20"/>
        </w:rPr>
        <w:t xml:space="preserve">বাদীপক্ষের প্রদর্শনী-১ (জেলা রেকর্ড রুম হইতে সরবরাহকৃত ইনফরমেশন স্লিপ) এবং প্রদর্শনী-৪ (জাবেদা নকল) হইলো State Acquisition and Tenancy Act, 1950 (SAT Act)-এর ধারা ১৪৪ অনুযায়ী পরিচালিত জরিপের মাধ্যমে চূড়ান্তভাবে প্রকাশিত স্বত্বলিপির (finally published record-of-rights) নকল।</w:t>
      </w:r>
    </w:p>
    <w:p>
      <w:r>
        <w:rPr>
          <w:rFonts w:ascii="Kalpurush" w:cs="Kalpurush" w:eastAsia="Kalpurush" w:hAnsi="Kalpurush"/>
        </w:rPr>
        <w:t xml:space="preserve"/>
      </w:r>
    </w:p>
    <w:p>
      <w:r>
        <w:rPr>
          <w:rFonts w:ascii="Kalpurush" w:cs="Kalpurush" w:eastAsia="Kalpurush" w:hAnsi="Kalpurush"/>
          <w:sz w:val="20"/>
          <w:szCs w:val="20"/>
        </w:rPr>
        <w:t xml:space="preserve">এই রেকর্ড দুইটি প্রস্তাবনা বহন করে:</w:t>
      </w:r>
    </w:p>
    <w:p>
      <w:r>
        <w:rPr>
          <w:rFonts w:ascii="Kalpurush" w:cs="Kalpurush" w:eastAsia="Kalpurush" w:hAnsi="Kalpurush"/>
        </w:rPr>
        <w:t xml:space="preserve"/>
      </w:r>
    </w:p>
    <w:p>
      <w:r>
        <w:rPr>
          <w:rFonts w:ascii="Kalpurush" w:cs="Kalpurush" w:eastAsia="Kalpurush" w:hAnsi="Kalpurush"/>
          <w:b/>
          <w:bCs/>
          <w:sz w:val="20"/>
          <w:szCs w:val="20"/>
        </w:rPr>
        <w:t xml:space="preserve">SAT Act ধারা ১৪৪(৭) / SAT Rules 1955, বিধি ৩৩-৩৫:</w:t>
      </w:r>
    </w:p>
    <w:p>
      <w:r>
        <w:rPr>
          <w:rFonts w:ascii="Kalpurush" w:cs="Kalpurush" w:eastAsia="Kalpurush" w:hAnsi="Kalpurush"/>
          <w:sz w:val="20"/>
          <w:szCs w:val="20"/>
        </w:rPr>
        <w:t xml:space="preserve">চূড়ান্ত প্রকাশনা প্রমাণ করে যে রেকর্ড যথাযথ প্রক্রিয়ায় প্রস্তুত/সংশোধিত হইয়াছে — ইহা প্রক্রিয়াগত সঠিকতার (procedural regularity) অনুমান।</w:t>
      </w:r>
    </w:p>
    <w:p>
      <w:r>
        <w:rPr>
          <w:rFonts w:ascii="Kalpurush" w:cs="Kalpurush" w:eastAsia="Kalpurush" w:hAnsi="Kalpurush"/>
        </w:rPr>
        <w:t xml:space="preserve"/>
      </w:r>
    </w:p>
    <w:p>
      <w:r>
        <w:rPr>
          <w:rFonts w:ascii="Kalpurush" w:cs="Kalpurush" w:eastAsia="Kalpurush" w:hAnsi="Kalpurush"/>
          <w:b/>
          <w:bCs/>
          <w:sz w:val="20"/>
          <w:szCs w:val="20"/>
        </w:rPr>
        <w:t xml:space="preserve">SAT Act ধারা ১৪৪ক:</w:t>
      </w:r>
    </w:p>
    <w:p>
      <w:pPr>
        <w:ind w:left="720"/>
      </w:pPr>
      <w:r>
        <w:rPr>
          <w:rFonts w:ascii="Kalpurush" w:cs="Kalpurush" w:eastAsia="Kalpurush" w:hAnsi="Kalpurush"/>
          <w:i/>
          <w:iCs/>
          <w:sz w:val="20"/>
          <w:szCs w:val="20"/>
        </w:rPr>
        <w:t xml:space="preserve">*"Every entry in a record-of-rights prepared or revised under section 144 shall be evidence of the matter referred to in such entry, and shall be presumed to be correct until it is proved by evidence to be incorrect."*</w:t>
      </w:r>
    </w:p>
    <w:p>
      <w:r>
        <w:rPr>
          <w:rFonts w:ascii="Kalpurush" w:cs="Kalpurush" w:eastAsia="Kalpurush" w:hAnsi="Kalpurush"/>
        </w:rPr>
        <w:t xml:space="preserve"/>
      </w:r>
    </w:p>
    <w:p>
      <w:r>
        <w:rPr>
          <w:rFonts w:ascii="Kalpurush" w:cs="Kalpurush" w:eastAsia="Kalpurush" w:hAnsi="Kalpurush"/>
          <w:sz w:val="20"/>
          <w:szCs w:val="20"/>
        </w:rPr>
        <w:t xml:space="preserve">দ্বিতীয় এই অনুমান — প্রতিটি এন্ট্রির সঠিকতা — বিপরীত প্রমাণে খণ্ডনযোগ্য (rebuttable)। অর্থাৎ এস.এ ২৩৮-এ আব্দুল আলীর নামের এন্ট্রি সঠিক বলিয়া অনুমিত হইবে, কিন্তু এই অনুমান নির্ভরযোগ্য বিপরীত সাক্ষ্য-প্রমাণ দ্বারা খণ্ডন করা যায়।</w:t>
      </w:r>
    </w:p>
    <w:p>
      <w:r>
        <w:rPr>
          <w:rFonts w:ascii="Kalpurush" w:cs="Kalpurush" w:eastAsia="Kalpurush" w:hAnsi="Kalpurush"/>
        </w:rPr>
        <w:t xml:space="preserve"/>
      </w:r>
    </w:p>
    <w:p>
      <w:r>
        <w:rPr>
          <w:rFonts w:ascii="Kalpurush" w:cs="Kalpurush" w:eastAsia="Kalpurush" w:hAnsi="Kalpurush"/>
          <w:b/>
          <w:bCs/>
          <w:sz w:val="20"/>
          <w:szCs w:val="20"/>
        </w:rPr>
        <w:t xml:space="preserve">গুরুত্বপূর্ণ স্পষ্টীকরণ:</w:t>
      </w:r>
      <w:r>
        <w:rPr>
          <w:rFonts w:ascii="Kalpurush" w:cs="Kalpurush" w:eastAsia="Kalpurush" w:hAnsi="Kalpurush"/>
          <w:sz w:val="20"/>
          <w:szCs w:val="20"/>
        </w:rPr>
        <w:t xml:space="preserve"> এস.এ ২৩৮ নিজে স্বত্ব সৃষ্টি বা বিনাশ করে না।</w:t>
      </w:r>
    </w:p>
    <w:p>
      <w:r>
        <w:rPr>
          <w:rFonts w:ascii="Kalpurush" w:cs="Kalpurush" w:eastAsia="Kalpurush" w:hAnsi="Kalpurush"/>
        </w:rPr>
        <w:t xml:space="preserve"/>
      </w:r>
    </w:p>
    <w:p>
      <w:r>
        <w:rPr>
          <w:rFonts w:ascii="Kalpurush" w:cs="Kalpurush" w:eastAsia="Kalpurush" w:hAnsi="Kalpurush"/>
          <w:b/>
          <w:bCs/>
          <w:sz w:val="20"/>
          <w:szCs w:val="20"/>
        </w:rPr>
        <w:t xml:space="preserve">9 SCOB [2017] HCD 132 (Hossain Ali v. Bangladesh):</w:t>
      </w:r>
    </w:p>
    <w:p>
      <w:pPr>
        <w:ind w:left="720"/>
      </w:pPr>
      <w:r>
        <w:rPr>
          <w:rFonts w:ascii="Kalpurush" w:cs="Kalpurush" w:eastAsia="Kalpurush" w:hAnsi="Kalpurush"/>
          <w:i/>
          <w:iCs/>
          <w:sz w:val="20"/>
          <w:szCs w:val="20"/>
        </w:rPr>
        <w:t xml:space="preserve">*"The record-of-rights neither creates nor destroys title. It is merely a record of physical possession at the time when it is prepared."*</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বক্তব্য এস.এ ২৩৮ = স্বত্ব নয়। আপীল্যান্টপক্ষের বক্তব্য: এস.এ ২৩৮-এর এন্ট্রির সঠিকতা সম্পর্কে সংবিধিবদ্ধ অনুমান বিদ্যমান, এবং যে পক্ষ সেই অনুমানকে challenge করিতেছেন, তাহাকে নির্ভরযোগ্য ও আইনত গ্রহণযোগ্য সাক্ষ্য-প্রমাণ দ্বারা তা খণ্ডন করিতে হইবে।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১.২ উভয় পক্ষই একই এস্টেট হইতে পত্তন দাবি করিতেছেন — এই সাংঘর্ষিকতা যাচাইয়ের দাবি রাখে</w:t>
      </w:r>
    </w:p>
    <w:p>
      <w:r>
        <w:rPr>
          <w:rFonts w:ascii="Kalpurush" w:cs="Kalpurush" w:eastAsia="Kalpurush" w:hAnsi="Kalpurush"/>
        </w:rPr>
        <w:t xml:space="preserve"/>
      </w:r>
    </w:p>
    <w:p>
      <w:r>
        <w:rPr>
          <w:rFonts w:ascii="Kalpurush" w:cs="Kalpurush" w:eastAsia="Kalpurush" w:hAnsi="Kalpurush"/>
          <w:sz w:val="20"/>
          <w:szCs w:val="20"/>
        </w:rPr>
        <w:t xml:space="preserve">এই মামলায় একটি গুরুত্বপূর্ণ তথ্য বিজ্ঞ নিম্ন আদালত পর্যালোচনা করেননি:</w:t>
      </w:r>
    </w:p>
    <w:p>
      <w:r>
        <w:rPr>
          <w:rFonts w:ascii="Kalpurush" w:cs="Kalpurush" w:eastAsia="Kalpurush" w:hAnsi="Kalpurush"/>
        </w:rPr>
        <w:t xml:space="preserve"/>
      </w:r>
    </w:p>
    <w:p>
      <w:r>
        <w:rPr>
          <w:rFonts w:ascii="Kalpurush" w:cs="Kalpurush" w:eastAsia="Kalpurush" w:hAnsi="Kalpurush"/>
          <w:b/>
          <w:bCs/>
          <w:sz w:val="20"/>
          <w:szCs w:val="20"/>
        </w:rPr>
        <w:t xml:space="preserve">বাদীপক্ষের দাবি:</w:t>
      </w:r>
      <w:r>
        <w:rPr>
          <w:rFonts w:ascii="Kalpurush" w:cs="Kalpurush" w:eastAsia="Kalpurush" w:hAnsi="Kalpurush"/>
          <w:sz w:val="20"/>
          <w:szCs w:val="20"/>
        </w:rPr>
        <w:t xml:space="preserve"> আব্দুল আলী সেক আটিয়া জমিদার/ঢাকা নবাব আলী স্টেট হইতে পত্তনমূলে ৭৭৩ শতাংশ ভূমি পান, যাহার মধ্যে ১২৫৯ দাগ অন্তর্ভুক্ত।</w:t>
      </w:r>
    </w:p>
    <w:p>
      <w:r>
        <w:rPr>
          <w:rFonts w:ascii="Kalpurush" w:cs="Kalpurush" w:eastAsia="Kalpurush" w:hAnsi="Kalpurush"/>
        </w:rPr>
        <w:t xml:space="preserve"/>
      </w:r>
    </w:p>
    <w:p>
      <w:r>
        <w:rPr>
          <w:rFonts w:ascii="Kalpurush" w:cs="Kalpurush" w:eastAsia="Kalpurush" w:hAnsi="Kalpurush"/>
          <w:b/>
          <w:bCs/>
          <w:sz w:val="20"/>
          <w:szCs w:val="20"/>
        </w:rPr>
        <w:t xml:space="preserve">বিবাদীপক্ষের দাবি:</w:t>
      </w:r>
      <w:r>
        <w:rPr>
          <w:rFonts w:ascii="Kalpurush" w:cs="Kalpurush" w:eastAsia="Kalpurush" w:hAnsi="Kalpurush"/>
          <w:sz w:val="20"/>
          <w:szCs w:val="20"/>
        </w:rPr>
        <w:t xml:space="preserve"> একই ঢাকা নবাব স্টেট ১৫/০৯/১৯৩৪ তারিখে সি.এস ১২৫৯ দাগের ৩৪৯ শতাংশ ভূমি আব্দুল করিম বরাবর পত্তন প্রদান করেন।</w:t>
      </w:r>
    </w:p>
    <w:p>
      <w:r>
        <w:rPr>
          <w:rFonts w:ascii="Kalpurush" w:cs="Kalpurush" w:eastAsia="Kalpurush" w:hAnsi="Kalpurush"/>
        </w:rPr>
        <w:t xml:space="preserve"/>
      </w:r>
    </w:p>
    <w:p>
      <w:r>
        <w:rPr>
          <w:rFonts w:ascii="Kalpurush" w:cs="Kalpurush" w:eastAsia="Kalpurush" w:hAnsi="Kalpurush"/>
          <w:sz w:val="20"/>
          <w:szCs w:val="20"/>
        </w:rPr>
        <w:t xml:space="preserve">অর্থাৎ উভয় পক্ষই যখন একই এস্টেটের নিকট হইতে একই সি.এস দাগের ভূমি সম্পর্কে পৃথক পত্তনের দাবি করিতেছেন, তখন উভয় দাবির মধ্যে পরিমাণ, সীমানা, পত্তনের তারিখ ও পত্তনের ভিত্তি যাচাই করা অপরিহার্য হইয়া পড়ে। বিশেষত, বিবাদীপক্ষের কথিত ১৯৩৪ সালের পত্তন যদি ৩৪৯ শতাংশের জন্য হইয়া থাকে এবং আপীল্যান্টপক্ষ একই এস্টেট হইতে একই দাগের অংশের পত্তন দাবি করেন, তবে উভয় দাবির পারস্পরিক সামঞ্জস্য এবং পরবর্তী এস.এ রেকর্ডে তার প্রতিফলন আদালতের বিশেষ বিবেচনার বিষয়।</w:t>
      </w:r>
    </w:p>
    <w:p>
      <w:r>
        <w:rPr>
          <w:rFonts w:ascii="Kalpurush" w:cs="Kalpurush" w:eastAsia="Kalpurush" w:hAnsi="Kalpurush"/>
        </w:rPr>
        <w:t xml:space="preserve"/>
      </w:r>
    </w:p>
    <w:p>
      <w:r>
        <w:rPr>
          <w:rFonts w:ascii="Kalpurush" w:cs="Kalpurush" w:eastAsia="Kalpurush" w:hAnsi="Kalpurush"/>
          <w:sz w:val="20"/>
          <w:szCs w:val="20"/>
        </w:rPr>
        <w:t xml:space="preserve">এই বিরোধের প্রেক্ষিতে চূড়ান্তভাবে প্রকাশিত এস.এ রেকর্ড একটি গুরুত্বপূর্ণ দালিলিক পরিস্থিতি সৃষ্টি করে — যেখানে আব্দুল করিমের নাম নয়, আব্দুল আলীর নাম রেকর্ডভুক্ত হইয়াছে। ১৯৩৪ সালের কথিত পত্তন যদি বিবাদীপক্ষের দাবিমতো কার্যকর ও স্বীকৃত tenancy সৃষ্টি করিয়া থাকিত, তবে পরবর্তী এস.এ জরিপে তার প্রতিফলন থাকার বিষয়টি প্রত্যাশিত ছিল। কিন্তু প্রদর্শিত এস.এ রেকর্ডে আব্দুল করিম বা তাহার উত্তরাধিকারীদের নাম না থাকা বিষয়টি বিবাদীপক্ষের দাবির মূল্যায়নে একটি গুরুত্বপূর্ণ পরিস্থিতি।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১.৩ অনুমান খণ্ডনের দায়ভার কার?</w:t>
      </w:r>
    </w:p>
    <w:p>
      <w:r>
        <w:rPr>
          <w:rFonts w:ascii="Kalpurush" w:cs="Kalpurush" w:eastAsia="Kalpurush" w:hAnsi="Kalpurush"/>
        </w:rPr>
        <w:t xml:space="preserve"/>
      </w:r>
    </w:p>
    <w:p>
      <w:r>
        <w:rPr>
          <w:rFonts w:ascii="Kalpurush" w:cs="Kalpurush" w:eastAsia="Kalpurush" w:hAnsi="Kalpurush"/>
          <w:b/>
          <w:bCs/>
          <w:sz w:val="20"/>
          <w:szCs w:val="20"/>
        </w:rPr>
        <w:t xml:space="preserve">50 DLR 186 (Dayal Chandra Mondal v. Assistant Custodian):</w:t>
      </w:r>
    </w:p>
    <w:p>
      <w:pPr>
        <w:ind w:left="720"/>
      </w:pPr>
      <w:r>
        <w:rPr>
          <w:rFonts w:ascii="Kalpurush" w:cs="Kalpurush" w:eastAsia="Kalpurush" w:hAnsi="Kalpurush"/>
          <w:i/>
          <w:iCs/>
          <w:sz w:val="20"/>
          <w:szCs w:val="20"/>
        </w:rPr>
        <w:t xml:space="preserve">চূড়ান্ত প্রকাশিত খতিয়ানের এন্ট্রির সঠিকতার অনুমান বিপরীত প্রমাণ না হওয়া পর্যন্ত বহাল থাকে।</w:t>
      </w:r>
    </w:p>
    <w:p>
      <w:r>
        <w:rPr>
          <w:rFonts w:ascii="Kalpurush" w:cs="Kalpurush" w:eastAsia="Kalpurush" w:hAnsi="Kalpurush"/>
        </w:rPr>
        <w:t xml:space="preserve"/>
      </w:r>
    </w:p>
    <w:p>
      <w:r>
        <w:rPr>
          <w:rFonts w:ascii="Kalpurush" w:cs="Kalpurush" w:eastAsia="Kalpurush" w:hAnsi="Kalpurush"/>
          <w:b/>
          <w:bCs/>
          <w:sz w:val="20"/>
          <w:szCs w:val="20"/>
        </w:rPr>
        <w:t xml:space="preserve">56 DLR (AD) 53 (Government of Bangladesh v. AKM Abdul Hye):</w:t>
      </w:r>
    </w:p>
    <w:p>
      <w:pPr>
        <w:ind w:left="720"/>
      </w:pPr>
      <w:r>
        <w:rPr>
          <w:rFonts w:ascii="Kalpurush" w:cs="Kalpurush" w:eastAsia="Kalpurush" w:hAnsi="Kalpurush"/>
          <w:i/>
          <w:iCs/>
          <w:sz w:val="20"/>
          <w:szCs w:val="20"/>
        </w:rPr>
        <w:t xml:space="preserve">চূড়ান্ত প্রকাশিত খতিয়ানের বিপরীতে দাবি করা পক্ষকে সেই দাবির প্রমাণ দিতে হইবে।</w:t>
      </w:r>
    </w:p>
    <w:p>
      <w:r>
        <w:rPr>
          <w:rFonts w:ascii="Kalpurush" w:cs="Kalpurush" w:eastAsia="Kalpurush" w:hAnsi="Kalpurush"/>
        </w:rPr>
        <w:t xml:space="preserve"/>
      </w:r>
    </w:p>
    <w:p>
      <w:r>
        <w:rPr>
          <w:rFonts w:ascii="Kalpurush" w:cs="Kalpurush" w:eastAsia="Kalpurush" w:hAnsi="Kalpurush"/>
          <w:sz w:val="20"/>
          <w:szCs w:val="20"/>
        </w:rPr>
        <w:t xml:space="preserve">বিজ্ঞ নিম্ন আদালত "Bilquis Jahan vs. Syed Abdul Haliz" মামলার নীতি এমনভাবে প্রয়োগ করিয়াছেন যেন বাদীপক্ষকে প্রতিটি counter-assertion খণ্ডন করিতে হইবে। আপীল্যান্টপক্ষের বিনীত নিবেদনে আইনের প্রশ্ন এইরূপ নয়।</w:t>
      </w:r>
    </w:p>
    <w:p>
      <w:r>
        <w:rPr>
          <w:rFonts w:ascii="Kalpurush" w:cs="Kalpurush" w:eastAsia="Kalpurush" w:hAnsi="Kalpurush"/>
        </w:rPr>
        <w:t xml:space="preserve"/>
      </w:r>
    </w:p>
    <w:p>
      <w:r>
        <w:rPr>
          <w:rFonts w:ascii="Kalpurush" w:cs="Kalpurush" w:eastAsia="Kalpurush" w:hAnsi="Kalpurush"/>
          <w:sz w:val="20"/>
          <w:szCs w:val="20"/>
        </w:rPr>
        <w:t xml:space="preserve">সঠিক প্রশ্নটি হইলো: বাদীপক্ষ চূড়ান্তভাবে প্রকাশিত এস.এ রেকর্ড এবং ১৯৫৭ সালের নিবন্ধিত দলিল উপস্থাপন করিয়া সংবিধিবদ্ধ অনুমানসহ একটি prima facie ভিত্তি তৈরি করিয়াছেন। এরপর বিবাদীপক্ষ যখন দাবি করিতেছেন যে সেই এন্ট্রি পরবর্তী সংশোধনের মাধ্যমে পরিবর্তিত হইয়াছে, তখন উক্ত পরিবর্তনের ভিত্তি, কার্যধারা, আদেশ এবং তার আইনগত কার্যকারিতা প্রমাণ করার প্রাথমিক দায়িত্ব বিবাদীপক্ষের উপর বর্তায়। তবে আপীল্যান্টগণ নিজেদের দাবির পক্ষে এস.এ ২৩৮ নং চূড়ান্ত রেকর্ড ও অন্যান্য দালিলিক প্রমাণ উপস্থাপন করিয়া যে prima facie ভিত্তি সৃষ্টি করিয়াছেন, তা বিবাদীপক্ষের নির্ভরযোগ্য বিপরীত প্রমাণ দ্বারা খণ্ডিত হইয়াছে কি না — সেটিই আপিলের গুরুত্বপূর্ণ প্রশ্ন।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II — কথিত ১৯৬৯ সালের সংশোধন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২.১ কথিত মূল কার্যধারার নথি অনুপস্থিত: প্রমাণের ধারাবাহিকতায় গুরুতর ঘাটতি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সংশোধন-তত্ত্বের আইনগত ধারাবাহিকতা এইরূপ হওয়া প্রয়োজন ছিল: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মূল কার্যধারা (মিছ মোকদ্দমা ১১৮১/১৯৬৯) → বৈধ আদেশ/ডিক্রি → আইনানুগ কার্যকরণ → সংশোধিত ভলিউম এন্ট্রি</w:t>
      </w:r>
    </w:p>
    <w:p>
      <w:r>
        <w:rPr>
          <w:rFonts w:ascii="Kalpurush" w:cs="Kalpurush" w:eastAsia="Kalpurush" w:hAnsi="Kalpurush"/>
        </w:rPr>
        <w:t xml:space="preserve"/>
      </w:r>
    </w:p>
    <w:p>
      <w:r>
        <w:rPr>
          <w:rFonts w:ascii="Kalpurush" w:cs="Kalpurush" w:eastAsia="Kalpurush" w:hAnsi="Kalpurush"/>
          <w:sz w:val="20"/>
          <w:szCs w:val="20"/>
        </w:rPr>
        <w:t xml:space="preserve">কথিত উক্ত মিছ মোকদ্দমার আবেদনপত্র, আদেশপত্র, রায়, ডিক্রি বা সই-মুহুরী নকল — এর কোনোটি নিম্ন আদালতের নথিতে প্রমাণ হিসেবে উপস্থাপিত হইয়াছে বলিয়া প্রতীয়মান হয় না।</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নিবেদন:</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বিবাদীপক্ষ এই কথিত কার্যধারাকে তাহাদের title history-র substantive সংশোধন কার্যক্রম হিসেবে সুনির্দিষ্টভাবে নির্ভর করিতেছেন। অতএব, উক্ত কার্যধারার অস্তিত্ব, বিষয়বস্তু, আইনগত চরিত্র এবং কার্যকরী ফলাফল নির্ভরযোগ্য ও আইনত গ্রহণযোগ্য সাক্ষ্য-প্রমাণ দ্বারা প্রতিষ্ঠা করিবার দায় বিবাদীপক্ষের উপর। একটি consequential ভলিউম এন্ট্রি, এককভাবে, এই সমগ্র ধারাবাহিকতার প্রমাণ হইতে পারে না।</w:t>
      </w:r>
    </w:p>
    <w:p>
      <w:r>
        <w:rPr>
          <w:rFonts w:ascii="Kalpurush" w:cs="Kalpurush" w:eastAsia="Kalpurush" w:hAnsi="Kalpurush"/>
        </w:rPr>
        <w:t xml:space="preserve"/>
      </w:r>
    </w:p>
    <w:p>
      <w:r>
        <w:rPr>
          <w:rFonts w:ascii="Kalpurush" w:cs="Kalpurush" w:eastAsia="Kalpurush" w:hAnsi="Kalpurush"/>
          <w:b/>
          <w:bCs/>
          <w:sz w:val="20"/>
          <w:szCs w:val="20"/>
        </w:rPr>
        <w:t xml:space="preserve">আপীল মেমোর ৬ নং হেতু:</w:t>
      </w:r>
      <w:r>
        <w:rPr>
          <w:rFonts w:ascii="Kalpurush" w:cs="Kalpurush" w:eastAsia="Kalpurush" w:hAnsi="Kalpurush"/>
          <w:sz w:val="20"/>
          <w:szCs w:val="20"/>
        </w:rPr>
        <w:t xml:space="preserve"> জেলা জজ আদালতের রেকর্ড রুমে উক্ত মিছ মোকদ্দমার কোনো নথি সংরক্ষিত নাই — এই বিষয়ে বিবাদীপক্ষ কোনো সন্তোষজনক ব্যাখ্যা প্রমাণে উপস্থাপন করেন নাই।</w:t>
      </w:r>
    </w:p>
    <w:p>
      <w:r>
        <w:rPr>
          <w:rFonts w:ascii="Kalpurush" w:cs="Kalpurush" w:eastAsia="Kalpurush" w:hAnsi="Kalpurush"/>
        </w:rPr>
        <w:t xml:space="preserve"/>
      </w:r>
    </w:p>
    <w:p>
      <w:r>
        <w:rPr>
          <w:rFonts w:ascii="Kalpurush" w:cs="Kalpurush" w:eastAsia="Kalpurush" w:hAnsi="Kalpurush"/>
          <w:b/>
          <w:bCs/>
          <w:sz w:val="20"/>
          <w:szCs w:val="20"/>
        </w:rPr>
        <w:t xml:space="preserve">Evidence Act ধারা ১১৪(g):</w:t>
      </w:r>
    </w:p>
    <w:p>
      <w:r>
        <w:rPr>
          <w:rFonts w:ascii="Kalpurush" w:cs="Kalpurush" w:eastAsia="Kalpurush" w:hAnsi="Kalpurush"/>
        </w:rPr>
        <w:t xml:space="preserve"/>
      </w:r>
    </w:p>
    <w:p>
      <w:r>
        <w:rPr>
          <w:rFonts w:ascii="Kalpurush" w:cs="Kalpurush" w:eastAsia="Kalpurush" w:hAnsi="Kalpurush"/>
          <w:sz w:val="20"/>
          <w:szCs w:val="20"/>
        </w:rPr>
        <w:t xml:space="preserve">যদি মহামান্য আদালত সন্তুষ্ট হন যে কথিত মূল কার্যধারার প্রাথমিক নথি বিবাদীপক্ষের নিকট বা তাহাদের মাধ্যমে reasonably producible ছিল, কিন্তু কোনো যুক্তিসঙ্গত ব্যাখ্যা ব্যতীত তা উপস্থাপন করা হয়নি — তাহা হইলে Evidence Act, 1872-এর Section 114 illustration (g)-এর নীতি প্রাসঙ্গিক হইতে পারে।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২.২ "মিছ মোকদ্দমা"-র প্রকৃতি ও আইনগত এখতিয়ার প্রতিষ্ঠিত নয়</w:t>
      </w:r>
    </w:p>
    <w:p>
      <w:r>
        <w:rPr>
          <w:rFonts w:ascii="Kalpurush" w:cs="Kalpurush" w:eastAsia="Kalpurush" w:hAnsi="Kalpurush"/>
        </w:rPr>
        <w:t xml:space="preserve"/>
      </w:r>
    </w:p>
    <w:p>
      <w:r>
        <w:rPr>
          <w:rFonts w:ascii="Kalpurush" w:cs="Kalpurush" w:eastAsia="Kalpurush" w:hAnsi="Kalpurush"/>
          <w:sz w:val="20"/>
          <w:szCs w:val="20"/>
        </w:rPr>
        <w:t xml:space="preserve">এই অংশে আপীল্যান্টপক্ষ একটি বিকল্প যুক্তি উপস্থাপন করিতেছেন।</w:t>
      </w:r>
    </w:p>
    <w:p>
      <w:r>
        <w:rPr>
          <w:rFonts w:ascii="Kalpurush" w:cs="Kalpurush" w:eastAsia="Kalpurush" w:hAnsi="Kalpurush"/>
        </w:rPr>
        <w:t xml:space="preserve"/>
      </w:r>
    </w:p>
    <w:p>
      <w:r>
        <w:rPr>
          <w:rFonts w:ascii="Kalpurush" w:cs="Kalpurush" w:eastAsia="Kalpurush" w:hAnsi="Kalpurush"/>
          <w:sz w:val="20"/>
          <w:szCs w:val="20"/>
        </w:rPr>
        <w:t xml:space="preserve">তর্কের খাতিরে যদি ধরা হয় মিছ মোকদ্দমা ১১৮১/১৯৬৯ সত্যিই ছিল — তাহা হইলেও একটি গুরুত্বপূর্ণ আইনগত প্রশ্ন থাকে:</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কোনো কার্যধারার নাম "মিছ মোকদ্দমা" হইলেই তা substantive স্বত্ব বা tenancy interest adjudicate ও পরিবর্তন করিবার এখতিয়ারসম্পন্ন কার্যধারা হইয়া যায় না।</w:t>
      </w:r>
    </w:p>
    <w:p>
      <w:r>
        <w:rPr>
          <w:rFonts w:ascii="Kalpurush" w:cs="Kalpurush" w:eastAsia="Kalpurush" w:hAnsi="Kalpurush"/>
        </w:rPr>
        <w:t xml:space="preserve"/>
      </w:r>
    </w:p>
    <w:p>
      <w:r>
        <w:rPr>
          <w:rFonts w:ascii="Kalpurush" w:cs="Kalpurush" w:eastAsia="Kalpurush" w:hAnsi="Kalpurush"/>
          <w:sz w:val="20"/>
          <w:szCs w:val="20"/>
        </w:rPr>
        <w:t xml:space="preserve">রেভিনিউ কার্যধারার প্রকৃতি বিভিন্ন হইতে পারে — মিউটেশন, সংশোধন, সেটেলমেন্ট-সংক্রান্ত কার্যধারা, revisional কার্যধারা — এইগুলি একই বিষয় নয়। বিবাদীপক্ষকে সেই কার্যধারার প্রকৃতি, এখতিয়ার, পক্ষগণের বক্তব্য, আদেশ এবং কার্যকরী ফলাফল প্রতিষ্ঠা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53 DLR 19 (Shahera Khatun v. State):</w:t>
      </w:r>
    </w:p>
    <w:p>
      <w:pPr>
        <w:ind w:left="720"/>
      </w:pPr>
      <w:r>
        <w:rPr>
          <w:rFonts w:ascii="Kalpurush" w:cs="Kalpurush" w:eastAsia="Kalpurush" w:hAnsi="Kalpurush"/>
          <w:i/>
          <w:iCs/>
          <w:sz w:val="20"/>
          <w:szCs w:val="20"/>
        </w:rPr>
        <w:t xml:space="preserve">*"A Revenue Officer conducting a mutation inquiry does not become a court as he does not really adjudicate a right and he does not give a decision which is binding on the parties."*</w:t>
      </w:r>
    </w:p>
    <w:p>
      <w:r>
        <w:rPr>
          <w:rFonts w:ascii="Kalpurush" w:cs="Kalpurush" w:eastAsia="Kalpurush" w:hAnsi="Kalpurush"/>
        </w:rPr>
        <w:t xml:space="preserve"/>
      </w:r>
    </w:p>
    <w:p>
      <w:r>
        <w:rPr>
          <w:rFonts w:ascii="Kalpurush" w:cs="Kalpurush" w:eastAsia="Kalpurush" w:hAnsi="Kalpurush"/>
          <w:b/>
          <w:bCs/>
          <w:sz w:val="20"/>
          <w:szCs w:val="20"/>
        </w:rPr>
        <w:t xml:space="preserve">37 DLR (AD) 202 (Reazuddin v. Jatindra Kishore):</w:t>
      </w:r>
    </w:p>
    <w:p>
      <w:r>
        <w:rPr>
          <w:rFonts w:ascii="Kalpurush" w:cs="Kalpurush" w:eastAsia="Kalpurush" w:hAnsi="Kalpurush"/>
          <w:sz w:val="20"/>
          <w:szCs w:val="20"/>
        </w:rPr>
        <w:t xml:space="preserve">রেভিনিউ কার্যধারা মূলত দখল-সংক্রান্ত; substantive স্বত্ব নির্ধারণ তার scope-এর বাইরে।</w:t>
      </w:r>
    </w:p>
    <w:p>
      <w:r>
        <w:rPr>
          <w:rFonts w:ascii="Kalpurush" w:cs="Kalpurush" w:eastAsia="Kalpurush" w:hAnsi="Kalpurush"/>
        </w:rPr>
        <w:t xml:space="preserve"/>
      </w:r>
    </w:p>
    <w:p>
      <w:r>
        <w:rPr>
          <w:rFonts w:ascii="Kalpurush" w:cs="Kalpurush" w:eastAsia="Kalpurush" w:hAnsi="Kalpurush"/>
          <w:b/>
          <w:bCs/>
          <w:sz w:val="20"/>
          <w:szCs w:val="20"/>
        </w:rPr>
        <w:t xml:space="preserve">স্পষ্টীকরণ:</w:t>
      </w:r>
      <w:r>
        <w:rPr>
          <w:rFonts w:ascii="Kalpurush" w:cs="Kalpurush" w:eastAsia="Kalpurush" w:hAnsi="Kalpurush"/>
          <w:sz w:val="20"/>
          <w:szCs w:val="20"/>
        </w:rPr>
        <w:t xml:space="preserve"> এই নজিরসমূহ মিউটেশন কার্যধারার সাক্ষ্যগত মূল্য সম্পর্কে। আপীল্যান্টপক্ষ ইহা এইভাবে উপস্থাপন করিতেছেন: বিবাদীপক্ষকে দেখাইতে হইবে সেই মিছ মোকদ্দমা কোন প্রকৃতির ছিল এবং সেখানে substantive interest পরিবর্তনের আইনগত এখতিয়ার ছিল কি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III — এ.সি ল্যান্ড ভলিউম: প্রমাণগত মর্যাদা ও নির্ভরযোগ্যতা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৩.১ প্রদর্শনী গ-১-এর আইনগত মূল্য ও প্রমাণগত ভিত্তি</w:t>
      </w:r>
    </w:p>
    <w:p>
      <w:r>
        <w:rPr>
          <w:rFonts w:ascii="Kalpurush" w:cs="Kalpurush" w:eastAsia="Kalpurush" w:hAnsi="Kalpurush"/>
        </w:rPr>
        <w:t xml:space="preserve"/>
      </w:r>
    </w:p>
    <w:p>
      <w:r>
        <w:rPr>
          <w:rFonts w:ascii="Kalpurush" w:cs="Kalpurush" w:eastAsia="Kalpurush" w:hAnsi="Kalpurush"/>
          <w:sz w:val="20"/>
          <w:szCs w:val="20"/>
        </w:rPr>
        <w:t xml:space="preserve">এই মামলায় দুইটি দলিলের মধ্যে সাংঘর্ষিকতা রহিয়াছে:</w:t>
      </w:r>
    </w:p>
    <w:p>
      <w:r>
        <w:rPr>
          <w:rFonts w:ascii="Kalpurush" w:cs="Kalpurush" w:eastAsia="Kalpurush" w:hAnsi="Kalpurush"/>
        </w:rPr>
        <w:t xml:space="preserve"/>
      </w:r>
    </w:p>
    <w:p>
      <w:r>
        <w:rPr>
          <w:rFonts w:ascii="Kalpurush" w:cs="Kalpurush" w:eastAsia="Kalpurush" w:hAnsi="Kalpurush"/>
          <w:b/>
          <w:bCs/>
          <w:sz w:val="20"/>
          <w:szCs w:val="20"/>
        </w:rPr>
        <w:t xml:space="preserve">দলিল ক:</w:t>
      </w:r>
      <w:r>
        <w:rPr>
          <w:rFonts w:ascii="Kalpurush" w:cs="Kalpurush" w:eastAsia="Kalpurush" w:hAnsi="Kalpurush"/>
          <w:sz w:val="20"/>
          <w:szCs w:val="20"/>
        </w:rPr>
        <w:t xml:space="preserve"> জেলা রেকর্ড রুম হইতে প্রদত্ত এস.এ ২৩৮-এর ইনফরমেশন স্লিপ ও জাবেদা নকল (প্রদর্শনী-১ ও ৪) — SAT Act ধারা ১৪৪ক-এর অধীনে সংবিধিবদ্ধ অনুমান বহন করে।</w:t>
      </w:r>
    </w:p>
    <w:p>
      <w:r>
        <w:rPr>
          <w:rFonts w:ascii="Kalpurush" w:cs="Kalpurush" w:eastAsia="Kalpurush" w:hAnsi="Kalpurush"/>
        </w:rPr>
        <w:t xml:space="preserve"/>
      </w:r>
    </w:p>
    <w:p>
      <w:r>
        <w:rPr>
          <w:rFonts w:ascii="Kalpurush" w:cs="Kalpurush" w:eastAsia="Kalpurush" w:hAnsi="Kalpurush"/>
          <w:b/>
          <w:bCs/>
          <w:sz w:val="20"/>
          <w:szCs w:val="20"/>
        </w:rPr>
        <w:t xml:space="preserve">দলিল খ:</w:t>
      </w:r>
      <w:r>
        <w:rPr>
          <w:rFonts w:ascii="Kalpurush" w:cs="Kalpurush" w:eastAsia="Kalpurush" w:hAnsi="Kalpurush"/>
          <w:sz w:val="20"/>
          <w:szCs w:val="20"/>
        </w:rPr>
        <w:t xml:space="preserve"> এ.সি. ল্যান্ড (সখিপুর) হইতে তলবকৃত ভলিউম (প্রদর্শনী গ-১) — যার উৎস, কর্তৃপক্ষ, প্রস্তুতকারক, তারিখ ও প্রস্তুত-প্রক্রিয়া নিম্ন আদালতে প্রমাণিত হয়নি।</w:t>
      </w:r>
    </w:p>
    <w:p>
      <w:r>
        <w:rPr>
          <w:rFonts w:ascii="Kalpurush" w:cs="Kalpurush" w:eastAsia="Kalpurush" w:hAnsi="Kalpurush"/>
        </w:rPr>
        <w:t xml:space="preserve"/>
      </w:r>
    </w:p>
    <w:p>
      <w:r>
        <w:rPr>
          <w:rFonts w:ascii="Kalpurush" w:cs="Kalpurush" w:eastAsia="Kalpurush" w:hAnsi="Kalpurush"/>
          <w:sz w:val="20"/>
          <w:szCs w:val="20"/>
        </w:rPr>
        <w:t xml:space="preserve">প্রথমত, প্রদর্শনী গ-১-এর প্রকৃতি কী — ইহা কি ধারা ১৪৩-এর অধীন মিউটেশন/নামজারি-সংক্রান্ত রেকর্ড, নাকি অন্য কোনো কার্যধারার ভিত্তিতে প্রস্তুত ভলিউম — তা নির্ধারণ করা প্রয়োজন। দ্বিতীয়ত, ইহা যদি ধারা ১৪৩-এর অধীন মিউটেশন রেকর্ড হয়, তাহা হইলে —</w:t>
      </w:r>
    </w:p>
    <w:p>
      <w:r>
        <w:rPr>
          <w:rFonts w:ascii="Kalpurush" w:cs="Kalpurush" w:eastAsia="Kalpurush" w:hAnsi="Kalpurush"/>
        </w:rPr>
        <w:t xml:space="preserve"/>
      </w:r>
    </w:p>
    <w:p>
      <w:r>
        <w:rPr>
          <w:rFonts w:ascii="Kalpurush" w:cs="Kalpurush" w:eastAsia="Kalpurush" w:hAnsi="Kalpurush"/>
          <w:b/>
          <w:bCs/>
          <w:sz w:val="20"/>
          <w:szCs w:val="20"/>
        </w:rPr>
        <w:t xml:space="preserve">53 DLR 19 (Shahera Khatun):</w:t>
      </w:r>
    </w:p>
    <w:p>
      <w:pPr>
        <w:ind w:left="720"/>
      </w:pPr>
      <w:r>
        <w:rPr>
          <w:rFonts w:ascii="Kalpurush" w:cs="Kalpurush" w:eastAsia="Kalpurush" w:hAnsi="Kalpurush"/>
          <w:i/>
          <w:iCs/>
          <w:sz w:val="20"/>
          <w:szCs w:val="20"/>
        </w:rPr>
        <w:t xml:space="preserve">*"The revision of the record of rights under section 144 of the Act has presumptive value, but any order of mutation of the record made under section 143 of the Act has no such presumptive value."*</w:t>
      </w:r>
    </w:p>
    <w:p>
      <w:r>
        <w:rPr>
          <w:rFonts w:ascii="Kalpurush" w:cs="Kalpurush" w:eastAsia="Kalpurush" w:hAnsi="Kalpurush"/>
        </w:rPr>
        <w:t xml:space="preserve"/>
      </w:r>
    </w:p>
    <w:p>
      <w:r>
        <w:rPr>
          <w:rFonts w:ascii="Kalpurush" w:cs="Kalpurush" w:eastAsia="Kalpurush" w:hAnsi="Kalpurush"/>
          <w:sz w:val="20"/>
          <w:szCs w:val="20"/>
        </w:rPr>
        <w:t xml:space="preserve">— এর প্রমাণগত মর্যাদা চূড়ান্তভাবে প্রকাশিত record-of-rights-এর সমপর্যায়ের নয়। তৃতীয়ত, ইহা যদি অন্য কোনো কার্যধারার ফল হয়, তাহা হইলে সেই কার্যধারার আইনগত ভিত্তি ও আদেশ প্রমাণ করা আবশ্যক।</w:t>
      </w:r>
    </w:p>
    <w:p>
      <w:r>
        <w:rPr>
          <w:rFonts w:ascii="Kalpurush" w:cs="Kalpurush" w:eastAsia="Kalpurush" w:hAnsi="Kalpurush"/>
        </w:rPr>
        <w:t xml:space="preserve"/>
      </w:r>
    </w:p>
    <w:p>
      <w:r>
        <w:rPr>
          <w:rFonts w:ascii="Kalpurush" w:cs="Kalpurush" w:eastAsia="Kalpurush" w:hAnsi="Kalpurush"/>
          <w:sz w:val="20"/>
          <w:szCs w:val="20"/>
        </w:rPr>
        <w:t xml:space="preserve">মূল প্রশ্ন কোন office-এর custody নয়; মূল প্রশ্ন: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প্রদর্শনী গ-১ কীভাবে, কোন কর্তৃপক্ষের মাধ্যমে এবং কোন কার্যধারার ভিত্তিতে প্রস্তুত — এবং সেই ভিত্তি কি নির্ভরযোগ্যভাবে প্রমাণিত?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৩.২ ডি.ডব্লিউ.-৪-এর জবানবন্দি ও জেরায় ভলিউমের সত্যতা ও নির্ভরযোগ্যতা সম্পর্কে গুরুতর প্রশ্ন</w:t>
      </w:r>
    </w:p>
    <w:p>
      <w:r>
        <w:rPr>
          <w:rFonts w:ascii="Kalpurush" w:cs="Kalpurush" w:eastAsia="Kalpurush" w:hAnsi="Kalpurush"/>
        </w:rPr>
        <w:t xml:space="preserve"/>
      </w:r>
    </w:p>
    <w:p>
      <w:r>
        <w:rPr>
          <w:rFonts w:ascii="Kalpurush" w:cs="Kalpurush" w:eastAsia="Kalpurush" w:hAnsi="Kalpurush"/>
          <w:sz w:val="20"/>
          <w:szCs w:val="20"/>
        </w:rPr>
        <w:t xml:space="preserve">বিবাদীপক্ষ মোঃ আজম খানকে ভলিউম সাক্ষী (volume witness) হিসেবে আদালতে উপস্থাপন করিয়াছিলেন — সুনির্দিষ্টভাবে এই ভলিউমের সত্যতা প্রতিষ্ঠা করিতে।</w:t>
      </w:r>
    </w:p>
    <w:p>
      <w:r>
        <w:rPr>
          <w:rFonts w:ascii="Kalpurush" w:cs="Kalpurush" w:eastAsia="Kalpurush" w:hAnsi="Kalpurush"/>
        </w:rPr>
        <w:t xml:space="preserve"/>
      </w:r>
    </w:p>
    <w:p>
      <w:r>
        <w:rPr>
          <w:rFonts w:ascii="Kalpurush" w:cs="Kalpurush" w:eastAsia="Kalpurush" w:hAnsi="Kalpurush"/>
          <w:sz w:val="20"/>
          <w:szCs w:val="20"/>
        </w:rPr>
        <w:t xml:space="preserve">কিন্তু ডি.ডব্লিউ.-৪ জেরায় স্বীকার করিয়াছেন:</w:t>
      </w:r>
    </w:p>
    <w:p>
      <w:pPr>
        <w:ind w:left="720"/>
      </w:pPr>
      <w:r>
        <w:rPr>
          <w:rFonts w:ascii="Kalpurush" w:cs="Kalpurush" w:eastAsia="Kalpurush" w:hAnsi="Kalpurush"/>
          <w:i/>
          <w:iCs/>
          <w:sz w:val="20"/>
          <w:szCs w:val="20"/>
        </w:rPr>
        <w:t xml:space="preserve">*"ভলিউমে মন্তব্য কলামে মিসকেস নাম্বার কত লিখা তা বুঝা যায় না। কে বা কত তারিখ তা লিখা হয়েছে বলতে পারব না। যোগসাজসে লিখা হয়েছে কিনা জানা নাই।"*</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*"আব্দুল আলীম ও সোনা ভানু বিবির নাম ভিন্ন কালিতে লিখা আছে... সোনা ভানুর নাম ভিন্ন কালিতে কেন লিখা বলতে পারব না।"*</w:t>
      </w:r>
    </w:p>
    <w:p>
      <w:r>
        <w:rPr>
          <w:rFonts w:ascii="Kalpurush" w:cs="Kalpurush" w:eastAsia="Kalpurush" w:hAnsi="Kalpurush"/>
        </w:rPr>
        <w:t xml:space="preserve"/>
      </w:r>
    </w:p>
    <w:p>
      <w:r>
        <w:rPr>
          <w:rFonts w:ascii="Kalpurush" w:cs="Kalpurush" w:eastAsia="Kalpurush" w:hAnsi="Kalpurush"/>
          <w:b/>
          <w:bCs/>
          <w:sz w:val="20"/>
          <w:szCs w:val="20"/>
        </w:rPr>
        <w:t xml:space="preserve">আইনগত তাৎপর্য:</w:t>
      </w:r>
      <w:r>
        <w:rPr>
          <w:rFonts w:ascii="Kalpurush" w:cs="Kalpurush" w:eastAsia="Kalpurush" w:hAnsi="Kalpurush"/>
          <w:sz w:val="20"/>
          <w:szCs w:val="20"/>
        </w:rPr>
        <w:t xml:space="preserve"> একটি দলিলের authenticating witness যখন স্বীকার করেন যে তিনি (ক) কেস নম্বর পড়িতে পারিতেছেন না, (খ) কে কখন লিখিয়াছেন জানেন না, (গ) ভিন্ন কালির কারণ ব্যাখ্যা করিতে পারিতেছেন না — তখন প্রদর্শনী গ-১-এর উৎস, প্রস্তুতপ্রণালী, সংশোধনের ভিত্তি এবং সত্যতা সম্পর্কে গুরুতর প্রশ্নের সৃষ্টি হয়।</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নিবেদন:</w:t>
      </w:r>
    </w:p>
    <w:p>
      <w:pPr>
        <w:ind w:left="720"/>
      </w:pPr>
      <w:r>
        <w:rPr>
          <w:rFonts w:ascii="Kalpurush" w:cs="Kalpurush" w:eastAsia="Kalpurush" w:hAnsi="Kalpurush"/>
          <w:i/>
          <w:iCs/>
          <w:sz w:val="20"/>
          <w:szCs w:val="20"/>
        </w:rPr>
        <w:t xml:space="preserve">এই পরিস্থিতিসমূহ ভলিউম এন্ট্রির নির্ভরযোগ্যতা ও প্রমাণগত ওজনকে বস্তুগতভাবে প্রভাবিত করে এবং এর উৎস, কর্তৃপক্ষ ও সত্যতার কঠোর প্রমাণের দাবি রাখে — যে প্রমাণ প্রদান করা হয়নি।</w:t>
      </w:r>
    </w:p>
    <w:p>
      <w:r>
        <w:rPr>
          <w:rFonts w:ascii="Kalpurush" w:cs="Kalpurush" w:eastAsia="Kalpurush" w:hAnsi="Kalpurush"/>
        </w:rPr>
        <w:t xml:space="preserve"/>
      </w:r>
    </w:p>
    <w:p>
      <w:r>
        <w:rPr>
          <w:rFonts w:ascii="Kalpurush" w:cs="Kalpurush" w:eastAsia="Kalpurush" w:hAnsi="Kalpurush"/>
          <w:sz w:val="20"/>
          <w:szCs w:val="20"/>
        </w:rPr>
        <w:t xml:space="preserve">ফলে উক্ত ভলিউমের এন্ট্রিকে চূড়ান্তভাবে প্রকাশিত এস.এ রেকর্ডকে পরাস্ত করিবার মতো নির্ভরযোগ্য ও ওজনদার প্রমাণ হিসেবে গ্রহণ করিবার পূর্বে এর উৎস ও আইনগত ভিত্তি কঠোরভাবে যাচাই করা প্রয়োজন। আপীল্যান্টপক্ষ কোনো definitive factual conclusion চাপাইয়া দিতেছেন না; বরং বলিতেছেন — এন্ট্রির নির্ভরযোগ্যতার প্রশ্নটি open রহিয়াছে, এবং সেই open প্রশ্নে চূড়ান্তভাবে প্রকাশিত রেকর্ডের অনুমান অক্ষুণ্ণ থাকে।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৩.৩ ৩৪৯ বনাম ৩৪০ শতাংশ — অতিরিক্ত ৯ শতাংশের ব্যাখ্যা কোথায়?</w:t>
      </w:r>
    </w:p>
    <w:p>
      <w:r>
        <w:rPr>
          <w:rFonts w:ascii="Kalpurush" w:cs="Kalpurush" w:eastAsia="Kalpurush" w:hAnsi="Kalpurush"/>
        </w:rPr>
        <w:t xml:space="preserve"/>
      </w:r>
    </w:p>
    <w:p>
      <w:r>
        <w:rPr>
          <w:rFonts w:ascii="Kalpurush" w:cs="Kalpurush" w:eastAsia="Kalpurush" w:hAnsi="Kalpurush"/>
          <w:sz w:val="20"/>
          <w:szCs w:val="20"/>
        </w:rPr>
        <w:t xml:space="preserve">একটি বিষয় বিজ্ঞ নিম্ন আদালত পর্যালোচনা করেননি:</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বাদীপক্ষের জেলা রেকর্ড রুমের নকলে ১২৫৯ দাগে ভূমি: </w:t>
      </w:r>
      <w:r>
        <w:rPr>
          <w:rFonts w:ascii="Kalpurush" w:cs="Kalpurush" w:eastAsia="Kalpurush" w:hAnsi="Kalpurush"/>
          <w:b/>
          <w:bCs/>
          <w:sz w:val="20"/>
          <w:szCs w:val="20"/>
        </w:rPr>
        <w:t xml:space="preserve">৩৪০ শতাংশ</w:t>
      </w:r>
    </w:p>
    <w:p>
      <w:pPr>
        <w:pStyle w:val="ListParagraph"/>
        <w:numPr>
          <w:ilvl w:val="0"/>
          <w:numId w:val="1"/>
        </w:numPr>
      </w:pPr>
      <w:r>
        <w:rPr>
          <w:rFonts w:ascii="Kalpurush" w:cs="Kalpurush" w:eastAsia="Kalpurush" w:hAnsi="Kalpurush"/>
          <w:sz w:val="20"/>
          <w:szCs w:val="20"/>
        </w:rPr>
        <w:t xml:space="preserve">বিবাদীপক্ষের ভলিউম এন্ট্রিতে ১২৫৯ দাগে ভূমি: </w:t>
      </w:r>
      <w:r>
        <w:rPr>
          <w:rFonts w:ascii="Kalpurush" w:cs="Kalpurush" w:eastAsia="Kalpurush" w:hAnsi="Kalpurush"/>
          <w:b/>
          <w:bCs/>
          <w:sz w:val="20"/>
          <w:szCs w:val="20"/>
        </w:rPr>
        <w:t xml:space="preserve">৩৪৯ শতাংশ</w:t>
      </w:r>
    </w:p>
    <w:p>
      <w:r>
        <w:rPr>
          <w:rFonts w:ascii="Kalpurush" w:cs="Kalpurush" w:eastAsia="Kalpurush" w:hAnsi="Kalpurush"/>
        </w:rPr>
        <w:t xml:space="preserve"/>
      </w:r>
    </w:p>
    <w:p>
      <w:r>
        <w:rPr>
          <w:rFonts w:ascii="Kalpurush" w:cs="Kalpurush" w:eastAsia="Kalpurush" w:hAnsi="Kalpurush"/>
          <w:sz w:val="20"/>
          <w:szCs w:val="20"/>
        </w:rPr>
        <w:t xml:space="preserve">উভয় নথিতে একই দাগের জমির পরিমাণ ৩৪০ ও ৩৪৯ শতাংশ হিসেবে ভিন্নভাবে প্রতীয়মান হওয়ায়, এই ৯ শতাংশের পার্থক্যের উৎস ও আইনগত ভিত্তি ব্যাখ্যা করা প্রয়োজন। বিশেষত, যে ভলিউমের এন্ট্রিকে এস.এ ২৩৮-এর পরবর্তী সংশোধনের প্রমাণ হিসেবে নির্ভর করা হইয়াছে, সেই ভলিউমে অতিরিক্ত ৯ শতাংশ কীভাবে অন্তর্ভুক্ত হইলো — তার কোনো নির্ভরযোগ্য ব্যাখ্যা প্রমাণে আছে কি না, তা আদালতের বিবেচ্য।</w:t>
      </w:r>
    </w:p>
    <w:p>
      <w:r>
        <w:rPr>
          <w:rFonts w:ascii="Kalpurush" w:cs="Kalpurush" w:eastAsia="Kalpurush" w:hAnsi="Kalpurush"/>
        </w:rPr>
        <w:t xml:space="preserve"/>
      </w:r>
    </w:p>
    <w:p>
      <w:r>
        <w:rPr>
          <w:rFonts w:ascii="Kalpurush" w:cs="Kalpurush" w:eastAsia="Kalpurush" w:hAnsi="Kalpurush"/>
          <w:sz w:val="20"/>
          <w:szCs w:val="20"/>
        </w:rPr>
        <w:t xml:space="preserve">মূল কার্যধারার অভাবের পাশাপাশি এই পার্থক্য — এন্ট্রির সত্যতা সম্পর্কে আরেকটি প্রশ্নের জন্ম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IV — স্বাধীন দালিলিক অসামঞ্জস্য: ১৯৭৫ সালের দলিল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৪.১ বিবাদীপক্ষের নিজস্ব ১৯৭৫ সালের দলিল তাহাদের সংশোধন-তত্ত্বের সহিত সঙ্গতিপূর্ণ বলিয়া প্রতীয়মান নয়</w:t>
      </w:r>
    </w:p>
    <w:p>
      <w:r>
        <w:rPr>
          <w:rFonts w:ascii="Kalpurush" w:cs="Kalpurush" w:eastAsia="Kalpurush" w:hAnsi="Kalpurush"/>
        </w:rPr>
        <w:t xml:space="preserve"/>
      </w:r>
    </w:p>
    <w:p>
      <w:r>
        <w:rPr>
          <w:rFonts w:ascii="Kalpurush" w:cs="Kalpurush" w:eastAsia="Kalpurush" w:hAnsi="Kalpurush"/>
          <w:sz w:val="20"/>
          <w:szCs w:val="20"/>
        </w:rPr>
        <w:t xml:space="preserve">বিবাদীপক্ষের দাখিলকৃত ৩৫৯৬/১৯৭৫ নং নিবন্ধিত দলিলে (বেলুয়া খাতুন হইতে আব্দুর রহমান ও শামছুল হক বরাবর) এস.এ ২৩৮ নং খতিয়ানের অধীনে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ভূমির বিবরণ আছে।</w:t>
      </w:r>
    </w:p>
    <w:p>
      <w:r>
        <w:rPr>
          <w:rFonts w:ascii="Kalpurush" w:cs="Kalpurush" w:eastAsia="Kalpurush" w:hAnsi="Kalpurush"/>
        </w:rPr>
        <w:t xml:space="preserve"/>
      </w:r>
    </w:p>
    <w:p>
      <w:r>
        <w:rPr>
          <w:rFonts w:ascii="Kalpurush" w:cs="Kalpurush" w:eastAsia="Kalpurush" w:hAnsi="Kalpurush"/>
          <w:sz w:val="20"/>
          <w:szCs w:val="20"/>
        </w:rPr>
        <w:t xml:space="preserve">কিন্তু বিবাদীপক্ষের সংশোধন-তত্ত্ব বলিতেছে: ১৯৬৯ সালের মিছ মোকদ্দমার পরে এস.এ ২৩৮-এ কেবল </w:t>
      </w:r>
      <w:r>
        <w:rPr>
          <w:rFonts w:ascii="Kalpurush" w:cs="Kalpurush" w:eastAsia="Kalpurush" w:hAnsi="Kalpurush"/>
          <w:b/>
          <w:bCs/>
          <w:sz w:val="20"/>
          <w:szCs w:val="20"/>
        </w:rPr>
        <w:t xml:space="preserve">১টি দাগ (১২৫৯)।</w:t>
      </w:r>
    </w:p>
    <w:p>
      <w:r>
        <w:rPr>
          <w:rFonts w:ascii="Kalpurush" w:cs="Kalpurush" w:eastAsia="Kalpurush" w:hAnsi="Kalpurush"/>
        </w:rPr>
        <w:t xml:space="preserve"/>
      </w:r>
    </w:p>
    <w:p>
      <w:r>
        <w:rPr>
          <w:rFonts w:ascii="Kalpurush" w:cs="Kalpurush" w:eastAsia="Kalpurush" w:hAnsi="Kalpurush"/>
          <w:sz w:val="20"/>
          <w:szCs w:val="20"/>
        </w:rPr>
        <w:t xml:space="preserve">এই দুইটি অবস্থানের মধ্যে prima facie অসামঞ্জস্য রহিয়াছে। অর্থাৎ ১৯৬৯ সালের ৬ বছর পরে, ১৯৭৫ সালে, বিবাদীপক্ষের নিজস্ব নিবন্ধিত দলিলে এস.এ ২৩৮-এ ৬টি দাগ দেখানো হইতেছে।</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প্রশ্ন:</w:t>
      </w:r>
    </w:p>
    <w:p>
      <w:pPr>
        <w:ind w:left="720"/>
      </w:pPr>
      <w:r>
        <w:rPr>
          <w:rFonts w:ascii="Kalpurush" w:cs="Kalpurush" w:eastAsia="Kalpurush" w:hAnsi="Kalpurush"/>
          <w:i/>
          <w:iCs/>
          <w:sz w:val="20"/>
          <w:szCs w:val="20"/>
        </w:rPr>
        <w:t xml:space="preserve">১৯৬৯ সালের কথিত সংশোধন যদি সত্যিই এস.এ ২৩৮-কে এক দাগে সীমিত করিয়া থাকে — তাহা হইলে ১৯৭৫ সালে বিবাদীপক্ষের নিজস্ব দলিলে ছয়টি দাগের বিবরণের দালিলিক ভিত্তি কী?</w:t>
      </w:r>
    </w:p>
    <w:p>
      <w:r>
        <w:rPr>
          <w:rFonts w:ascii="Kalpurush" w:cs="Kalpurush" w:eastAsia="Kalpurush" w:hAnsi="Kalpurush"/>
        </w:rPr>
        <w:t xml:space="preserve"/>
      </w:r>
    </w:p>
    <w:p>
      <w:r>
        <w:rPr>
          <w:rFonts w:ascii="Kalpurush" w:cs="Kalpurush" w:eastAsia="Kalpurush" w:hAnsi="Kalpurush"/>
          <w:sz w:val="20"/>
          <w:szCs w:val="20"/>
        </w:rPr>
        <w:t xml:space="preserve">উক্ত দলিলটি বিবাদীপক্ষের নিজস্ব উপস্থাপিত দালিলিক প্রমাণ হওয়ায়, তাহাদের সংশোধন-তত্ত্বের সহিত এর আপাত অসামঞ্জস্যের কোনো সন্তোষজনক ব্যাখ্যা প্রমাণে আছে কি না, তা বিশেষভাবে বিবেচনা করা প্রয়োজন।</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 ইহাকে automatic estoppel বা admission বলিতেছেন না। কিন্তু ইহা একটি গুরুত্বপূর্ণ দালিলিক অসামঞ্জস্য যা বিবাদীপক্ষের সংশোধন-তত্ত্বের প্রমাণগত নির্ভরযোগ্যতাকে গুরুতরভাবে প্রশ্নবিদ্ধ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V — বিবাদীপক্ষের স্বত্বের ধারাবাহিকতা (Title Chain)</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৫.১ ১৯৩৪ সালের কথিত পত্তন — মূল দালিলিক ভিত্তি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দাবিকৃত স্বত্ব/স্বার্থের ভিত্তি মূলত এই কথিত ১৯৩৪ সালের পত্তনের উপর নির্ভরশীল:</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ঢাকা নবাব স্টেট ১৫/০৯/১৯৩৪ তারিখে সি.এস ১২৫৯ দাগের ৩৪৯ শতাংশ ভূমি আব্দুল করিম বরাবর পত্তন প্রদান করেন।</w:t>
      </w:r>
    </w:p>
    <w:p>
      <w:r>
        <w:rPr>
          <w:rFonts w:ascii="Kalpurush" w:cs="Kalpurush" w:eastAsia="Kalpurush" w:hAnsi="Kalpurush"/>
        </w:rPr>
        <w:t xml:space="preserve"/>
      </w:r>
    </w:p>
    <w:p>
      <w:r>
        <w:rPr>
          <w:rFonts w:ascii="Kalpurush" w:cs="Kalpurush" w:eastAsia="Kalpurush" w:hAnsi="Kalpurush"/>
          <w:sz w:val="20"/>
          <w:szCs w:val="20"/>
        </w:rPr>
        <w:t xml:space="preserve">এই কথিত পত্তনের পাট্টা, কবুলিয়ত, নিবন্ধিত পত্তননামা, বা নবাব এস্টেটের রেকর্ডে কোনো প্রতিফলন নিম্ন আদালতে উপস্থাপিত হয়নি।</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অবস্থান সুস্পষ্ট:</w:t>
      </w:r>
      <w:r>
        <w:rPr>
          <w:rFonts w:ascii="Kalpurush" w:cs="Kalpurush" w:eastAsia="Kalpurush" w:hAnsi="Kalpurush"/>
          <w:sz w:val="20"/>
          <w:szCs w:val="20"/>
        </w:rPr>
        <w:t xml:space="preserve"> আপীল্যান্টপক্ষ নিশ্চিতভাবে বলিতেছেন না যে আব্দুল করিমের কোনো tenancy ছিল না। আপীল্যান্টপক্ষের নিবেদন:</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বিবাদীপক্ষ এই কথিত ১৯৩৪ সালের পত্তনকে তাহাদের স্বত্বের ভিত্তি হিসেবে সুনির্দিষ্টভাবে নির্ভর করিতেছেন। এস.এ জরিপ (যা ১৯৩৪ সালের পরে হইয়াছে) যদি এই পত্তনকে genuine হিসেবে দেখিত, তাহা হইলে আব্দুল করিম বা তাহার উত্তরাধিকারীদের নাম এস.এ রেকর্ডে প্রতিফলিত হওয়ার বিষয়টি প্রত্যাশিত ছিল। সেটি না হওয়া, এবং মূল পত্তন দলিলের অনুপস্থিতি — উভয়ই বিবাদীপক্ষের দাবির ভিত্তিতে একটি গুরুত্বপূর্ণ প্রমাণগত ঘাটতি সৃষ্টি করে।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৫.২ বেলুয়া খাতুন — ধারাবাহিকতায় অপ্রমাণিত সংযোগ</w:t>
      </w:r>
    </w:p>
    <w:p>
      <w:r>
        <w:rPr>
          <w:rFonts w:ascii="Kalpurush" w:cs="Kalpurush" w:eastAsia="Kalpurush" w:hAnsi="Kalpurush"/>
        </w:rPr>
        <w:t xml:space="preserve"/>
      </w:r>
    </w:p>
    <w:p>
      <w:r>
        <w:rPr>
          <w:rFonts w:ascii="Kalpurush" w:cs="Kalpurush" w:eastAsia="Kalpurush" w:hAnsi="Kalpurush"/>
          <w:sz w:val="20"/>
          <w:szCs w:val="20"/>
        </w:rPr>
        <w:t xml:space="preserve">বিবাদীপক্ষের উত্তরাধিকার ধারা:</w:t>
      </w:r>
    </w:p>
    <w:p>
      <w:pPr>
        <w:ind w:left="720"/>
      </w:pPr>
      <w:r>
        <w:rPr>
          <w:rFonts w:ascii="Kalpurush" w:cs="Kalpurush" w:eastAsia="Kalpurush" w:hAnsi="Kalpurush"/>
          <w:i/>
          <w:iCs/>
          <w:sz w:val="20"/>
          <w:szCs w:val="20"/>
        </w:rPr>
        <w:t xml:space="preserve">আব্দুল করিম → আব্দুল কদ্দুছ → </w:t>
      </w:r>
      <w:r>
        <w:rPr>
          <w:rFonts w:ascii="Kalpurush" w:cs="Kalpurush" w:eastAsia="Kalpurush" w:hAnsi="Kalpurush"/>
          <w:b/>
          <w:bCs/>
          <w:i/>
          <w:iCs/>
          <w:sz w:val="20"/>
          <w:szCs w:val="20"/>
        </w:rPr>
        <w:t xml:space="preserve">বেলুয়া খাতুন</w:t>
      </w:r>
      <w:r>
        <w:rPr>
          <w:rFonts w:ascii="Kalpurush" w:cs="Kalpurush" w:eastAsia="Kalpurush" w:hAnsi="Kalpurush"/>
          <w:i/>
          <w:iCs/>
          <w:sz w:val="20"/>
          <w:szCs w:val="20"/>
        </w:rPr>
        <w:t xml:space="preserve"> (১৯৭৫ দলিলে বিক্রেতা)</w:t>
      </w:r>
    </w:p>
    <w:p>
      <w:r>
        <w:rPr>
          <w:rFonts w:ascii="Kalpurush" w:cs="Kalpurush" w:eastAsia="Kalpurush" w:hAnsi="Kalpurush"/>
        </w:rPr>
        <w:t xml:space="preserve"/>
      </w:r>
    </w:p>
    <w:p>
      <w:r>
        <w:rPr>
          <w:rFonts w:ascii="Kalpurush" w:cs="Kalpurush" w:eastAsia="Kalpurush" w:hAnsi="Kalpurush"/>
          <w:sz w:val="20"/>
          <w:szCs w:val="20"/>
        </w:rPr>
        <w:t xml:space="preserve">এবং অন্যদিকে:</w:t>
      </w:r>
    </w:p>
    <w:p>
      <w:pPr>
        <w:ind w:left="720"/>
      </w:pPr>
      <w:r>
        <w:rPr>
          <w:rFonts w:ascii="Kalpurush" w:cs="Kalpurush" w:eastAsia="Kalpurush" w:hAnsi="Kalpurush"/>
          <w:i/>
          <w:iCs/>
          <w:sz w:val="20"/>
          <w:szCs w:val="20"/>
        </w:rPr>
        <w:t xml:space="preserve">আব্দুল করিম → (উত্তরাধিকারসূত্রে) → </w:t>
      </w:r>
      <w:r>
        <w:rPr>
          <w:rFonts w:ascii="Kalpurush" w:cs="Kalpurush" w:eastAsia="Kalpurush" w:hAnsi="Kalpurush"/>
          <w:b/>
          <w:bCs/>
          <w:i/>
          <w:iCs/>
          <w:sz w:val="20"/>
          <w:szCs w:val="20"/>
        </w:rPr>
        <w:t xml:space="preserve">সোনাভানু</w:t>
      </w:r>
      <w:r>
        <w:rPr>
          <w:rFonts w:ascii="Kalpurush" w:cs="Kalpurush" w:eastAsia="Kalpurush" w:hAnsi="Kalpurush"/>
          <w:i/>
          <w:iCs/>
          <w:sz w:val="20"/>
          <w:szCs w:val="20"/>
        </w:rPr>
        <w:t xml:space="preserve"> → মিছ মোকদ্দমা → এস.এ ২৩৮ সংশোধন</w:t>
      </w:r>
    </w:p>
    <w:p>
      <w:r>
        <w:rPr>
          <w:rFonts w:ascii="Kalpurush" w:cs="Kalpurush" w:eastAsia="Kalpurush" w:hAnsi="Kalpurush"/>
        </w:rPr>
        <w:t xml:space="preserve"/>
      </w:r>
    </w:p>
    <w:p>
      <w:r>
        <w:rPr>
          <w:rFonts w:ascii="Kalpurush" w:cs="Kalpurush" w:eastAsia="Kalpurush" w:hAnsi="Kalpurush"/>
          <w:sz w:val="20"/>
          <w:szCs w:val="20"/>
        </w:rPr>
        <w:t xml:space="preserve">বিবাদীপক্ষের উপস্থাপিত উত্তরাধিকারসূত্র এবং কথিত মিছ মোকদ্দমার মাধ্যমে সোনাভানুর নাম অন্তর্ভুক্তির দাবি — এই দুইটি অবস্থান পরস্পরের সহিত কীভাবে সামঞ্জস্যপূর্ণ, তা বিবাদীপক্ষের প্রমাণে স্পষ্ট নয়।</w:t>
      </w:r>
    </w:p>
    <w:p>
      <w:r>
        <w:rPr>
          <w:rFonts w:ascii="Kalpurush" w:cs="Kalpurush" w:eastAsia="Kalpurush" w:hAnsi="Kalpurush"/>
        </w:rPr>
        <w:t xml:space="preserve"/>
      </w:r>
    </w:p>
    <w:p>
      <w:r>
        <w:rPr>
          <w:rFonts w:ascii="Kalpurush" w:cs="Kalpurush" w:eastAsia="Kalpurush" w:hAnsi="Kalpurush"/>
          <w:sz w:val="20"/>
          <w:szCs w:val="20"/>
        </w:rPr>
        <w:t xml:space="preserve">প্রশ্ন: বেলুয়া খাতুনের ১৯৭৫ সালের বিক্রয়ের আইনগত কর্তৃত্ব কোথায়? যদি সোনাভানু মিছ মোকদ্দমায় ডিক্রি পাইয়া এস.এ ২৩৮-এ নাম পাইয়া থাকেন, তাহা হইলে বেলুয়া — যাহার নাম এস.এ ২৩৮-এ নাই — উক্ত সম্পত্তি বিক্রয় করার কর্তৃত্ব কীভাবে পাইলেন?</w:t>
      </w:r>
    </w:p>
    <w:p>
      <w:r>
        <w:rPr>
          <w:rFonts w:ascii="Kalpurush" w:cs="Kalpurush" w:eastAsia="Kalpurush" w:hAnsi="Kalpurush"/>
        </w:rPr>
        <w:t xml:space="preserve"/>
      </w:r>
    </w:p>
    <w:p>
      <w:r>
        <w:rPr>
          <w:rFonts w:ascii="Kalpurush" w:cs="Kalpurush" w:eastAsia="Kalpurush" w:hAnsi="Kalpurush"/>
          <w:sz w:val="20"/>
          <w:szCs w:val="20"/>
        </w:rPr>
        <w:t xml:space="preserve">আব্দুল করিম → আব্দুল কদ্দুছ → বেলুয়া খাতুন → ১৯৭৫ দলিল — এই ধারাবাহিকতার প্রতিটি সংযোগের দালিলিক/আইনগত ভিত্তি কোথায়? বিবাদীপক্ষ এই ধারাবাহিকতার কোনো সংযোগ প্রাথমিক সাক্ষ্য-প্রমাণ দ্বারা প্রতিষ্ঠা করেননি।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VI — আপীল্যান্টপক্ষের সমর্থনকারী দালিলিক প্রমাণ</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৬.১ ১৯৫৭ সালের নিবন্ধিত দলিল (২৩৯৮/১৯৫৭) — এস.এ ২৩৮-এর সহিত সমর্থনকারী</w:t>
      </w:r>
    </w:p>
    <w:p>
      <w:r>
        <w:rPr>
          <w:rFonts w:ascii="Kalpurush" w:cs="Kalpurush" w:eastAsia="Kalpurush" w:hAnsi="Kalpurush"/>
        </w:rPr>
        <w:t xml:space="preserve"/>
      </w:r>
    </w:p>
    <w:p>
      <w:r>
        <w:rPr>
          <w:rFonts w:ascii="Kalpurush" w:cs="Kalpurush" w:eastAsia="Kalpurush" w:hAnsi="Kalpurush"/>
          <w:sz w:val="20"/>
          <w:szCs w:val="20"/>
        </w:rPr>
        <w:t xml:space="preserve">বাদীপক্ষের প্রদর্শনী-২ হইলো ১৯৫৭ সালের ২৩৯৮ নং নিবন্ধিত দলিলের মূলকপি।</w:t>
      </w:r>
    </w:p>
    <w:p>
      <w:r>
        <w:rPr>
          <w:rFonts w:ascii="Kalpurush" w:cs="Kalpurush" w:eastAsia="Kalpurush" w:hAnsi="Kalpurush"/>
        </w:rPr>
        <w:t xml:space="preserve"/>
      </w:r>
    </w:p>
    <w:p>
      <w:r>
        <w:rPr>
          <w:rFonts w:ascii="Kalpurush" w:cs="Kalpurush" w:eastAsia="Kalpurush" w:hAnsi="Kalpurush"/>
          <w:sz w:val="20"/>
          <w:szCs w:val="20"/>
        </w:rPr>
        <w:t xml:space="preserve">Registration Act-এর অধীনে নিবন্ধিত এই দলিল — এস.এ ২৩৮-এর এন্ট্রির সহিত মিলিয়া — আব্দুল আলীর এই এলাকায় recorded উপস্থিতির সমর্থনকারী প্রমাণ প্রদান করে।</w:t>
      </w:r>
    </w:p>
    <w:p>
      <w:r>
        <w:rPr>
          <w:rFonts w:ascii="Kalpurush" w:cs="Kalpurush" w:eastAsia="Kalpurush" w:hAnsi="Kalpurush"/>
        </w:rPr>
        <w:t xml:space="preserve"/>
      </w:r>
    </w:p>
    <w:p>
      <w:r>
        <w:rPr>
          <w:rFonts w:ascii="Kalpurush" w:cs="Kalpurush" w:eastAsia="Kalpurush" w:hAnsi="Kalpurush"/>
          <w:b/>
          <w:bCs/>
          <w:sz w:val="20"/>
          <w:szCs w:val="20"/>
        </w:rPr>
        <w:t xml:space="preserve">স্পষ্টীকরণ:</w:t>
      </w:r>
      <w:r>
        <w:rPr>
          <w:rFonts w:ascii="Kalpurush" w:cs="Kalpurush" w:eastAsia="Kalpurush" w:hAnsi="Kalpurush"/>
          <w:sz w:val="20"/>
          <w:szCs w:val="20"/>
        </w:rPr>
        <w:t xml:space="preserve"> আপীল্যান্টপক্ষ এই দলিলকে স্বতন্ত্র/এককভাবে সম্পূর্ণ স্বত্ব-প্রমাণ বলিতেছেন না। নিবন্ধন নিজে স্বত্ব-নির্ধারণ নয়।</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নিবেদন:</w:t>
      </w:r>
    </w:p>
    <w:p>
      <w:pPr>
        <w:ind w:left="720"/>
      </w:pPr>
      <w:r>
        <w:rPr>
          <w:rFonts w:ascii="Kalpurush" w:cs="Kalpurush" w:eastAsia="Kalpurush" w:hAnsi="Kalpurush"/>
          <w:i/>
          <w:iCs/>
          <w:sz w:val="20"/>
          <w:szCs w:val="20"/>
        </w:rPr>
        <w:t xml:space="preserve">এই নিবন্ধিত দলিলটি ১৯৫৭ সালে আব্দুল আলীর সংশ্লিষ্ট একটি transaction-এর স্বাধীন দালিলিক প্রমাণ এবং এস.এ ২৩৮-এর এন্ট্রি ও অন্যান্য প্রমাণের সহিত পাঠ করিলে আপীল্যান্টগণের এই বক্তব্যের সমর্থনকারী দালিলিক ভিত্তি প্রদান করে যে আব্দুল আলী এই এলাকায় স্বীকৃত স্বার্থভোগী ছিলেন।</w:t>
      </w:r>
    </w:p>
    <w:p>
      <w:r>
        <w:rPr>
          <w:rFonts w:ascii="Kalpurush" w:cs="Kalpurush" w:eastAsia="Kalpurush" w:hAnsi="Kalpurush"/>
        </w:rPr>
        <w:t xml:space="preserve"/>
      </w:r>
    </w:p>
    <w:p>
      <w:r>
        <w:rPr>
          <w:rFonts w:ascii="Kalpurush" w:cs="Kalpurush" w:eastAsia="Kalpurush" w:hAnsi="Kalpurush"/>
          <w:sz w:val="20"/>
          <w:szCs w:val="20"/>
        </w:rPr>
        <w:t xml:space="preserve">বিপরীতে, বিবাদীপক্ষের দাবির ক্ষেত্রে: তাহাদের মূল দলিলাদি — ১৯৩৪ সালের পত্তন, মিছ মোকদ্দমার আদেশ — প্রাথমিক প্রমাণে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VII — হচপট এবং সরকারের অনুপস্থিতি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৭.১ হচপট: সার্ভে দাগ ও যৌথ স্বার্থ (Joint Tenancy) অভিন্ন বিষয় নয়</w:t>
      </w:r>
    </w:p>
    <w:p>
      <w:r>
        <w:rPr>
          <w:rFonts w:ascii="Kalpurush" w:cs="Kalpurush" w:eastAsia="Kalpurush" w:hAnsi="Kalpurush"/>
        </w:rPr>
        <w:t xml:space="preserve"/>
      </w:r>
    </w:p>
    <w:p>
      <w:r>
        <w:rPr>
          <w:rFonts w:ascii="Kalpurush" w:cs="Kalpurush" w:eastAsia="Kalpurush" w:hAnsi="Kalpurush"/>
          <w:sz w:val="20"/>
          <w:szCs w:val="20"/>
        </w:rPr>
        <w:t xml:space="preserve">বিজ্ঞ নিম্ন আদালত ১২৫৯ দাগের মোট ৪৭৭ শতাংশের ভিত্তিতে হচপট দোষ নির্ধারণ করিয়াছেন। এই সিদ্ধান্তে একটি বিশ্লেষণগত ঘাটতি রহিয়াছে:</w:t>
      </w:r>
    </w:p>
    <w:p>
      <w:r>
        <w:rPr>
          <w:rFonts w:ascii="Kalpurush" w:cs="Kalpurush" w:eastAsia="Kalpurush" w:hAnsi="Kalpurush"/>
        </w:rPr>
        <w:t xml:space="preserve"/>
      </w:r>
    </w:p>
    <w:p>
      <w:r>
        <w:rPr>
          <w:rFonts w:ascii="Kalpurush" w:cs="Kalpurush" w:eastAsia="Kalpurush" w:hAnsi="Kalpurush"/>
          <w:sz w:val="20"/>
          <w:szCs w:val="20"/>
        </w:rPr>
        <w:t xml:space="preserve">নিম্ন আদালত যা পরীক্ষা করেননি: ১২৫৯ দাগের মধ্যে কোন অংশ কোন খতিয়ানভুক্ত — তা।</w:t>
      </w:r>
    </w:p>
    <w:p>
      <w:r>
        <w:rPr>
          <w:rFonts w:ascii="Kalpurush" w:cs="Kalpurush" w:eastAsia="Kalpurush" w:hAnsi="Kalpurush"/>
        </w:rPr>
        <w:t xml:space="preserve"/>
      </w:r>
    </w:p>
    <w:p>
      <w:r>
        <w:rPr>
          <w:rFonts w:ascii="Kalpurush" w:cs="Kalpurush" w:eastAsia="Kalpurush" w:hAnsi="Kalpurush"/>
          <w:b/>
          <w:bCs/>
          <w:sz w:val="20"/>
          <w:szCs w:val="20"/>
        </w:rPr>
        <w:t xml:space="preserve">14 SCOB [2020] HCD 53 (Md. Akram Ali &amp; ors v. Khasru Miah &amp; ors):</w:t>
      </w:r>
    </w:p>
    <w:p>
      <w:pPr>
        <w:ind w:left="720"/>
      </w:pPr>
      <w:r>
        <w:rPr>
          <w:rFonts w:ascii="Kalpurush" w:cs="Kalpurush" w:eastAsia="Kalpurush" w:hAnsi="Kalpurush"/>
          <w:i/>
          <w:iCs/>
          <w:sz w:val="20"/>
          <w:szCs w:val="20"/>
        </w:rPr>
        <w:t xml:space="preserve">*"...the suit must embrace only the property/properties in which the parties have community of interest and unity of possession."*</w:t>
      </w:r>
    </w:p>
    <w:p>
      <w:r>
        <w:rPr>
          <w:rFonts w:ascii="Kalpurush" w:cs="Kalpurush" w:eastAsia="Kalpurush" w:hAnsi="Kalpurush"/>
        </w:rPr>
        <w:t xml:space="preserve"/>
      </w:r>
    </w:p>
    <w:p>
      <w:r>
        <w:rPr>
          <w:rFonts w:ascii="Kalpurush" w:cs="Kalpurush" w:eastAsia="Kalpurush" w:hAnsi="Kalpurush"/>
          <w:sz w:val="20"/>
          <w:szCs w:val="20"/>
        </w:rPr>
        <w:t xml:space="preserve">হচপটের প্রশ্ন নির্ধারণে কেবল সার্ভে দাগের মোট পরিমাণ বিবেচনা না করিয়া, সংশ্লিষ্ট সম্পত্তিতে পক্ষগণের community of interest, unity of possession এবং যৌথ স্বার্থের প্রকৃতি নির্ধারণ করা প্রয়োজন।</w:t>
      </w:r>
    </w:p>
    <w:p>
      <w:r>
        <w:rPr>
          <w:rFonts w:ascii="Kalpurush" w:cs="Kalpurush" w:eastAsia="Kalpurush" w:hAnsi="Kalpurush"/>
        </w:rPr>
        <w:t xml:space="preserve"/>
      </w:r>
    </w:p>
    <w:p>
      <w:r>
        <w:rPr>
          <w:rFonts w:ascii="Kalpurush" w:cs="Kalpurush" w:eastAsia="Kalpurush" w:hAnsi="Kalpurush"/>
          <w:b/>
          <w:bCs/>
          <w:sz w:val="20"/>
          <w:szCs w:val="20"/>
        </w:rPr>
        <w:t xml:space="preserve">52 DLR (AD) 34 (Abdul Kader Khalifa v. Suja Bibi):</w:t>
      </w:r>
    </w:p>
    <w:p>
      <w:r>
        <w:rPr>
          <w:rFonts w:ascii="Kalpurush" w:cs="Kalpurush" w:eastAsia="Kalpurush" w:hAnsi="Kalpurush"/>
          <w:sz w:val="20"/>
          <w:szCs w:val="20"/>
        </w:rPr>
        <w:t xml:space="preserve">যে সম্পত্তিতে পক্ষগণের কোনো common interest নাই, সেই সম্পত্তি হচপটে আনার প্রয়োজন নাই।</w:t>
      </w:r>
    </w:p>
    <w:p>
      <w:r>
        <w:rPr>
          <w:rFonts w:ascii="Kalpurush" w:cs="Kalpurush" w:eastAsia="Kalpurush" w:hAnsi="Kalpurush"/>
        </w:rPr>
        <w:t xml:space="preserve"/>
      </w:r>
    </w:p>
    <w:p>
      <w:r>
        <w:rPr>
          <w:rFonts w:ascii="Kalpurush" w:cs="Kalpurush" w:eastAsia="Kalpurush" w:hAnsi="Kalpurush"/>
          <w:b/>
          <w:bCs/>
          <w:sz w:val="20"/>
          <w:szCs w:val="20"/>
        </w:rPr>
        <w:t xml:space="preserve">মূল প্রশ্ন যা নিম্ন আদালত করেননি:</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প্রশ্ন</w:t>
            </w:r>
          </w:p>
        </w:tc>
        <w:tc>
          <w:p>
            <w:r>
              <w:rPr>
                <w:rFonts w:ascii="Kalpurush" w:cs="Kalpurush" w:eastAsia="Kalpurush" w:hAnsi="Kalpurush"/>
                <w:sz w:val="20"/>
                <w:szCs w:val="20"/>
              </w:rPr>
              <w:t xml:space="preserve">প্রয়োজনীয় প্রমাণ</w:t>
            </w:r>
          </w:p>
        </w:tc>
      </w:tr>
      <w:tr>
        <w:tc>
          <w:p>
            <w:r>
              <w:rPr>
                <w:rFonts w:ascii="Kalpurush" w:cs="Kalpurush" w:eastAsia="Kalpurush" w:hAnsi="Kalpurush"/>
                <w:sz w:val="20"/>
                <w:szCs w:val="20"/>
              </w:rPr>
              <w:t xml:space="preserve">১২৫৯ দাগের মোট পরিমাণ কত?</w:t>
            </w:r>
          </w:p>
        </w:tc>
        <w:tc>
          <w:p>
            <w:r>
              <w:rPr>
                <w:rFonts w:ascii="Kalpurush" w:cs="Kalpurush" w:eastAsia="Kalpurush" w:hAnsi="Kalpurush"/>
                <w:sz w:val="20"/>
                <w:szCs w:val="20"/>
              </w:rPr>
              <w:t xml:space="preserve">সি.এস/এস.এ রেকর্ড</w:t>
            </w:r>
          </w:p>
        </w:tc>
      </w:tr>
      <w:tr>
        <w:tc>
          <w:p>
            <w:r>
              <w:rPr>
                <w:rFonts w:ascii="Kalpurush" w:cs="Kalpurush" w:eastAsia="Kalpurush" w:hAnsi="Kalpurush"/>
                <w:sz w:val="20"/>
                <w:szCs w:val="20"/>
              </w:rPr>
              <w:t xml:space="preserve">এস.এ ২৩৮-এ কত শতাংশ?</w:t>
            </w:r>
          </w:p>
        </w:tc>
        <w:tc>
          <w:p>
            <w:r>
              <w:rPr>
                <w:rFonts w:ascii="Kalpurush" w:cs="Kalpurush" w:eastAsia="Kalpurush" w:hAnsi="Kalpurush"/>
                <w:sz w:val="20"/>
                <w:szCs w:val="20"/>
              </w:rPr>
              <w:t xml:space="preserve">এস.এ ২৩৮ খতিয়ান</w:t>
            </w:r>
          </w:p>
        </w:tc>
      </w:tr>
      <w:tr>
        <w:tc>
          <w:p>
            <w:r>
              <w:rPr>
                <w:rFonts w:ascii="Kalpurush" w:cs="Kalpurush" w:eastAsia="Kalpurush" w:hAnsi="Kalpurush"/>
                <w:sz w:val="20"/>
                <w:szCs w:val="20"/>
              </w:rPr>
              <w:t xml:space="preserve">সরকারি অংশ কোন খতিয়ানে?</w:t>
            </w:r>
          </w:p>
        </w:tc>
        <w:tc>
          <w:p>
            <w:r>
              <w:rPr>
                <w:rFonts w:ascii="Kalpurush" w:cs="Kalpurush" w:eastAsia="Kalpurush" w:hAnsi="Kalpurush"/>
                <w:sz w:val="20"/>
                <w:szCs w:val="20"/>
              </w:rPr>
              <w:t xml:space="preserve">সরকারি খাস খতিয়ান</w:t>
            </w:r>
          </w:p>
        </w:tc>
      </w:tr>
      <w:tr>
        <w:tc>
          <w:p>
            <w:r>
              <w:rPr>
                <w:rFonts w:ascii="Kalpurush" w:cs="Kalpurush" w:eastAsia="Kalpurush" w:hAnsi="Kalpurush"/>
                <w:sz w:val="20"/>
                <w:szCs w:val="20"/>
              </w:rPr>
              <w:t xml:space="preserve">পক্ষগণের যৌথ স্বার্থ কোথায়?</w:t>
            </w:r>
          </w:p>
        </w:tc>
        <w:tc>
          <w:p>
            <w:r>
              <w:rPr>
                <w:rFonts w:ascii="Kalpurush" w:cs="Kalpurush" w:eastAsia="Kalpurush" w:hAnsi="Kalpurush"/>
                <w:sz w:val="20"/>
                <w:szCs w:val="20"/>
              </w:rPr>
              <w:t xml:space="preserve">এস.এ ২৩৮</w:t>
            </w:r>
          </w:p>
        </w:tc>
      </w:tr>
    </w:tbl>
    <w:p>
      <w:r>
        <w:rPr>
          <w:rFonts w:ascii="Kalpurush" w:cs="Kalpurush" w:eastAsia="Kalpurush" w:hAnsi="Kalpurush"/>
        </w:rPr>
        <w:t xml:space="preserve"/>
      </w:r>
    </w:p>
    <w:p>
      <w:r>
        <w:rPr>
          <w:rFonts w:ascii="Kalpurush" w:cs="Kalpurush" w:eastAsia="Kalpurush" w:hAnsi="Kalpurush"/>
          <w:sz w:val="20"/>
          <w:szCs w:val="20"/>
        </w:rPr>
        <w:t xml:space="preserve">নিম্ন আদালত সমগ্র সার্ভে দাগটিকে, বিভিন্ন রেকর্ডভুক্ত অংশে পক্ষগণের প্রকৃত যৌথ স্বার্থ প্রথমে নির্ধারণ না করিয়া, একটি অবিভাজ্য যৌথ সম্পত্তি হিসেবে গণ্য করিয়াছেন বলিয়া প্রতীয়মান হয়।</w:t>
      </w:r>
    </w:p>
    <w:p>
      <w:r>
        <w:rPr>
          <w:rFonts w:ascii="Kalpurush" w:cs="Kalpurush" w:eastAsia="Kalpurush" w:hAnsi="Kalpurush"/>
        </w:rPr>
        <w:t xml:space="preserve"/>
      </w:r>
    </w:p>
    <w:p>
      <w:r>
        <w:rPr>
          <w:rFonts w:ascii="Kalpurush" w:cs="Kalpurush" w:eastAsia="Kalpurush" w:hAnsi="Kalpurush"/>
          <w:sz w:val="20"/>
          <w:szCs w:val="20"/>
        </w:rPr>
        <w:t xml:space="preserve">অতএব, একটি সার্ভে দাগের সম্পূর্ণ জমিকে স্বয়ংক্রিয়ভাবে একই যৌথ সম্পত্তি হিসেবে গণ্য করা যায় না, যদি প্রমাণে দেখা যায় যে একই দাগের বিভিন্ন অংশ পৃথক খতিয়ান বা পৃথক স্বার্থের অধীন। যদি ১২৫৯ দাগের সরকারি অংশ পৃথক খতিয়ানভুক্ত থাকে, তাহা হইলে সেই অংশ পক্ষগণের যৌথ স্বার্থের বাহিরে এবং হচপটে না আনিলে কোনো দোষ হয় না।</w:t>
      </w:r>
    </w:p>
    <w:p>
      <w:r>
        <w:rPr>
          <w:rFonts w:ascii="Kalpurush" w:cs="Kalpurush" w:eastAsia="Kalpurush" w:hAnsi="Kalpurush"/>
        </w:rPr>
        <w:t xml:space="preserve"/>
      </w:r>
    </w:p>
    <w:p>
      <w:r>
        <w:rPr>
          <w:rFonts w:ascii="Kalpurush" w:cs="Kalpurush" w:eastAsia="Kalpurush" w:hAnsi="Kalpurush"/>
          <w:b/>
          <w:bCs/>
          <w:sz w:val="20"/>
          <w:szCs w:val="20"/>
        </w:rPr>
        <w:t xml:space="preserve">51 DLR (AD) 155 / 19 BLD (AD) 240:</w:t>
      </w:r>
    </w:p>
    <w:p>
      <w:pPr>
        <w:ind w:left="720"/>
      </w:pPr>
      <w:r>
        <w:rPr>
          <w:rFonts w:ascii="Kalpurush" w:cs="Kalpurush" w:eastAsia="Kalpurush" w:hAnsi="Kalpurush"/>
          <w:i/>
          <w:iCs/>
          <w:sz w:val="20"/>
          <w:szCs w:val="20"/>
        </w:rPr>
        <w:t xml:space="preserve">*"All joint properties must be enumerated in the hotchpot, with certain exceptions."*</w:t>
      </w:r>
    </w:p>
    <w:p>
      <w:r>
        <w:rPr>
          <w:rFonts w:ascii="Kalpurush" w:cs="Kalpurush" w:eastAsia="Kalpurush" w:hAnsi="Kalpurush"/>
        </w:rPr>
        <w:t xml:space="preserve"/>
      </w:r>
    </w:p>
    <w:p>
      <w:r>
        <w:rPr>
          <w:rFonts w:ascii="Kalpurush" w:cs="Kalpurush" w:eastAsia="Kalpurush" w:hAnsi="Kalpurush"/>
          <w:sz w:val="20"/>
          <w:szCs w:val="20"/>
        </w:rPr>
        <w:t xml:space="preserve">উক্ত ব্যতিক্রম এখানে প্রযোজ্য।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৭.২ সরকারের অনুপস্থিতি — মোকদ্দমা খারিজের জন্য স্বয়ংসম্পূর্ণ কারণ কি না</w:t>
      </w:r>
    </w:p>
    <w:p>
      <w:r>
        <w:rPr>
          <w:rFonts w:ascii="Kalpurush" w:cs="Kalpurush" w:eastAsia="Kalpurush" w:hAnsi="Kalpurush"/>
        </w:rPr>
        <w:t xml:space="preserve"/>
      </w:r>
    </w:p>
    <w:p>
      <w:r>
        <w:rPr>
          <w:rFonts w:ascii="Kalpurush" w:cs="Kalpurush" w:eastAsia="Kalpurush" w:hAnsi="Kalpurush"/>
          <w:b/>
          <w:bCs/>
          <w:sz w:val="20"/>
          <w:szCs w:val="20"/>
        </w:rPr>
        <w:t xml:space="preserve">51 DLR 386 (Abdul Quayum Khan v. Abu Yusuf Mridha):</w:t>
      </w:r>
    </w:p>
    <w:p>
      <w:pPr>
        <w:ind w:left="720"/>
      </w:pPr>
      <w:r>
        <w:rPr>
          <w:rFonts w:ascii="Kalpurush" w:cs="Kalpurush" w:eastAsia="Kalpurush" w:hAnsi="Kalpurush"/>
          <w:i/>
          <w:iCs/>
          <w:sz w:val="20"/>
          <w:szCs w:val="20"/>
        </w:rPr>
        <w:t xml:space="preserve">*"...by mere non-joinder of the Government the suit cannot be defeated."*</w:t>
      </w:r>
    </w:p>
    <w:p>
      <w:r>
        <w:rPr>
          <w:rFonts w:ascii="Kalpurush" w:cs="Kalpurush" w:eastAsia="Kalpurush" w:hAnsi="Kalpurush"/>
        </w:rPr>
        <w:t xml:space="preserve"/>
      </w:r>
    </w:p>
    <w:p>
      <w:r>
        <w:rPr>
          <w:rFonts w:ascii="Kalpurush" w:cs="Kalpurush" w:eastAsia="Kalpurush" w:hAnsi="Kalpurush"/>
          <w:sz w:val="20"/>
          <w:szCs w:val="20"/>
        </w:rPr>
        <w:t xml:space="preserve">Necessary Party হওয়ার শর্ত: (ক) তাহার বিরুদ্ধে কোনো relief চাওয়া হইয়াছে, এবং (খ) তাহাকে ব্যতীত কোনো কার্যকর ডিক্রি প্রদান সম্ভব নয়।</w:t>
      </w:r>
    </w:p>
    <w:p>
      <w:r>
        <w:rPr>
          <w:rFonts w:ascii="Kalpurush" w:cs="Kalpurush" w:eastAsia="Kalpurush" w:hAnsi="Kalpurush"/>
        </w:rPr>
        <w:t xml:space="preserve"/>
      </w:r>
    </w:p>
    <w:p>
      <w:r>
        <w:rPr>
          <w:rFonts w:ascii="Kalpurush" w:cs="Kalpurush" w:eastAsia="Kalpurush" w:hAnsi="Kalpurush"/>
          <w:sz w:val="20"/>
          <w:szCs w:val="20"/>
        </w:rPr>
        <w:t xml:space="preserve">বাদীপক্ষ সরকারের বিরুদ্ধে কোনো declaration, দখল উদ্ধার বা বাটোয়ারার প্রার্থনা করেননি। সরকারের জমি partition-এর বিষয়বস্তু হিসেবে দাবি করা হয়নি।</w:t>
      </w:r>
    </w:p>
    <w:p>
      <w:r>
        <w:rPr>
          <w:rFonts w:ascii="Kalpurush" w:cs="Kalpurush" w:eastAsia="Kalpurush" w:hAnsi="Kalpurush"/>
        </w:rPr>
        <w:t xml:space="preserve"/>
      </w:r>
    </w:p>
    <w:p>
      <w:r>
        <w:rPr>
          <w:rFonts w:ascii="Kalpurush" w:cs="Kalpurush" w:eastAsia="Kalpurush" w:hAnsi="Kalpurush"/>
          <w:sz w:val="20"/>
          <w:szCs w:val="20"/>
        </w:rPr>
        <w:t xml:space="preserve">সার্ভে দাগের একটি অংশ সরকারি খাস জমি হওয়ার নিছক ঘটনাটি নিজেই প্রতিষ্ঠা করে না যে বেসরকারি সহ-শরীকদের মধ্যে বাটোয়ারা মোকদ্দমায় সরকার একটি necessary party — বিশেষত যেখানে সরকারের বিরুদ্ধে কোনো relief দাবি করা হয়নি এবং সরকারের জমি বাটোয়ারার জন্য দাবি করা হয়নি।</w:t>
      </w:r>
    </w:p>
    <w:p>
      <w:r>
        <w:rPr>
          <w:rFonts w:ascii="Kalpurush" w:cs="Kalpurush" w:eastAsia="Kalpurush" w:hAnsi="Kalpurush"/>
        </w:rPr>
        <w:t xml:space="preserve"/>
      </w:r>
    </w:p>
    <w:p>
      <w:r>
        <w:rPr>
          <w:rFonts w:ascii="Kalpurush" w:cs="Kalpurush" w:eastAsia="Kalpurush" w:hAnsi="Kalpurush"/>
          <w:b/>
          <w:bCs/>
          <w:sz w:val="20"/>
          <w:szCs w:val="20"/>
        </w:rPr>
        <w:t xml:space="preserve">51 DLR 204:</w:t>
      </w:r>
      <w:r>
        <w:rPr>
          <w:rFonts w:ascii="Kalpurush" w:cs="Kalpurush" w:eastAsia="Kalpurush" w:hAnsi="Kalpurush"/>
          <w:sz w:val="20"/>
          <w:szCs w:val="20"/>
        </w:rPr>
        <w:t xml:space="preserve"> পক্ষদোষ (Non-joinder) বাটোয়ারা মোকদ্দমা খারিজের কারণ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VIII — নিম্ন আদালতের প্রক্রিয়াগত ফলাফল ও গুরুত্বপূর্ণ ত্রুটি</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৮.১ বিচার্য বিষয় ১ ও বিচার্য বিষয় ২-৫: রায়ের যুক্তির ধারাবাহিকতা সুস্পষ্ট নয়</w:t>
      </w:r>
    </w:p>
    <w:p>
      <w:r>
        <w:rPr>
          <w:rFonts w:ascii="Kalpurush" w:cs="Kalpurush" w:eastAsia="Kalpurush" w:hAnsi="Kalpurush"/>
        </w:rPr>
        <w:t xml:space="preserve"/>
      </w:r>
    </w:p>
    <w:p>
      <w:r>
        <w:rPr>
          <w:rFonts w:ascii="Kalpurush" w:cs="Kalpurush" w:eastAsia="Kalpurush" w:hAnsi="Kalpurush"/>
          <w:sz w:val="20"/>
          <w:szCs w:val="20"/>
        </w:rPr>
        <w:t xml:space="preserve">বিজ্ঞ নিম্ন আদালত বিচার্য বিষয় ১-এ সিদ্ধান্ত দিয়াছেন যে মোকদ্দমাটি বর্তমান আকারে চলিতে কোনো আইনগত বাধা নাই। বিচার্য বিষয় ২-৫-এ হচপট ও পক্ষদোষের ভিত্তিতে মোকদ্দমাটি সম্পূর্ণরূপে খারিজ করা হইয়াছে।</w:t>
      </w:r>
    </w:p>
    <w:p>
      <w:r>
        <w:rPr>
          <w:rFonts w:ascii="Kalpurush" w:cs="Kalpurush" w:eastAsia="Kalpurush" w:hAnsi="Kalpurush"/>
        </w:rPr>
        <w:t xml:space="preserve"/>
      </w:r>
    </w:p>
    <w:p>
      <w:r>
        <w:rPr>
          <w:rFonts w:ascii="Kalpurush" w:cs="Kalpurush" w:eastAsia="Kalpurush" w:hAnsi="Kalpurush"/>
          <w:sz w:val="20"/>
          <w:szCs w:val="20"/>
        </w:rPr>
        <w:t xml:space="preserve">বিজ্ঞ নিম্ন আদালত যখন বিচার্য বিষয়-১-এ মোকদ্দমা বর্তমান আকারে চলিতে কোনো আইনগত বাধা নাই মর্মে সিদ্ধান্ত গ্রহণ করিয়াছেন, তখন পরবর্তী বিচার্য বিষয়সমূহে যে হচপট ও পক্ষসংক্রান্ত ত্রুটির ভিত্তিতে মোকদ্দমা সম্পূর্ণরূপে খারিজ করা হইয়াছে, সেই ত্রুটিসমূহের প্রকৃতি, আইনগত ফলাফল এবং তা সংশোধনযোগ্য কি না — রায়ে পৃথকভাবে ও সুস্পষ্টভাবে ব্যাখ্যা করা প্রয়োজন ছিল। বিশেষত, পূর্ববর্তী সিদ্ধান্তের সহিত পরবর্তী সিদ্ধান্তের যুক্তির সামঞ্জস্য রায় হইতে স্পষ্ট হওয়া আবশ্যক।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৮.২ সোলেনামার প্রেক্ষিতে আংশিক ডিক্রি প্রদান না করা — পৃথক আইনগত প্রশ্ন</w:t>
      </w:r>
    </w:p>
    <w:p>
      <w:r>
        <w:rPr>
          <w:rFonts w:ascii="Kalpurush" w:cs="Kalpurush" w:eastAsia="Kalpurush" w:hAnsi="Kalpurush"/>
        </w:rPr>
        <w:t xml:space="preserve"/>
      </w:r>
    </w:p>
    <w:p>
      <w:r>
        <w:rPr>
          <w:rFonts w:ascii="Kalpurush" w:cs="Kalpurush" w:eastAsia="Kalpurush" w:hAnsi="Kalpurush"/>
          <w:sz w:val="20"/>
          <w:szCs w:val="20"/>
        </w:rPr>
        <w:t xml:space="preserve">১ নং বিবাদী সোলায়মান হোসেন (আব্দুল আলীর পুত্র) বাদীপক্ষের সহিত সোলেনামা দাখিল করিয়া বাটোয়ারায় সম্মতি দিয়াছেন।</w:t>
      </w:r>
    </w:p>
    <w:p>
      <w:r>
        <w:rPr>
          <w:rFonts w:ascii="Kalpurush" w:cs="Kalpurush" w:eastAsia="Kalpurush" w:hAnsi="Kalpurush"/>
        </w:rPr>
        <w:t xml:space="preserve"/>
      </w:r>
    </w:p>
    <w:p>
      <w:r>
        <w:rPr>
          <w:rFonts w:ascii="Kalpurush" w:cs="Kalpurush" w:eastAsia="Kalpurush" w:hAnsi="Kalpurush"/>
          <w:sz w:val="20"/>
          <w:szCs w:val="20"/>
        </w:rPr>
        <w:t xml:space="preserve">এই মামলায় গুরুত্বপূর্ণ প্রশ্ন: ২-৮/১৯-২২ নং বিবাদীর বিরুদ্ধে ত্রুটি থাকিলেও, ১ নং বিবাদীর বিরুদ্ধে সোলেনামা-সূত্রে অন্তত আংশিক ডিক্রি কেন প্রদান করা হইলো না?</w:t>
      </w:r>
    </w:p>
    <w:p>
      <w:r>
        <w:rPr>
          <w:rFonts w:ascii="Kalpurush" w:cs="Kalpurush" w:eastAsia="Kalpurush" w:hAnsi="Kalpurush"/>
        </w:rPr>
        <w:t xml:space="preserve"/>
      </w:r>
    </w:p>
    <w:p>
      <w:r>
        <w:rPr>
          <w:rFonts w:ascii="Kalpurush" w:cs="Kalpurush" w:eastAsia="Kalpurush" w:hAnsi="Kalpurush"/>
          <w:sz w:val="20"/>
          <w:szCs w:val="20"/>
        </w:rPr>
        <w:t xml:space="preserve">বিজ্ঞ নিম্ন আদালত নিজেই বলিয়াছেন: "বাদীপক্ষ তার মোকদ্দমা প্রমাণে ব্যর্থ হওয়ায় বাদীপক্ষ ও ১ নং বিবাদীপক্ষে দাখিলকৃত সোলেনামাসূত্রে প্রতিকার পেতে পারেনা।" কিন্তু সোলেনামা নিজেই একটি স্বতন্ত্র চুক্তি — ইহা বাদীর "প্রমাণের ব্যর্থতা"-র সহিত সরাসরি সম্পর্কিত নয়। ১ নং বিবাদী ও বাদীপক্ষের মধ্যে agreed বাটোয়ারার জন্য অন্তত preliminary decree প্রদানের প্রশ্ন বিজ্ঞ আদালত বিবেচনা করেননি।</w:t>
      </w:r>
    </w:p>
    <w:p>
      <w:r>
        <w:rPr>
          <w:rFonts w:ascii="Kalpurush" w:cs="Kalpurush" w:eastAsia="Kalpurush" w:hAnsi="Kalpurush"/>
        </w:rPr>
        <w:t xml:space="preserve"/>
      </w:r>
    </w:p>
    <w:p>
      <w:r>
        <w:rPr>
          <w:rFonts w:ascii="Kalpurush" w:cs="Kalpurush" w:eastAsia="Kalpurush" w:hAnsi="Kalpurush"/>
          <w:b/>
          <w:bCs/>
          <w:sz w:val="20"/>
          <w:szCs w:val="20"/>
        </w:rPr>
        <w:t xml:space="preserve">এই বিষয়ে আপীল্যান্টপক্ষের নিবেদন:</w:t>
      </w:r>
      <w:r>
        <w:rPr>
          <w:rFonts w:ascii="Kalpurush" w:cs="Kalpurush" w:eastAsia="Kalpurush" w:hAnsi="Kalpurush"/>
          <w:sz w:val="20"/>
          <w:szCs w:val="20"/>
        </w:rPr>
        <w:t xml:space="preserve"> সোলেনামার স্বতন্ত্র আইনগত কার্যকারিতা, এবং তৎসূত্রে আংশিক বাটোয়ারা প্রদানের সম্ভাবনা সম্পর্কে আদালতের পর্যালোচনা অনুপস্থিত — এই প্রশ্নটি পৃথকভাবে বিবেচনার দাবি রাখে। শুনানিকালে এই বিষয়ে সংশ্লিষ্ট আইনি বিধান বিস্তারিত উপস্থাপন করা হইবে।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৮.৩ সি.পি.সি ধারা ৯৯ — প্রক্রিয়াগত ত্রুটিতে সম্পূর্ণ খারিজ বনাম বিকল্প ব্যবস্থা</w:t>
      </w:r>
    </w:p>
    <w:p>
      <w:r>
        <w:rPr>
          <w:rFonts w:ascii="Kalpurush" w:cs="Kalpurush" w:eastAsia="Kalpurush" w:hAnsi="Kalpurush"/>
        </w:rPr>
        <w:t xml:space="preserve"/>
      </w:r>
    </w:p>
    <w:p>
      <w:r>
        <w:rPr>
          <w:rFonts w:ascii="Kalpurush" w:cs="Kalpurush" w:eastAsia="Kalpurush" w:hAnsi="Kalpurush"/>
          <w:sz w:val="20"/>
          <w:szCs w:val="20"/>
        </w:rPr>
        <w:t xml:space="preserve">সি.পি.সি ধারা ৯৯:</w:t>
      </w:r>
    </w:p>
    <w:p>
      <w:pPr>
        <w:ind w:left="720"/>
      </w:pPr>
      <w:r>
        <w:rPr>
          <w:rFonts w:ascii="Kalpurush" w:cs="Kalpurush" w:eastAsia="Kalpurush" w:hAnsi="Kalpurush"/>
          <w:i/>
          <w:iCs/>
          <w:sz w:val="20"/>
          <w:szCs w:val="20"/>
        </w:rPr>
        <w:t xml:space="preserve">*"No decree shall be reversed or substantially varied... on account of any misjoinder or non-joinder of parties... not affecting the merits of the case or the jurisdiction of the Court."*</w:t>
      </w:r>
    </w:p>
    <w:p>
      <w:r>
        <w:rPr>
          <w:rFonts w:ascii="Kalpurush" w:cs="Kalpurush" w:eastAsia="Kalpurush" w:hAnsi="Kalpurush"/>
        </w:rPr>
        <w:t xml:space="preserve"/>
      </w:r>
    </w:p>
    <w:p>
      <w:r>
        <w:rPr>
          <w:rFonts w:ascii="Kalpurush" w:cs="Kalpurush" w:eastAsia="Kalpurush" w:hAnsi="Kalpurush"/>
          <w:sz w:val="20"/>
          <w:szCs w:val="20"/>
        </w:rPr>
        <w:t xml:space="preserve">তর্কের খাতিরে যদি ধরা হয় পক্ষদোষ বা হচপটের কোনো ত্রুটি বিদ্যমান ছিল, তবুও আপীল আদালত বিবেচনা করিতে পারেন যে উক্ত ত্রুটি মামলার merits বা এখতিয়ারকে প্রভাবিত করিয়াছে কি না এবং যথাযথ পন্থা খারিজ, সংশোধন, পক্ষ সংযোজন, বা অন্য প্রক্রিয়াগত পদক্ষেপ ছিল কি না।</w:t>
      </w:r>
    </w:p>
    <w:p>
      <w:r>
        <w:rPr>
          <w:rFonts w:ascii="Kalpurush" w:cs="Kalpurush" w:eastAsia="Kalpurush" w:hAnsi="Kalpurush"/>
        </w:rPr>
        <w:t xml:space="preserve"/>
      </w:r>
    </w:p>
    <w:p>
      <w:r>
        <w:rPr>
          <w:rFonts w:ascii="Kalpurush" w:cs="Kalpurush" w:eastAsia="Kalpurush" w:hAnsi="Kalpurush"/>
          <w:sz w:val="20"/>
          <w:szCs w:val="20"/>
        </w:rPr>
        <w:t xml:space="preserve">এই ধরনের ত্রুটি যদি আদালতের বিবেচনায় সংশোধনযোগ্য প্রক্রিয়াগত ত্রুটি হিসেবে প্রতীয়মান হয়, তবে সরাসরি মোকদ্দমা খারিজ না করিয়া সংশ্লিষ্ট পক্ষকে প্রয়োজনীয় সংশোধন, পক্ষ সংযোজন বা অন্যান্য আইনানুগ পদক্ষেপের সুযোগ প্রদানের প্রশ্নটি বিবেচনার দাবি রাখে।</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৮.৪ "ভিঃ কাঃ" চিহ্নিতকরণ — অন্যান্য দাগ খারিজের নথি কোথায়?</w:t>
      </w:r>
    </w:p>
    <w:p>
      <w:r>
        <w:rPr>
          <w:rFonts w:ascii="Kalpurush" w:cs="Kalpurush" w:eastAsia="Kalpurush" w:hAnsi="Kalpurush"/>
        </w:rPr>
        <w:t xml:space="preserve"/>
      </w:r>
    </w:p>
    <w:p>
      <w:r>
        <w:rPr>
          <w:rFonts w:ascii="Kalpurush" w:cs="Kalpurush" w:eastAsia="Kalpurush" w:hAnsi="Kalpurush"/>
          <w:sz w:val="20"/>
          <w:szCs w:val="20"/>
        </w:rPr>
        <w:t xml:space="preserve">এস.এ ২৩৮ নং খতিয়ানের জাবেদা নকলে (প্রদর্শনী-৪) দেখা যায়, ১২৫৯ দাগ ছাড়া বাকি দাগগুলি "ভিঃ কাঃ" মর্মে যে notation রহিয়াছে, তা একটি গুরুত্বপূর্ণ প্রশ্ন তোলে।</w:t>
      </w:r>
    </w:p>
    <w:p>
      <w:r>
        <w:rPr>
          <w:rFonts w:ascii="Kalpurush" w:cs="Kalpurush" w:eastAsia="Kalpurush" w:hAnsi="Kalpurush"/>
        </w:rPr>
        <w:t xml:space="preserve"/>
      </w:r>
    </w:p>
    <w:p>
      <w:r>
        <w:rPr>
          <w:rFonts w:ascii="Kalpurush" w:cs="Kalpurush" w:eastAsia="Kalpurush" w:hAnsi="Kalpurush"/>
          <w:sz w:val="20"/>
          <w:szCs w:val="20"/>
        </w:rPr>
        <w:t xml:space="preserve">যদি অন্যান্য ৫টি দাগ এস.এ ২৩৮ হইতে খারিজ হইয়া থাকে — সেই খারিজের প্রক্রিয়া কী ছিল? কে, কখন এবং কোন কর্তৃপক্ষের মাধ্যমে এই খারিজ করিয়াছেন? বিবাদীপক্ষের দাবিমতো ১৯৬৯ সালের মিছ মোকদ্দমার মাধ্যমে এস.এ ২৩৮ পরিবর্তিত হইয়া থাকিলে, সেই একই কার্যধারা ৫টি দাগ খারিজ করিয়াছে কিনা, এবং তার আদেশ কোথায় — এই প্রশ্নটি অনুপস্থিত।</w:t>
      </w:r>
    </w:p>
    <w:p>
      <w:r>
        <w:rPr>
          <w:rFonts w:ascii="Kalpurush" w:cs="Kalpurush" w:eastAsia="Kalpurush" w:hAnsi="Kalpurush"/>
        </w:rPr>
        <w:t xml:space="preserve"/>
      </w:r>
    </w:p>
    <w:p>
      <w:r>
        <w:rPr>
          <w:rFonts w:ascii="Kalpurush" w:cs="Kalpurush" w:eastAsia="Kalpurush" w:hAnsi="Kalpurush"/>
          <w:sz w:val="20"/>
          <w:szCs w:val="20"/>
        </w:rPr>
        <w:t xml:space="preserve">এই "ভিঃ কাঃ" notation — মূল কার্যধারার অনুপস্থিতির সহিত মিলিয়া — এস.এ ২৩৮-এ যে পরিবর্তনসমূহ হইয়াছে তার নথিভুক্তিতে একটি সার্বিক ঘাটতি প্রদর্শন করে।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৮.৫ নিম্ন আদালতের রায়ে প্রতীয়মান আইনগত ও প্রমাণগত ত্রুটিসমূহ</w:t>
      </w:r>
    </w:p>
    <w:p>
      <w:r>
        <w:rPr>
          <w:rFonts w:ascii="Kalpurush" w:cs="Kalpurush" w:eastAsia="Kalpurush" w:hAnsi="Kalpurush"/>
        </w:rPr>
        <w:t xml:space="preserve"/>
      </w:r>
    </w:p>
    <w:p>
      <w:r>
        <w:rPr>
          <w:rFonts w:ascii="Kalpurush" w:cs="Kalpurush" w:eastAsia="Kalpurush" w:hAnsi="Kalpurush"/>
          <w:sz w:val="20"/>
          <w:szCs w:val="20"/>
        </w:rPr>
        <w:t xml:space="preserve">বিজ্ঞ নিম্ন আদালতের রায়ে নিম্নোক্ত আইনগত ও প্রমাণগত ত্রুটিসমূহ প্রতীয়মান হয় —</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SAT Act ধারা ১৪৪ক-এর rebuttable সংবিধিবদ্ধ অনুমান যথাযথভাবে প্রয়োগ করা হয়নি;</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মূল কার্যধারার (মিছ মোকদ্দমা ১১৮১/১৯৬৯) প্রাথমিক নথি ব্যতীত consequential ভলিউম এন্ট্রিকে সিদ্ধান্তমূলক প্রমাণ হিসেবে গ্রহণ করা হইয়াছে;</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প্রদর্শনী গ-১ (এ.সি ল্যান্ড ভলিউম)-এর প্রকৃতি, উৎস এবং কর্তৃপক্ষ যদি মিউটেশন/working রেকর্ড হয় — তা SAT Act ধারা ১৪৩-এর অধীনে, যাহার কোনো সংবিধিবদ্ধ presumptive মূল্য নাই; কিন্তু তা চূড়ান্তভাবে প্রকাশিত রেকর্ডের উপর প্রাধান্য দেওয়া হইয়াছে;</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বিবাদীপক্ষের ১৯৭৫ সালের নিবন্ধিত দলিলে এস.এ ২৩৮-এর ৬টি দাগ থাকা — যা সংশোধন-তত্ত্বের সহিত prima facie অসামঞ্জস্যপূর্ণ — বিবেচনায় নেওয়া হয়নি;</w:t>
      </w:r>
    </w:p>
    <w:p>
      <w:r>
        <w:rPr>
          <w:rFonts w:ascii="Kalpurush" w:cs="Kalpurush" w:eastAsia="Kalpurush" w:hAnsi="Kalpurush"/>
        </w:rPr>
        <w:t xml:space="preserve"/>
      </w:r>
    </w:p>
    <w:p>
      <w:r>
        <w:rPr>
          <w:rFonts w:ascii="Kalpurush" w:cs="Kalpurush" w:eastAsia="Kalpurush" w:hAnsi="Kalpurush"/>
          <w:b/>
          <w:bCs/>
          <w:sz w:val="20"/>
          <w:szCs w:val="20"/>
        </w:rPr>
        <w:t xml:space="preserve">ঙ.</w:t>
      </w:r>
      <w:r>
        <w:rPr>
          <w:rFonts w:ascii="Kalpurush" w:cs="Kalpurush" w:eastAsia="Kalpurush" w:hAnsi="Kalpurush"/>
          <w:sz w:val="20"/>
          <w:szCs w:val="20"/>
        </w:rPr>
        <w:t xml:space="preserve"> প্রমাণের দায়ভার-এর প্রয়োগে ভ্রম — "বাদীকে প্রমাণ করিতে হইবে"-কে "বাদীকে প্রতিটি counter-assertion খণ্ডন করিতে হইবে"-এ রূপান্তর করা হইয়াছে;</w:t>
      </w:r>
    </w:p>
    <w:p>
      <w:r>
        <w:rPr>
          <w:rFonts w:ascii="Kalpurush" w:cs="Kalpurush" w:eastAsia="Kalpurush" w:hAnsi="Kalpurush"/>
        </w:rPr>
        <w:t xml:space="preserve"/>
      </w:r>
    </w:p>
    <w:p>
      <w:r>
        <w:rPr>
          <w:rFonts w:ascii="Kalpurush" w:cs="Kalpurush" w:eastAsia="Kalpurush" w:hAnsi="Kalpurush"/>
          <w:b/>
          <w:bCs/>
          <w:sz w:val="20"/>
          <w:szCs w:val="20"/>
        </w:rPr>
        <w:t xml:space="preserve">চ.</w:t>
      </w:r>
      <w:r>
        <w:rPr>
          <w:rFonts w:ascii="Kalpurush" w:cs="Kalpurush" w:eastAsia="Kalpurush" w:hAnsi="Kalpurush"/>
          <w:sz w:val="20"/>
          <w:szCs w:val="20"/>
        </w:rPr>
        <w:t xml:space="preserve"> সার্ভে দাগ এবং যৌথ স্বার্থের মধ্যে পার্থক্য অনুধাবন না করিয়া হচপট দোষ নির্ধারণ করা হইয়াছে;</w:t>
      </w:r>
    </w:p>
    <w:p>
      <w:r>
        <w:rPr>
          <w:rFonts w:ascii="Kalpurush" w:cs="Kalpurush" w:eastAsia="Kalpurush" w:hAnsi="Kalpurush"/>
        </w:rPr>
        <w:t xml:space="preserve"/>
      </w:r>
    </w:p>
    <w:p>
      <w:r>
        <w:rPr>
          <w:rFonts w:ascii="Kalpurush" w:cs="Kalpurush" w:eastAsia="Kalpurush" w:hAnsi="Kalpurush"/>
          <w:b/>
          <w:bCs/>
          <w:sz w:val="20"/>
          <w:szCs w:val="20"/>
        </w:rPr>
        <w:t xml:space="preserve">ছ.</w:t>
      </w:r>
      <w:r>
        <w:rPr>
          <w:rFonts w:ascii="Kalpurush" w:cs="Kalpurush" w:eastAsia="Kalpurush" w:hAnsi="Kalpurush"/>
          <w:sz w:val="20"/>
          <w:szCs w:val="20"/>
        </w:rPr>
        <w:t xml:space="preserve"> সরকারের পক্ষদোষ বিষয়ে প্রতিষ্ঠিত আইন (51 DLR 386; সি.পি.সি ধারা ৯৯) যথাযথভাবে অনুসরণ করা হয়নি;</w:t>
      </w:r>
    </w:p>
    <w:p>
      <w:r>
        <w:rPr>
          <w:rFonts w:ascii="Kalpurush" w:cs="Kalpurush" w:eastAsia="Kalpurush" w:hAnsi="Kalpurush"/>
        </w:rPr>
        <w:t xml:space="preserve"/>
      </w:r>
    </w:p>
    <w:p>
      <w:r>
        <w:rPr>
          <w:rFonts w:ascii="Kalpurush" w:cs="Kalpurush" w:eastAsia="Kalpurush" w:hAnsi="Kalpurush"/>
          <w:b/>
          <w:bCs/>
          <w:sz w:val="20"/>
          <w:szCs w:val="20"/>
        </w:rPr>
        <w:t xml:space="preserve">জ.</w:t>
      </w:r>
      <w:r>
        <w:rPr>
          <w:rFonts w:ascii="Kalpurush" w:cs="Kalpurush" w:eastAsia="Kalpurush" w:hAnsi="Kalpurush"/>
          <w:sz w:val="20"/>
          <w:szCs w:val="20"/>
        </w:rPr>
        <w:t xml:space="preserve"> বিচার্য বিষয় ১-এ "মামলা চলিতে পারে" এবং বিচার্য বিষয় ২-৫-এ "প্রক্রিয়াগত ত্রুটিতে সম্পূর্ণ খারিজ" — এই দুই সিদ্ধান্তের সামঞ্জস্য রায়ে সুস্পষ্টভাবে ব্যাখ্যা করা হয়নি;</w:t>
      </w:r>
    </w:p>
    <w:p>
      <w:r>
        <w:rPr>
          <w:rFonts w:ascii="Kalpurush" w:cs="Kalpurush" w:eastAsia="Kalpurush" w:hAnsi="Kalpurush"/>
        </w:rPr>
        <w:t xml:space="preserve"/>
      </w:r>
    </w:p>
    <w:p>
      <w:r>
        <w:rPr>
          <w:rFonts w:ascii="Kalpurush" w:cs="Kalpurush" w:eastAsia="Kalpurush" w:hAnsi="Kalpurush"/>
          <w:b/>
          <w:bCs/>
          <w:sz w:val="20"/>
          <w:szCs w:val="20"/>
        </w:rPr>
        <w:t xml:space="preserve">ঝ.</w:t>
      </w:r>
      <w:r>
        <w:rPr>
          <w:rFonts w:ascii="Kalpurush" w:cs="Kalpurush" w:eastAsia="Kalpurush" w:hAnsi="Kalpurush"/>
          <w:sz w:val="20"/>
          <w:szCs w:val="20"/>
        </w:rPr>
        <w:t xml:space="preserve"> ১ নং বিবাদীর সোলেনামার স্বতন্ত্র আইনগত কার্যকারিতা বিবেচনা না করিয়া সম্পূর্ণ dismissal প্রদান করা হইয়াছে।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বিচার্য বিষয় IX — মূল প্রশ্নসমূহ, প্রমাণের ধারাবাহিকতা ও চূড়ান্ত নিবেদন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৯.১ চারটি মূল প্রশ্ন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মামলাটিকে চারটি প্রশ্নে সীমাবদ্ধ করিতে পারেন:</w:t>
      </w:r>
    </w:p>
    <w:p>
      <w:r>
        <w:rPr>
          <w:rFonts w:ascii="Kalpurush" w:cs="Kalpurush" w:eastAsia="Kalpurush" w:hAnsi="Kalpurush"/>
        </w:rPr>
        <w:t xml:space="preserve"/>
      </w:r>
    </w:p>
    <w:p>
      <w:r>
        <w:rPr>
          <w:rFonts w:ascii="Kalpurush" w:cs="Kalpurush" w:eastAsia="Kalpurush" w:hAnsi="Kalpurush"/>
          <w:b/>
          <w:bCs/>
          <w:sz w:val="20"/>
          <w:szCs w:val="20"/>
        </w:rPr>
        <w:t xml:space="preserve">প্রশ্ন-১:</w:t>
      </w:r>
      <w:r>
        <w:rPr>
          <w:rFonts w:ascii="Kalpurush" w:cs="Kalpurush" w:eastAsia="Kalpurush" w:hAnsi="Kalpurush"/>
          <w:sz w:val="20"/>
          <w:szCs w:val="20"/>
        </w:rPr>
        <w:t xml:space="preserve"> এস.এ ২৩৮ নং খতিয়ানের চূড়ান্তভাবে প্রকাশিত এন্ট্রি SAT Act ধারা ১৪৪ক-এর অধীনে rebuttable সংবিধিবদ্ধ অনুমান বহন করে। বিবাদীপক্ষ কি নির্ভরযোগ্য ও আইনত গ্রহণযোগ্য সাক্ষ্য-প্রমাণ দ্বারা সেই অনুমান খণ্ডন করিতে সক্ষম হইয়াছেন?</w:t>
      </w:r>
    </w:p>
    <w:p>
      <w:r>
        <w:rPr>
          <w:rFonts w:ascii="Kalpurush" w:cs="Kalpurush" w:eastAsia="Kalpurush" w:hAnsi="Kalpurush"/>
        </w:rPr>
        <w:t xml:space="preserve"/>
      </w:r>
    </w:p>
    <w:p>
      <w:r>
        <w:rPr>
          <w:rFonts w:ascii="Kalpurush" w:cs="Kalpurush" w:eastAsia="Kalpurush" w:hAnsi="Kalpurush"/>
          <w:b/>
          <w:bCs/>
          <w:sz w:val="20"/>
          <w:szCs w:val="20"/>
        </w:rPr>
        <w:t xml:space="preserve">প্রশ্ন-২:</w:t>
      </w:r>
      <w:r>
        <w:rPr>
          <w:rFonts w:ascii="Kalpurush" w:cs="Kalpurush" w:eastAsia="Kalpurush" w:hAnsi="Kalpurush"/>
          <w:sz w:val="20"/>
          <w:szCs w:val="20"/>
        </w:rPr>
        <w:t xml:space="preserve"> মিছ মোকদ্দমা ১১৮১/১৯৬৯-এর কথিত সংশোধন আদেশের প্রাথমিক নথি আদালতে কোথায়? উক্ত কার্যধারার অস্তিত্ব ও কার্যকরী ফলাফল কি প্রমাণিত?</w:t>
      </w:r>
    </w:p>
    <w:p>
      <w:r>
        <w:rPr>
          <w:rFonts w:ascii="Kalpurush" w:cs="Kalpurush" w:eastAsia="Kalpurush" w:hAnsi="Kalpurush"/>
        </w:rPr>
        <w:t xml:space="preserve"/>
      </w:r>
    </w:p>
    <w:p>
      <w:r>
        <w:rPr>
          <w:rFonts w:ascii="Kalpurush" w:cs="Kalpurush" w:eastAsia="Kalpurush" w:hAnsi="Kalpurush"/>
          <w:b/>
          <w:bCs/>
          <w:sz w:val="20"/>
          <w:szCs w:val="20"/>
        </w:rPr>
        <w:t xml:space="preserve">প্রশ্ন-৩:</w:t>
      </w:r>
      <w:r>
        <w:rPr>
          <w:rFonts w:ascii="Kalpurush" w:cs="Kalpurush" w:eastAsia="Kalpurush" w:hAnsi="Kalpurush"/>
          <w:sz w:val="20"/>
          <w:szCs w:val="20"/>
        </w:rPr>
        <w:t xml:space="preserve"> ধরা যাক উক্ত মিছ মোকদ্দমা ছিল — তাহা হইলেও তাহার প্রকৃতি, এখতিয়ার এবং substantive interest পরিবর্তন করিবার আইনগত এখতিয়ার কি প্রতিষ্ঠিত?</w:t>
      </w:r>
    </w:p>
    <w:p>
      <w:r>
        <w:rPr>
          <w:rFonts w:ascii="Kalpurush" w:cs="Kalpurush" w:eastAsia="Kalpurush" w:hAnsi="Kalpurush"/>
        </w:rPr>
        <w:t xml:space="preserve"/>
      </w:r>
    </w:p>
    <w:p>
      <w:r>
        <w:rPr>
          <w:rFonts w:ascii="Kalpurush" w:cs="Kalpurush" w:eastAsia="Kalpurush" w:hAnsi="Kalpurush"/>
          <w:b/>
          <w:bCs/>
          <w:sz w:val="20"/>
          <w:szCs w:val="20"/>
        </w:rPr>
        <w:t xml:space="preserve">প্রশ্ন-৪:</w:t>
      </w:r>
      <w:r>
        <w:rPr>
          <w:rFonts w:ascii="Kalpurush" w:cs="Kalpurush" w:eastAsia="Kalpurush" w:hAnsi="Kalpurush"/>
          <w:sz w:val="20"/>
          <w:szCs w:val="20"/>
        </w:rPr>
        <w:t xml:space="preserve"> বিবাদীপক্ষের নিজস্ব ১৯৭৫ সালের নিবন্ধিত দলিলে এস.এ ২৩৮-এ ৬টি দাগ দেখানো — সংশোধন-তত্ত্বের সহিত এই অসামঞ্জস্যের ব্যাখ্যা কোথায়?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৯.২ প্রমাণের ধারাবাহিকতা — এক দৃষ্টিতে</w:t>
      </w:r>
    </w:p>
    <w:p>
      <w:r>
        <w:rPr>
          <w:rFonts w:ascii="Kalpurush" w:cs="Kalpurush" w:eastAsia="Kalpurush" w:hAnsi="Kalpurush"/>
        </w:rPr>
        <w:t xml:space="preserve"/>
      </w:r>
    </w:p>
    <w:p>
      <w:r>
        <w:rPr>
          <w:rFonts w:ascii="Kalpurush" w:cs="Kalpurush" w:eastAsia="Kalpurush" w:hAnsi="Kalpurush"/>
          <w:sz w:val="20"/>
          <w:szCs w:val="20"/>
        </w:rPr>
        <w:t xml:space="preserve">```</w:t>
      </w:r>
    </w:p>
    <w:p>
      <w:r>
        <w:rPr>
          <w:rFonts w:ascii="Kalpurush" w:cs="Kalpurush" w:eastAsia="Kalpurush" w:hAnsi="Kalpurush"/>
          <w:sz w:val="20"/>
          <w:szCs w:val="20"/>
        </w:rPr>
        <w:t xml:space="preserve">এস.এ ২৩৮ — চূড়ান্তভাবে প্রকাশিত record-of-rights</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SAT Act ধারা ১৪৪ক — rebuttable সংবিধিবদ্ধ অনুমান</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উভয় পক্ষই একই এস্টেট হইতে একই দাগে পত্তন দাবি করেন</w:t>
      </w:r>
    </w:p>
    <w:p>
      <w:r>
        <w:rPr>
          <w:rFonts w:ascii="Kalpurush" w:cs="Kalpurush" w:eastAsia="Kalpurush" w:hAnsi="Kalpurush"/>
          <w:sz w:val="20"/>
          <w:szCs w:val="20"/>
        </w:rPr>
        <w:t xml:space="preserve">এস.এ জরিপ আব্দুল আলীর নাম নথিভুক্ত করিয়াছে</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বিবাদীপক্ষ দাবি করেন: subsequent সংশোধন হইয়াছে</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মূল কার্যধারা (মিছ মোকদ্দমা ১১৮১/১৯৬৯) — প্রাথমিক নথি অনুপস্থিত</w:t>
      </w:r>
    </w:p>
    <w:p>
      <w:r>
        <w:rPr>
          <w:rFonts w:ascii="Kalpurush" w:cs="Kalpurush" w:eastAsia="Kalpurush" w:hAnsi="Kalpurush"/>
          <w:sz w:val="20"/>
          <w:szCs w:val="20"/>
        </w:rPr>
        <w:t xml:space="preserve">Evidence Act ধারা ১১৪(g): adverse inference প্রযোজ্য হইতে পারে</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কথিত কার্যধারার প্রকৃতি ও আইনগত এখতিয়ার — প্রতিষ্ঠিত নয়</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Consequential ভলিউম এন্ট্রি: প্রস্তুতকারক, তারিখ, কর্তৃপক্ষ — ডি.ডব্লিউ.-৪ নিজেই জানেন না</w:t>
      </w:r>
    </w:p>
    <w:p>
      <w:r>
        <w:rPr>
          <w:rFonts w:ascii="Kalpurush" w:cs="Kalpurush" w:eastAsia="Kalpurush" w:hAnsi="Kalpurush"/>
          <w:sz w:val="20"/>
          <w:szCs w:val="20"/>
        </w:rPr>
        <w:t xml:space="preserve">৩৪৯ বনাম ৩৪০ শতাংশ — অতিরিক্ত ৯ শতাংশ অব্যাখ্যাত</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বিবাদীপক্ষের নিজস্ব ১৯৭৫ দলিল: এস.এ ২৩৮-এ ৬টি দাগ — সংশোধন-তত্ত্বের সহিত</w:t>
      </w:r>
    </w:p>
    <w:p>
      <w:r>
        <w:rPr>
          <w:rFonts w:ascii="Kalpurush" w:cs="Kalpurush" w:eastAsia="Kalpurush" w:hAnsi="Kalpurush"/>
          <w:sz w:val="20"/>
          <w:szCs w:val="20"/>
        </w:rPr>
        <w:t xml:space="preserve">prima facie অসামঞ্জস্যপূর্ণ</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বিবাদীপক্ষের মূল স্বত্বের ধারা (১৯৩৪ পত্তন → বেলুয়া) — প্রাথমিক প্রমাণ অনুপস্থিত</w:t>
      </w:r>
    </w:p>
    <w:p>
      <w:r>
        <w:rPr>
          <w:rFonts w:ascii="Kalpurush" w:cs="Kalpurush" w:eastAsia="Kalpurush" w:hAnsi="Kalpurush"/>
          <w:sz w:val="20"/>
          <w:szCs w:val="20"/>
        </w:rPr>
        <w:t xml:space="preserve">           |</w:t>
      </w:r>
    </w:p>
    <w:p>
      <w:r>
        <w:rPr>
          <w:rFonts w:ascii="Kalpurush" w:cs="Kalpurush" w:eastAsia="Kalpurush" w:hAnsi="Kalpurush"/>
          <w:sz w:val="20"/>
          <w:szCs w:val="20"/>
        </w:rPr>
        <w:t xml:space="preserve">অতএব: এস.এ ২৩৮-এর rebuttable অনুমান পরিবর্তিত হওয়ার সংযোগসূত্র</w:t>
      </w:r>
    </w:p>
    <w:p>
      <w:r>
        <w:rPr>
          <w:rFonts w:ascii="Kalpurush" w:cs="Kalpurush" w:eastAsia="Kalpurush" w:hAnsi="Kalpurush"/>
          <w:sz w:val="20"/>
          <w:szCs w:val="20"/>
        </w:rPr>
        <w:t xml:space="preserve">সন্তোষজনকভাবে প্রমাণিত হয়নি</w:t>
      </w:r>
    </w:p>
    <w:p>
      <w:r>
        <w:rPr>
          <w:rFonts w:ascii="Kalpurush" w:cs="Kalpurush" w:eastAsia="Kalpurush" w:hAnsi="Kalpurush"/>
          <w:sz w:val="20"/>
          <w:szCs w:val="20"/>
        </w:rP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৯.৩ চূড়ান্ত নিবেদন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আইনগত অবস্থান একটিই:</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যে পক্ষ এস.এ ২৩৮-এর চূড়ান্তভাবে প্রকাশিত এন্ট্রিকে পরবর্তী সংশোধনের মাধ্যমে পরিবর্তিত বলিয়া দাবি করিতেছে, তাহাকে সেই কথিত সংশোধন কার্যক্রমের অস্তিত্ব, উৎস, বিষয়বস্তু, আইনগত চরিত্র এবং কার্যকরী ফলাফল নির্ভরযোগ্য ও আইনত গ্রহণযোগ্য সাক্ষ্য-প্রমাণ দ্বারা প্রতিষ্ঠা করিতে হইবে। কেবলমাত্র একটি consequential ভলিউম এন্ট্রি — যাহার প্রস্তুতকারক, তারিখ এবং কর্তৃপক্ষ সম্পর্কে কোনো নির্ভরযোগ্য ব্যাখ্যা নাই — এই সমগ্র ধারাবাহিকতার প্রমাণ হিসেবে যথেষ্ট নয়।</w:t>
      </w:r>
    </w:p>
    <w:p>
      <w:r>
        <w:rPr>
          <w:rFonts w:ascii="Kalpurush" w:cs="Kalpurush" w:eastAsia="Kalpurush" w:hAnsi="Kalpurush"/>
        </w:rPr>
        <w:t xml:space="preserve"/>
      </w:r>
    </w:p>
    <w:p>
      <w:r>
        <w:rPr>
          <w:rFonts w:ascii="Kalpurush" w:cs="Kalpurush" w:eastAsia="Kalpurush" w:hAnsi="Kalpurush"/>
          <w:sz w:val="20"/>
          <w:szCs w:val="20"/>
        </w:rPr>
        <w:t xml:space="preserve">এই মামলায় সেই সংযোগসূত্র প্রমাণিত হয়নি।</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বক্তব্য এই নয় যে এস.এ ২৩৮ নং খতিয়ানের এন্ট্রি কোনো অবস্থাতেই ভুল হইতে পারে না। বরং মূল প্রশ্ন হইলো — বিবাদীপক্ষ যে পরবর্তী সংশোধনের দাবি করিয়াছেন, সেই সংশোধনের আইনগত ভিত্তি, কার্যধারা, আদেশ এবং কার্যকর হওয়ার বিষয়টি কি নির্ভরযোগ্য ও আইনত গ্রহণযোগ্য প্রমাণ দ্বারা প্রতিষ্ঠিত হইয়াছে?</w:t>
      </w:r>
    </w:p>
    <w:p>
      <w:r>
        <w:rPr>
          <w:rFonts w:ascii="Kalpurush" w:cs="Kalpurush" w:eastAsia="Kalpurush" w:hAnsi="Kalpurush"/>
        </w:rPr>
        <w:t xml:space="preserve"/>
      </w:r>
    </w:p>
    <w:p>
      <w:r>
        <w:rPr>
          <w:rFonts w:ascii="Kalpurush" w:cs="Kalpurush" w:eastAsia="Kalpurush" w:hAnsi="Kalpurush"/>
          <w:sz w:val="20"/>
          <w:szCs w:val="20"/>
        </w:rPr>
        <w:t xml:space="preserve">অতএব, এস.এ ২৩৮-এর এন্ট্রি ভুল হইতে পারে কি না — ইহা abstract প্রশ্ন নয়; বরং এই মামলায় উক্ত এন্ট্রিকে displaced করিবার মতো নির্ভরযোগ্য প্রমাণ বিদ্যমান কি না — সেটিই নির্ণায়ক প্রশ্ন।</w:t>
      </w:r>
    </w:p>
    <w:p>
      <w:r>
        <w:rPr>
          <w:rFonts w:ascii="Kalpurush" w:cs="Kalpurush" w:eastAsia="Kalpurush" w:hAnsi="Kalpurush"/>
        </w:rPr>
        <w:t xml:space="preserve"/>
      </w:r>
    </w:p>
    <w:p>
      <w:r>
        <w:rPr>
          <w:rFonts w:ascii="Kalpurush" w:cs="Kalpurush" w:eastAsia="Kalpurush" w:hAnsi="Kalpurush"/>
          <w:sz w:val="20"/>
          <w:szCs w:val="20"/>
        </w:rPr>
        <w:t xml:space="preserve">এই প্রশ্নের উত্তর প্রমাণের ভার বিবাদীপক্ষের উপর — যা তাহারা পূরণ করিতে পারেননি।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অতএব বিনীত প্রার্থনা</w:t>
      </w:r>
    </w:p>
    <w:p>
      <w:r>
        <w:rPr>
          <w:rFonts w:ascii="Kalpurush" w:cs="Kalpurush" w:eastAsia="Kalpurush" w:hAnsi="Kalpurush"/>
        </w:rPr>
        <w:t xml:space="preserve"/>
      </w:r>
    </w:p>
    <w:p>
      <w:r>
        <w:rPr>
          <w:rFonts w:ascii="Kalpurush" w:cs="Kalpurush" w:eastAsia="Kalpurush" w:hAnsi="Kalpurush"/>
          <w:sz w:val="20"/>
          <w:szCs w:val="20"/>
        </w:rPr>
        <w:t xml:space="preserve">উপরোক্ত facts, evidence এবং প্রযোজ্য আইনের আলোকে মহামান্য আদালতের নিকট বিনীত প্রার্থনা —</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বিজ্ঞ নিম্ন আদালতের ০৫/০৪/২০২৬ তারিখের judgment এবং ০৯/০৪/২০২৬ তারিখের decree আইন ও সাক্ষ্যের সঠিক মূল্যায়নের পরিপন্থী মর্মে রদ ও রহিত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আপীল্যান্টগণের দাবি ও প্রমাণ আইনানুগভাবে মূল্যায়নপূর্বক মোকদ্দমাটি প্রযোজ্য আইন অনুসারে নিষ্পত্তির জন্য প্রয়োজনীয় আদেশ প্রদান করা হউক; অথবা মহামান্য আদালতের নিকট উপযুক্ত ও ন্যায়সঙ্গত প্রতীয়মান হইলে মোকদ্দমাটি প্রয়োজনীয় নির্দেশনাসহ পুনঃশুনানির জন্য নিম্ন আদালতে প্রেরণ (remand)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সরকারের পৃথক খতিয়ানভুক্ত ভূমি — যা আপীল্যান্টগণ partition property হিসেবে দাবি করেননি — partition-এর subject matter-এর বাহিরে রাখিয়া কার্যক্রম পরিচালনার নির্দেশ দেওয়া হউক;</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কথিত মিছ মোকদ্দমা ১১৮১/১৯৬৯-এর প্রাথমিক নথি অনুপস্থিত থাকা এবং এ.সি ল্যান্ড ভলিউম এন্ট্রির প্রমাণগত ভিত্তি অপর্যাপ্ত হওয়ার বিষয়টি Evidence Act ধারা ১১৪(g)-এর সম্ভাব্য প্রযোজ্যতাসহ যথাযথভাবে বিবেচনা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ঙ.</w:t>
      </w:r>
      <w:r>
        <w:rPr>
          <w:rFonts w:ascii="Kalpurush" w:cs="Kalpurush" w:eastAsia="Kalpurush" w:hAnsi="Kalpurush"/>
          <w:sz w:val="20"/>
          <w:szCs w:val="20"/>
        </w:rPr>
        <w:t xml:space="preserve"> ১ নং বিবাদীর সোলেনামার স্বতন্ত্র আইনগত কার্যকারিতা এবং তৎসূত্রে আংশিক বাটোয়ারার প্রশ্নটি আইনানুগভাবে বিবেচনা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চ.</w:t>
      </w:r>
      <w:r>
        <w:rPr>
          <w:rFonts w:ascii="Kalpurush" w:cs="Kalpurush" w:eastAsia="Kalpurush" w:hAnsi="Kalpurush"/>
          <w:sz w:val="20"/>
          <w:szCs w:val="20"/>
        </w:rPr>
        <w:t xml:space="preserve"> ন্যায়বিচারের স্বার্থে আপিল মঞ্জুর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বিনীত নিবেদন সমাপ্ত।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রেফারেন্স সূচি</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ক্রমিক</w:t>
            </w:r>
          </w:p>
        </w:tc>
        <w:tc>
          <w:p>
            <w:r>
              <w:rPr>
                <w:rFonts w:ascii="Kalpurush" w:cs="Kalpurush" w:eastAsia="Kalpurush" w:hAnsi="Kalpurush"/>
                <w:sz w:val="20"/>
                <w:szCs w:val="20"/>
              </w:rPr>
              <w:t xml:space="preserve">নজির / আইন</w:t>
            </w:r>
          </w:p>
        </w:tc>
        <w:tc>
          <w:p>
            <w:r>
              <w:rPr>
                <w:rFonts w:ascii="Kalpurush" w:cs="Kalpurush" w:eastAsia="Kalpurush" w:hAnsi="Kalpurush"/>
                <w:sz w:val="20"/>
                <w:szCs w:val="20"/>
              </w:rPr>
              <w:t xml:space="preserve">মূল 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SAT Act ধারা ১৪৪(৭)</w:t>
            </w:r>
          </w:p>
        </w:tc>
        <w:tc>
          <w:p>
            <w:r>
              <w:rPr>
                <w:rFonts w:ascii="Kalpurush" w:cs="Kalpurush" w:eastAsia="Kalpurush" w:hAnsi="Kalpurush"/>
                <w:sz w:val="20"/>
                <w:szCs w:val="20"/>
              </w:rPr>
              <w:t xml:space="preserve">চূড়ান্ত প্রকাশনার procedural regularity</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SAT Act ধারা ১৪৪ক</w:t>
            </w:r>
          </w:p>
        </w:tc>
        <w:tc>
          <w:p>
            <w:r>
              <w:rPr>
                <w:rFonts w:ascii="Kalpurush" w:cs="Kalpurush" w:eastAsia="Kalpurush" w:hAnsi="Kalpurush"/>
                <w:sz w:val="20"/>
                <w:szCs w:val="20"/>
              </w:rPr>
              <w:t xml:space="preserve">এন্ট্রির rebuttable সংবিধিবদ্ধ অনুমান</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9 SCOB [2017] HCD 132 (Hossain Ali)</w:t>
            </w:r>
          </w:p>
        </w:tc>
        <w:tc>
          <w:p>
            <w:r>
              <w:rPr>
                <w:rFonts w:ascii="Kalpurush" w:cs="Kalpurush" w:eastAsia="Kalpurush" w:hAnsi="Kalpurush"/>
                <w:sz w:val="20"/>
                <w:szCs w:val="20"/>
              </w:rPr>
              <w:t xml:space="preserve">খতিয়ান স্বত্ব সৃষ্টি বা বিনাশ করে না</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50 DLR 186 (Dayal Chandra)</w:t>
            </w:r>
          </w:p>
        </w:tc>
        <w:tc>
          <w:p>
            <w:r>
              <w:rPr>
                <w:rFonts w:ascii="Kalpurush" w:cs="Kalpurush" w:eastAsia="Kalpurush" w:hAnsi="Kalpurush"/>
                <w:sz w:val="20"/>
                <w:szCs w:val="20"/>
              </w:rPr>
              <w:t xml:space="preserve">চূড়ান্ত প্রকাশিত খতিয়ানের এন্ট্রির সঠিকতার অনুমান বিপরীত প্রমাণ না হওয়া পর্যন্ত বহাল</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56 DLR (AD) 53</w:t>
            </w:r>
          </w:p>
        </w:tc>
        <w:tc>
          <w:p>
            <w:r>
              <w:rPr>
                <w:rFonts w:ascii="Kalpurush" w:cs="Kalpurush" w:eastAsia="Kalpurush" w:hAnsi="Kalpurush"/>
                <w:sz w:val="20"/>
                <w:szCs w:val="20"/>
              </w:rPr>
              <w:t xml:space="preserve">Challenge করা পক্ষের উপর প্রমাণের দায়ভার</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Evidence Act ধারা ১১৪ illustration (g)</w:t>
            </w:r>
          </w:p>
        </w:tc>
        <w:tc>
          <w:p>
            <w:r>
              <w:rPr>
                <w:rFonts w:ascii="Kalpurush" w:cs="Kalpurush" w:eastAsia="Kalpurush" w:hAnsi="Kalpurush"/>
                <w:sz w:val="20"/>
                <w:szCs w:val="20"/>
              </w:rPr>
              <w:t xml:space="preserve">Withheld নথি — সম্ভাব্য adverse inference</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53 DLR 19 (Shahera Khatun)</w:t>
            </w:r>
          </w:p>
        </w:tc>
        <w:tc>
          <w:p>
            <w:r>
              <w:rPr>
                <w:rFonts w:ascii="Kalpurush" w:cs="Kalpurush" w:eastAsia="Kalpurush" w:hAnsi="Kalpurush"/>
                <w:sz w:val="20"/>
                <w:szCs w:val="20"/>
              </w:rPr>
              <w:t xml:space="preserve">ধারা ১৪৩ মিউটেশনের কোনো presumptive মূল্য নাই</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37 DLR (AD) 202 (Reazuddin)</w:t>
            </w:r>
          </w:p>
        </w:tc>
        <w:tc>
          <w:p>
            <w:r>
              <w:rPr>
                <w:rFonts w:ascii="Kalpurush" w:cs="Kalpurush" w:eastAsia="Kalpurush" w:hAnsi="Kalpurush"/>
                <w:sz w:val="20"/>
                <w:szCs w:val="20"/>
              </w:rPr>
              <w:t xml:space="preserve">রেভিনিউ কার্যধারা ও substantive স্বত্বের সীমা</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14 SCOB [2020] HCD 53 (Akram Ali)</w:t>
            </w:r>
          </w:p>
        </w:tc>
        <w:tc>
          <w:p>
            <w:r>
              <w:rPr>
                <w:rFonts w:ascii="Kalpurush" w:cs="Kalpurush" w:eastAsia="Kalpurush" w:hAnsi="Kalpurush"/>
                <w:sz w:val="20"/>
                <w:szCs w:val="20"/>
              </w:rPr>
              <w:t xml:space="preserve">হচপট — community of interest, দাগ নয়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52 DLR (AD) 34 (Abdul Kader Khalifa)</w:t>
            </w:r>
          </w:p>
        </w:tc>
        <w:tc>
          <w:p>
            <w:r>
              <w:rPr>
                <w:rFonts w:ascii="Kalpurush" w:cs="Kalpurush" w:eastAsia="Kalpurush" w:hAnsi="Kalpurush"/>
                <w:sz w:val="20"/>
                <w:szCs w:val="20"/>
              </w:rPr>
              <w:t xml:space="preserve">Common interest না থাকিলে হচপটে আনার দায় নাই</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51 DLR (AD) 155 / 19 BLD (AD) 240</w:t>
            </w:r>
          </w:p>
        </w:tc>
        <w:tc>
          <w:p>
            <w:r>
              <w:rPr>
                <w:rFonts w:ascii="Kalpurush" w:cs="Kalpurush" w:eastAsia="Kalpurush" w:hAnsi="Kalpurush"/>
                <w:sz w:val="20"/>
                <w:szCs w:val="20"/>
              </w:rPr>
              <w:t xml:space="preserve">যৌথ সম্পত্তি হচপটে আনিতে হইবে, ব্যতিক্রম সহ</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51 DLR 386 (Abdul Quayum Khan)</w:t>
            </w:r>
          </w:p>
        </w:tc>
        <w:tc>
          <w:p>
            <w:r>
              <w:rPr>
                <w:rFonts w:ascii="Kalpurush" w:cs="Kalpurush" w:eastAsia="Kalpurush" w:hAnsi="Kalpurush"/>
                <w:sz w:val="20"/>
                <w:szCs w:val="20"/>
              </w:rPr>
              <w:t xml:space="preserve">সরকারের পক্ষদোষ — suit defeated হইবে না</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51 DLR 204</w:t>
            </w:r>
          </w:p>
        </w:tc>
        <w:tc>
          <w:p>
            <w:r>
              <w:rPr>
                <w:rFonts w:ascii="Kalpurush" w:cs="Kalpurush" w:eastAsia="Kalpurush" w:hAnsi="Kalpurush"/>
                <w:sz w:val="20"/>
                <w:szCs w:val="20"/>
              </w:rPr>
              <w:t xml:space="preserve">পক্ষদোষ — বাটোয়ারা মোকদ্দমা খারিজের কারণ নয়</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CPC Order I Rule 9, ধারা ৯৯</w:t>
            </w:r>
          </w:p>
        </w:tc>
        <w:tc>
          <w:p>
            <w:r>
              <w:rPr>
                <w:rFonts w:ascii="Kalpurush" w:cs="Kalpurush" w:eastAsia="Kalpurush" w:hAnsi="Kalpurush"/>
                <w:sz w:val="20"/>
                <w:szCs w:val="20"/>
              </w:rPr>
              <w:t xml:space="preserve">প্রক্রিয়াগত ত্রুটি ও merits-এর সম্পর্ক</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sz w:val="20"/>
          <w:szCs w:val="20"/>
        </w:rPr>
        <w:t xml:space="preserve">*⚠️ কৌশলীর জন্য বিশেষ দ্রষ্টব্য:*</w:t>
      </w:r>
    </w:p>
    <w:p>
      <w:r>
        <w:rPr>
          <w:rFonts w:ascii="Kalpurush" w:cs="Kalpurush" w:eastAsia="Kalpurush" w:hAnsi="Kalpurush"/>
        </w:rPr>
        <w:t xml:space="preserve"/>
      </w:r>
    </w:p>
    <w:p>
      <w:r>
        <w:rPr>
          <w:rFonts w:ascii="Kalpurush" w:cs="Kalpurush" w:eastAsia="Kalpurush" w:hAnsi="Kalpurush"/>
          <w:sz w:val="20"/>
          <w:szCs w:val="20"/>
        </w:rPr>
        <w:t xml:space="preserve">*রেফারেন্স সূচির নজিরগুলি DLR/BLD/SCOB-এর মূল ভলিউম হইতে exact party name, page number এবং exact holding যাচাই করার অনুরোধ করা হইতেছে — বিশেষত পুরাতন DLR ভলিউমগুলি ডিজিটালাইজড নয়। আদালতে দাখিলের পূর্বে প্রতিটি citation-এ: (১) পক্ষের নাম, (২) রিপোর্টের ভলিউম ও পৃষ্ঠা, (৩) exact holding, এবং (৪) যে proposition-এর জন্য citation ব্যবহার করা হইতেছে তার সহিত মূল judgment-এর মিল — যাচাই অপরিহার্য। এই সংস্করণে কোনো নতুন যাচাইকৃত নজির যুক্ত করা হয়নি; ভাষাগত ও drafting-সংক্রান্ত পরিমার্জনই এই সংস্করণের একমাত্র লক্ষ্য।*</w:t>
      </w:r>
    </w:p>
    <w:p>
      <w:r>
        <w:rPr>
          <w:rFonts w:ascii="Kalpurush" w:cs="Kalpurush" w:eastAsia="Kalpurush" w:hAnsi="Kalpurush"/>
        </w:rPr>
        <w:t xml:space="preserve"/>
      </w:r>
    </w:p>
    <w:p>
      <w:r>
        <w:rPr>
          <w:rFonts w:ascii="Kalpurush" w:cs="Kalpurush" w:eastAsia="Kalpurush" w:hAnsi="Kalpurush"/>
          <w:sz w:val="20"/>
          <w:szCs w:val="20"/>
        </w:rPr>
        <w:t xml:space="preserve">*শুনানিকালে অতিরিক্ত নজির ও সম্পূরক আইনগত বিষয়াদি উপস্থাপন করার অধিকার সংরক্ষিত।*</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2026-08-20T12:14:36.422Z</dcterms:created>
  <dcterms:modified xsi:type="dcterms:W3CDTF">2026-08-20T12:14:36.422Z</dcterms:modified>
</cp:coreProperties>
</file>

<file path=docProps/custom.xml><?xml version="1.0" encoding="utf-8"?>
<Properties xmlns="http://schemas.openxmlformats.org/officeDocument/2006/custom-properties" xmlns:vt="http://schemas.openxmlformats.org/officeDocument/2006/docPropsVTypes"/>
</file>