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 (বাটোয়ারা মামলা নং ৬৬/২০১৬)</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সারসংক্ষেপ</w:t>
      </w:r>
    </w:p>
    <w:p>
      <w:r>
        <w:rPr>
          <w:rFonts w:ascii="Kalpurush" w:cs="Kalpurush" w:eastAsia="Kalpurush" w:hAnsi="Kalpurush"/>
        </w:rPr>
        <w:t xml:space="preserve"/>
      </w:r>
    </w:p>
    <w:p>
      <w:r>
        <w:rPr>
          <w:rFonts w:ascii="Kalpurush" w:cs="Kalpurush" w:eastAsia="Kalpurush" w:hAnsi="Kalpurush"/>
          <w:b/>
          <w:bCs/>
          <w:sz w:val="20"/>
          <w:szCs w:val="20"/>
        </w:rPr>
        <w:t xml:space="preserve">Version 98</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মূল প্রশ্ন</w:t>
      </w:r>
    </w:p>
    <w:p>
      <w:r>
        <w:rPr>
          <w:rFonts w:ascii="Kalpurush" w:cs="Kalpurush" w:eastAsia="Kalpurush" w:hAnsi="Kalpurush"/>
        </w:rPr>
        <w:t xml:space="preserve"/>
      </w:r>
    </w:p>
    <w:p>
      <w:r>
        <w:rPr>
          <w:rFonts w:ascii="Kalpurush" w:cs="Kalpurush" w:eastAsia="Kalpurush" w:hAnsi="Kalpurush"/>
          <w:sz w:val="20"/>
          <w:szCs w:val="20"/>
        </w:rPr>
        <w:t xml:space="preserve">এই আপিলের মূল প্রশ্ন আব্দুল করিমের কথিত ১৯৩৪ সালের পত্তন বা উত্তরাধিকার নয়। প্রশ্ন হইলো — এস.এ ২৩৮ নং খতিয়ানের চূড়ান্তভাবে প্রকাশিত এন্ট্রিকে বিবাদীপক্ষ যে ১৯৬৯ সালের কথিত সংশোধন (মিছ মোকদ্দমা ১১৮১/১৯৬৯) দ্বারা পরিবর্তিত বলিয়া দাবি করিতেছেন, সেই সংশোধনের আইনগত উৎস, এখতিয়ার এবং কার্যকরণ তাহারা নির্ভরযোগ্যভাবে প্রমাণ করিতে পারিয়াছেন কি না। আপীল্যান্টপক্ষ এস.এ ২৩৮-কে অখণ্ডনীয় স্বত্ব বলিতেছেন না; আপীল্যান্টপক্ষের নিবেদন — বিবাদীপক্ষের কথিত পরিবর্তন প্রমাণিত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প্রমাণগত কাঠামো — তিন স্তর</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স্তর ক (রেকর্ড):</w:t>
      </w:r>
      <w:r>
        <w:rPr>
          <w:rFonts w:ascii="Kalpurush" w:cs="Kalpurush" w:eastAsia="Kalpurush" w:hAnsi="Kalpurush"/>
          <w:sz w:val="20"/>
          <w:szCs w:val="20"/>
        </w:rPr>
        <w:t xml:space="preserve"> এস.এ ২৩৮-এ আব্দুল আলী একক রায়ত হিসেবে রেকর্ডভুক্ত। SAT Act ধারা ১৪৪ক অনুযায়ী ইহা প্রমাণের প্রাথমিক স্তর নির্ধারণ করে (56 DLR (AD) 53)।</w:t>
      </w:r>
    </w:p>
    <w:p>
      <w:r>
        <w:rPr>
          <w:rFonts w:ascii="Kalpurush" w:cs="Kalpurush" w:eastAsia="Kalpurush" w:hAnsi="Kalpurush"/>
        </w:rPr>
        <w:t xml:space="preserve"/>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স্তর খ (কথিত সংশোধন-তত্ত্ব):</w:t>
      </w:r>
      <w:r>
        <w:rPr>
          <w:rFonts w:ascii="Kalpurush" w:cs="Kalpurush" w:eastAsia="Kalpurush" w:hAnsi="Kalpurush"/>
          <w:sz w:val="20"/>
          <w:szCs w:val="20"/>
        </w:rPr>
        <w:t xml:space="preserve"> বিবাদীপক্ষের তত্ত্ব (আব্দুল করিম → সোনাভানু → মিছ ১১৮১/১৯৬৯ সংশোধন → এ.সি ল্যান্ড ভলিউম) প্রমাণসাপেক্ষ, এবং মূল কার্যধারার নথি অনুপস্থিত।</w:t>
      </w:r>
    </w:p>
    <w:p>
      <w:r>
        <w:rPr>
          <w:rFonts w:ascii="Kalpurush" w:cs="Kalpurush" w:eastAsia="Kalpurush" w:hAnsi="Kalpurush"/>
        </w:rPr>
        <w:t xml:space="preserve"/>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স্তর গ (দালিলিক অসামঞ্জস্য):</w:t>
      </w:r>
      <w:r>
        <w:rPr>
          <w:rFonts w:ascii="Kalpurush" w:cs="Kalpurush" w:eastAsia="Kalpurush" w:hAnsi="Kalpurush"/>
          <w:sz w:val="20"/>
          <w:szCs w:val="20"/>
        </w:rPr>
        <w:t xml:space="preserve"> বিবাদীপক্ষের নিজস্ব ১৯৭৫ সালের দলিলে ৬টি দাগের উল্লেখ, ৩৪৯ বনাম ৩৪০ শতাংশের অব্যাখ্যাত পার্থক্য, এবং বেলুয়া খাতুনের কর্তৃত্বের প্রশ্ন — এই বিষয়সমূহ আদালতের তীক্ষ্ণ পর্যালোচনার দাবি রাখে।</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একই এস্টেট, দুই পত্তনের দাবি</w:t>
      </w:r>
    </w:p>
    <w:p>
      <w:r>
        <w:rPr>
          <w:rFonts w:ascii="Kalpurush" w:cs="Kalpurush" w:eastAsia="Kalpurush" w:hAnsi="Kalpurush"/>
        </w:rPr>
        <w:t xml:space="preserve"/>
      </w:r>
    </w:p>
    <w:p>
      <w:r>
        <w:rPr>
          <w:rFonts w:ascii="Kalpurush" w:cs="Kalpurush" w:eastAsia="Kalpurush" w:hAnsi="Kalpurush"/>
          <w:sz w:val="20"/>
          <w:szCs w:val="20"/>
        </w:rPr>
        <w:t xml:space="preserve">উভয় পক্ষই একই ঢাকা নবাব এস্টেট হইতে একই সি.এস ১২৫৯ দাগের পত্তন দাবি করিতেছেন। চূড়ান্তভাবে প্রকাশিত এস.এ রেকর্ডে আব্দুল করিমের নাম নয়, আব্দুল আলীর নাম প্রতিফলিত হইয়াছে — এই পরিস্থিতি বিবাদীপক্ষের ১৯৩৪ সালের কথিত পত্তনের মূল্যায়নে গুরুত্বপূর্ণ।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প্রমাণগত ঘাটতি — মিছ মোকদ্দমা ১১৮১/১৯৬৯</w:t>
      </w:r>
    </w:p>
    <w:p>
      <w:r>
        <w:rPr>
          <w:rFonts w:ascii="Kalpurush" w:cs="Kalpurush" w:eastAsia="Kalpurush" w:hAnsi="Kalpurush"/>
        </w:rPr>
        <w:t xml:space="preserve"/>
      </w:r>
    </w:p>
    <w:p>
      <w:r>
        <w:rPr>
          <w:rFonts w:ascii="Kalpurush" w:cs="Kalpurush" w:eastAsia="Kalpurush" w:hAnsi="Kalpurush"/>
          <w:sz w:val="20"/>
          <w:szCs w:val="20"/>
        </w:rPr>
        <w:t xml:space="preserve">বিবাদীপক্ষের সংশোধন-তত্ত্বের ভিত্তি এই কথিত মিছ মোকদ্দমা। উক্ত কার্যধারার আবেদনপত্র, আদেশ, রায় বা সই-মুহুরী নকল প্রমাণে উপস্থাপিত হয়নি। বিবাদীপক্ষ এই কার্যধারাকে juridical উৎস হিসেবে নির্ভর করিতেছেন; অতএব আদালতের নিকট উক্ত কার্যধারার প্রকৃতি, এখতিয়ার ও কার্যকরী ফলাফল প্রতিষ্ঠিত হওয়া আবশ্যক।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এ.সি ল্যান্ড ভলিউম বনাম জেলা রেকর্ড রুম</w:t>
      </w:r>
    </w:p>
    <w:p>
      <w:r>
        <w:rPr>
          <w:rFonts w:ascii="Kalpurush" w:cs="Kalpurush" w:eastAsia="Kalpurush" w:hAnsi="Kalpurush"/>
        </w:rPr>
        <w:t xml:space="preserve"/>
      </w:r>
    </w:p>
    <w:p>
      <w:r>
        <w:rPr>
          <w:rFonts w:ascii="Kalpurush" w:cs="Kalpurush" w:eastAsia="Kalpurush" w:hAnsi="Kalpurush"/>
          <w:sz w:val="20"/>
          <w:szCs w:val="20"/>
        </w:rPr>
        <w:t xml:space="preserve">উভয় দলিল ভিন্ন কর্তৃপক্ষ ও প্রশাসনিক প্রেক্ষাপট হইতে উদ্ভূত। ডি.ডব্লিউ.-৪ নিজেই ভলিউম এন্ট্রির উৎস, প্রস্তুতকারক ও তারিখ ব্যাখ্যা করিতে পারেননি। এই অপ্রমাণিত ভিত্তি consequential এন্ট্রির প্রমাণগত ওজন কমায়। অতিরিক্ত হিসেবে, ৩৪৯ বনাম ৩৪০ শতাংশের ৯ শতাংশ পার্থক্যের কোনো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গুরুত্বপূর্ণ দালিলিক অসামঞ্জস্য (১৯৭৫ সালের দলিল)</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 অনুযায়ী ১৯৬৯ সালের সংশোধনে এস.এ ২৩৮ এক দাগে সীমাবদ্ধ হয়। কিন্তু বিবাদীপক্ষের নিজস্ব দাখিলকৃত ১৯৭৫ সালের নিবন্ধিত দলিলে (নং ৩৫৯৬) উক্ত খতিয়ানে ছয়টি দাগের (১২৫৯, ৭৫, ৩, ৫৪, ১২৫২ এবং ১২২০) উল্লেখ রহিয়াছে — যা সংশোধন-তত্ত্বের সহিত প্রত্যক্ষভাবে অসামঞ্জস্যপূর্ণ।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হচপট ও সরকারের পক্ষদোষ</w:t>
      </w:r>
    </w:p>
    <w:p>
      <w:r>
        <w:rPr>
          <w:rFonts w:ascii="Kalpurush" w:cs="Kalpurush" w:eastAsia="Kalpurush" w:hAnsi="Kalpurush"/>
        </w:rPr>
        <w:t xml:space="preserve"/>
      </w:r>
    </w:p>
    <w:p>
      <w:r>
        <w:rPr>
          <w:rFonts w:ascii="Kalpurush" w:cs="Kalpurush" w:eastAsia="Kalpurush" w:hAnsi="Kalpurush"/>
          <w:sz w:val="20"/>
          <w:szCs w:val="20"/>
        </w:rPr>
        <w:t xml:space="preserve">হচপটের প্রশ্ন সার্ভে দাগের মোট পরিমাণ নয়, বরং পক্ষগণের community of interest ও যৌথ স্বার্থের প্রকৃতির উপর নির্ভরশীল। সরকারি খাস জমি পৃথক খতিয়ানভুক্ত হইলে এবং তার বিরুদ্ধে কোনো relief দাবি না করা হইলে, সরকার necessary party নয় এবং তার অনুপস্থিতি মোকদ্দমা খারিজের স্বয়ংসম্পূর্ণ কারণ নয়।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রায়ের অন্তর্নিহিত সামঞ্জস্যের প্রশ্ন</w:t>
      </w:r>
    </w:p>
    <w:p>
      <w:r>
        <w:rPr>
          <w:rFonts w:ascii="Kalpurush" w:cs="Kalpurush" w:eastAsia="Kalpurush" w:hAnsi="Kalpurush"/>
        </w:rPr>
        <w:t xml:space="preserve"/>
      </w:r>
    </w:p>
    <w:p>
      <w:r>
        <w:rPr>
          <w:rFonts w:ascii="Kalpurush" w:cs="Kalpurush" w:eastAsia="Kalpurush" w:hAnsi="Kalpurush"/>
          <w:sz w:val="20"/>
          <w:szCs w:val="20"/>
        </w:rPr>
        <w:t xml:space="preserve">বিচার্য বিষয়-১-এ "মামলা চলিতে পারে" এবং বিচার্য বিষয় ২-৫-এ "সম্পূর্ণ খারিজ" — এই দুই সিদ্ধান্তের পারস্পরিক সামঞ্জস্য রায়ে সুস্পষ্টভাবে ব্যাখ্যা করা প্রয়োজন ছিল। তাছাড়া ১ নং বিবাদীর সোলেনামার স্বতন্ত্র আইনগত কার্যকারিতা বিবেচনা না করিয়া সম্পূর্ণ dismissal প্রদান করা হইয়াছে।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সমাপনী নিবেদন</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এই নয় যে এস.এ ২৩৮ কোনো অবস্থাতেই ভুল হইতে পারে না। মূল প্রশ্ন হইলো — বিবাদীপক্ষের দাবিকৃত সংশোধন নির্ভরযোগ্য ও আইনত গ্রহণযোগ্য প্রমাণ দ্বারা প্রতিষ্ঠিত হইয়াছে কি না। এই মামলায় সেই সংযোগসূত্র প্রমাণিত হয়নি।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কৌশলীর জন্য দ্রষ্টব্য</w:t>
      </w:r>
    </w:p>
    <w:p>
      <w:r>
        <w:rPr>
          <w:rFonts w:ascii="Kalpurush" w:cs="Kalpurush" w:eastAsia="Kalpurush" w:hAnsi="Kalpurush"/>
        </w:rPr>
        <w:t xml:space="preserve"/>
      </w:r>
    </w:p>
    <w:p>
      <w:r>
        <w:rPr>
          <w:rFonts w:ascii="Kalpurush" w:cs="Kalpurush" w:eastAsia="Kalpurush" w:hAnsi="Kalpurush"/>
          <w:sz w:val="20"/>
          <w:szCs w:val="20"/>
        </w:rPr>
        <w:t xml:space="preserve">সকল উদ্ধৃত নজিরের পক্ষের নাম, ভলিউম, পৃষ্ঠা এবং exact holding দাখিলের পূর্বে পুনরায় যাচাই করা আবশ্যক। SAT Act ধারা ১৪৫ক/১৪৫চ-এর সম্ভাব্য এখতিয়ার-সংক্রান্ত threshold প্রশ্নটি merits আলোচনার পূর্বে পৃথকভাবে যাচাই করা উচিত।</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2026-08-20T12:14:36.528Z</dcterms:created>
  <dcterms:modified xsi:type="dcterms:W3CDTF">2026-08-20T12:14:36.528Z</dcterms:modified>
</cp:coreProperties>
</file>

<file path=docProps/custom.xml><?xml version="1.0" encoding="utf-8"?>
<Properties xmlns="http://schemas.openxmlformats.org/officeDocument/2006/custom-properties" xmlns:vt="http://schemas.openxmlformats.org/officeDocument/2006/docPropsVTypes"/>
</file>