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Progress Update &amp; SARIMA Evaluation Note</w:t>
      </w:r>
    </w:p>
    <w:p>
      <w:pPr>
        <w:spacing w:after="160"/>
        <w:jc w:val="center"/>
      </w:pPr>
      <w:r>
        <w:rPr>
          <w:i/>
          <w:color w:val="646464"/>
          <w:sz w:val="18"/>
        </w:rPr>
        <w:t>Bangladesh Electricity Demand Forecasting  |  9 October 2026</w:t>
      </w:r>
    </w:p>
    <w:p>
      <w:r>
        <w:rPr>
          <w:b/>
        </w:rPr>
        <w:t xml:space="preserve">Purpose. </w:t>
      </w:r>
      <w:r>
        <w:t>This brief summarizes the work represented in the current 4_model project folder against the supervisor?s publication checklist, clarifies the SARIMA evaluation limitation, and identifies the remaining checks before submission.</w:t>
      </w:r>
    </w:p>
    <w:p>
      <w:pPr>
        <w:pStyle w:val="Heading1"/>
      </w:pPr>
      <w:r>
        <w:t>Work completed and evidence in the project</w:t>
      </w:r>
    </w:p>
    <w:p>
      <w:pPr>
        <w:pStyle w:val="ListBullet"/>
        <w:spacing w:after="40"/>
        <w:ind w:left="317" w:hanging="173"/>
      </w:pPr>
      <w:r>
        <w:t>Data preparation and exploratory analysis are documented in EDA.ipynb. The prepared files are merged_all_divisions_weather_data.csv and cleaned_combined_data.csv; the latter contains 42,611 hourly observations (2020?2025), as reported in README.md.</w:t>
      </w:r>
    </w:p>
    <w:p>
      <w:pPr>
        <w:pStyle w:val="ListBullet"/>
        <w:spacing w:after="40"/>
        <w:ind w:left="317" w:hanging="173"/>
      </w:pPr>
      <w:r>
        <w:t>Feature creation and chronological holdout evaluation are implemented in final_model.ipynb and Hyperparameter_tuning_of_models.ipynb. The machine-learning test partition contains 8,455 observations, with shuffling disabled. Candidate models include Gradient Boosting, XGBoost, ANN, and AutoARIMA/SARIMA.</w:t>
      </w:r>
    </w:p>
    <w:p>
      <w:pPr>
        <w:pStyle w:val="ListBullet"/>
        <w:spacing w:after="40"/>
        <w:ind w:left="317" w:hanging="173"/>
      </w:pPr>
      <w:r>
        <w:t>Standard regression metrics (MAE, RMSE, MAPE, NRMSE, and R?) are implemented in final_model.ipynb and recorded in model_results_top.csv. The saved Gradient Boosting metadata reports MAE 203.3 MW, RMSE 271.9 MW, MAPE 1.745%, and R? 0.985.</w:t>
      </w:r>
    </w:p>
    <w:p>
      <w:pPr>
        <w:pStyle w:val="ListBullet"/>
        <w:spacing w:after="40"/>
        <w:ind w:left="317" w:hanging="173"/>
      </w:pPr>
      <w:r>
        <w:t>Stress-period masks identify 5,392 normal observations and 3,063 stress observations in the 8,455-row test set. The current Table III source calls regression_metrics with the required model-name argument; however, the notebook still contains an older saved TypeError output. The cell must be rerun and the resulting metrics checked before Table III is described as finalized.</w:t>
      </w:r>
    </w:p>
    <w:p>
      <w:pPr>
        <w:pStyle w:val="ListBullet"/>
        <w:spacing w:after="40"/>
        <w:ind w:left="317" w:hanging="173"/>
      </w:pPr>
      <w:r>
        <w:t>The project contains model-comparison, diagnostic, and workflow figures, with exports organized under paper_figures/. Hyperparameters and feature metadata are in final_model.ipynb and saved_models/model_metadata.json; a publication-ready consolidated hyperparameter table still needs to be confirmed in the manuscript.</w:t>
      </w:r>
    </w:p>
    <w:p>
      <w:pPr>
        <w:pStyle w:val="Heading1"/>
      </w:pPr>
      <w:r>
        <w:t>Why the current SARIMA result covers 48 hours</w:t>
      </w:r>
    </w:p>
    <w:p>
      <w:r>
        <w:rPr>
          <w:b/>
        </w:rPr>
        <w:t xml:space="preserve">The current notebook run reports 48 SARIMA forecast rows, while the machine-learning evaluation uses 8,455 held-out hours. </w:t>
      </w:r>
      <w:r>
        <w:t>This is an evaluation-scope difference, not a mathematical rule that SARIMA cannot forecast a year. A fixed-origin, long-horizon SARIMA forecast must generate future values recursively and needs future exogenous inputs (such as weather and load-shedding) or credible forecasts for them. Lag and rolling-demand inputs also become unavailable as observed future demand moves beyond the forecast origin. Uncertainty generally increases with horizon.</w:t>
      </w:r>
    </w:p>
    <w:p>
      <w:r>
        <w:t>A fair full-window comparison is possible in principle through a rolling/expanding-origin, one-step-ahead evaluation: forecast the next hour, advance the origin, and update using information available at that time. This is different from forecasting the entire final year once at the start. The evaluation protocol and availability of future covariates must be stated consistently; if this has not been completed, the 48-hour SARIMA result should be reported as a short-horizon baseline, not compared as though it covered all 8,455 hours.</w:t>
      </w:r>
    </w:p>
    <w:p>
      <w:pPr>
        <w:pStyle w:val="Heading1"/>
      </w:pPr>
      <w:r>
        <w:t>Remaining publication checks</w:t>
      </w:r>
    </w:p>
    <w:tbl>
      <w:tblPr>
        <w:tblW w:type="auto" w:w="0"/>
        <w:jc w:val="center"/>
        <w:tblLayout w:type="fixed"/>
        <w:tblLook w:firstColumn="1" w:firstRow="1" w:lastColumn="0" w:lastRow="0" w:noHBand="0" w:noVBand="1" w:val="04A0"/>
      </w:tblPr>
      <w:tblGrid>
        <w:gridCol w:w="1757"/>
        <w:gridCol w:w="8568"/>
      </w:tblGrid>
      <w:tr>
        <w:tc>
          <w:tcPr>
            <w:tcW w:type="dxa" w:w="5141"/>
            <w:vAlign w:val="center"/>
            <w:shd w:fill="17365D"/>
          </w:tcPr>
          <w:p>
            <w:pPr>
              <w:spacing w:after="0" w:before="0"/>
            </w:pPr>
            <w:r/>
            <w:r>
              <w:rPr>
                <w:rFonts w:ascii="Aptos" w:hAnsi="Aptos"/>
                <w:b/>
                <w:color w:val="FFFFFF"/>
                <w:sz w:val="16"/>
              </w:rPr>
              <w:t>Item</w:t>
            </w:r>
          </w:p>
        </w:tc>
        <w:tc>
          <w:tcPr>
            <w:tcW w:type="dxa" w:w="5141"/>
            <w:vAlign w:val="center"/>
            <w:shd w:fill="17365D"/>
          </w:tcPr>
          <w:p>
            <w:pPr>
              <w:spacing w:after="0" w:before="0"/>
            </w:pPr>
            <w:r/>
            <w:r>
              <w:rPr>
                <w:rFonts w:ascii="Aptos" w:hAnsi="Aptos"/>
                <w:b/>
                <w:color w:val="FFFFFF"/>
                <w:sz w:val="16"/>
              </w:rPr>
              <w:t>Next check</w:t>
            </w:r>
          </w:p>
        </w:tc>
      </w:tr>
      <w:tr>
        <w:tc>
          <w:tcPr>
            <w:tcW w:type="dxa" w:w="1757"/>
            <w:vAlign w:val="center"/>
            <w:shd w:fill="E8EFF7"/>
          </w:tcPr>
          <w:p>
            <w:pPr>
              <w:spacing w:after="0" w:before="0"/>
            </w:pPr>
            <w:r/>
            <w:r>
              <w:rPr>
                <w:rFonts w:ascii="Aptos" w:hAnsi="Aptos"/>
                <w:b/>
                <w:sz w:val="15"/>
              </w:rPr>
              <w:t>Table III</w:t>
            </w:r>
          </w:p>
        </w:tc>
        <w:tc>
          <w:tcPr>
            <w:tcW w:type="dxa" w:w="8568"/>
            <w:vAlign w:val="center"/>
          </w:tcPr>
          <w:p>
            <w:pPr>
              <w:spacing w:after="0" w:before="0"/>
            </w:pPr>
            <w:r/>
            <w:r>
              <w:rPr>
                <w:rFonts w:ascii="Aptos" w:hAnsi="Aptos"/>
                <w:b w:val="0"/>
                <w:sz w:val="15"/>
              </w:rPr>
              <w:t>Rerun the corrected stress-analysis cell in a fresh, top-to-bottom notebook run; verify the metrics and replace stale error output.</w:t>
            </w:r>
          </w:p>
        </w:tc>
      </w:tr>
      <w:tr>
        <w:tc>
          <w:tcPr>
            <w:tcW w:type="dxa" w:w="1757"/>
            <w:vAlign w:val="center"/>
            <w:shd w:fill="E8EFF7"/>
          </w:tcPr>
          <w:p>
            <w:pPr>
              <w:spacing w:after="0" w:before="0"/>
            </w:pPr>
            <w:r/>
            <w:r>
              <w:rPr>
                <w:rFonts w:ascii="Aptos" w:hAnsi="Aptos"/>
                <w:b/>
                <w:sz w:val="15"/>
              </w:rPr>
              <w:t>SARIMA</w:t>
            </w:r>
          </w:p>
        </w:tc>
        <w:tc>
          <w:tcPr>
            <w:tcW w:type="dxa" w:w="8568"/>
            <w:vAlign w:val="center"/>
          </w:tcPr>
          <w:p>
            <w:pPr>
              <w:spacing w:after="0" w:before="0"/>
            </w:pPr>
            <w:r/>
            <w:r>
              <w:rPr>
                <w:rFonts w:ascii="Aptos" w:hAnsi="Aptos"/>
                <w:b w:val="0"/>
                <w:sz w:val="15"/>
              </w:rPr>
              <w:t>Either implement and validate an 8,455-step rolling-origin evaluation with aligned exogenous inputs, or clearly disclose the 48-hour scope and limit direct comparison.</w:t>
            </w:r>
          </w:p>
        </w:tc>
      </w:tr>
      <w:tr>
        <w:tc>
          <w:tcPr>
            <w:tcW w:type="dxa" w:w="1757"/>
            <w:vAlign w:val="center"/>
            <w:shd w:fill="E8EFF7"/>
          </w:tcPr>
          <w:p>
            <w:pPr>
              <w:spacing w:after="0" w:before="0"/>
            </w:pPr>
            <w:r/>
            <w:r>
              <w:rPr>
                <w:rFonts w:ascii="Aptos" w:hAnsi="Aptos"/>
                <w:b/>
                <w:sz w:val="15"/>
              </w:rPr>
              <w:t>Manuscript assets</w:t>
            </w:r>
          </w:p>
        </w:tc>
        <w:tc>
          <w:tcPr>
            <w:tcW w:type="dxa" w:w="8568"/>
            <w:vAlign w:val="center"/>
          </w:tcPr>
          <w:p>
            <w:pPr>
              <w:spacing w:after="0" w:before="0"/>
            </w:pPr>
            <w:r/>
            <w:r>
              <w:rPr>
                <w:rFonts w:ascii="Aptos" w:hAnsi="Aptos"/>
                <w:b w:val="0"/>
                <w:sz w:val="15"/>
              </w:rPr>
              <w:t>Confirm all figure placeholders are replaced and add the consolidated hyperparameter table. The manuscript and its 60-reference bibliography are not present in 4_model, so citation completeness and title/scope alignment cannot be verified from this folder.</w:t>
            </w:r>
          </w:p>
        </w:tc>
      </w:tr>
      <w:tr>
        <w:tc>
          <w:tcPr>
            <w:tcW w:type="dxa" w:w="1757"/>
            <w:vAlign w:val="center"/>
            <w:shd w:fill="E8EFF7"/>
          </w:tcPr>
          <w:p>
            <w:pPr>
              <w:spacing w:after="0" w:before="0"/>
            </w:pPr>
            <w:r/>
            <w:r>
              <w:rPr>
                <w:rFonts w:ascii="Aptos" w:hAnsi="Aptos"/>
                <w:b/>
                <w:sz w:val="15"/>
              </w:rPr>
              <w:t>Availability statement</w:t>
            </w:r>
          </w:p>
        </w:tc>
        <w:tc>
          <w:tcPr>
            <w:tcW w:type="dxa" w:w="8568"/>
            <w:vAlign w:val="center"/>
          </w:tcPr>
          <w:p>
            <w:pPr>
              <w:spacing w:after="0" w:before="0"/>
            </w:pPr>
            <w:r/>
            <w:r>
              <w:rPr>
                <w:rFonts w:ascii="Aptos" w:hAnsi="Aptos"/>
                <w:b w:val="0"/>
                <w:sz w:val="15"/>
              </w:rPr>
              <w:t>Add a public GitHub/Zenodo URL only after the repository or dataset/scripts are publicly accessible; no such URL is established by the files reviewed.</w:t>
            </w:r>
          </w:p>
        </w:tc>
      </w:tr>
    </w:tbl>
    <w:p>
      <w:r>
        <w:br w:type="page"/>
      </w:r>
    </w:p>
    <w:p>
      <w:pPr>
        <w:pStyle w:val="Heading1"/>
      </w:pPr>
      <w:r>
        <w:t>Project file inventory reviewed</w:t>
      </w:r>
    </w:p>
    <w:p>
      <w:pPr>
        <w:spacing w:after="100"/>
      </w:pPr>
      <w:r>
        <w:t>The inventory below covers all files found under 4_model, including the generated image/model artifacts and the Python bytecode cache. Raw regional-source CSVs referenced by notebook paths are outside this folder.</w:t>
      </w:r>
    </w:p>
    <w:p>
      <w:pPr>
        <w:spacing w:before="60" w:after="20"/>
      </w:pPr>
      <w:r>
        <w:rPr>
          <w:b/>
          <w:color w:val="286090"/>
          <w:sz w:val="16"/>
        </w:rPr>
        <w:t>Project-root files</w:t>
      </w:r>
    </w:p>
    <w:p>
      <w:pPr>
        <w:spacing w:after="80"/>
        <w:ind w:left="173"/>
      </w:pPr>
      <w:r>
        <w:rPr>
          <w:sz w:val="14"/>
        </w:rPr>
        <w:t>EDA.ipynb; Hyperparameter_tuning_of_models.ipynb; final_model.ipynb; Publication-quality.ipynb; README.md; STREAMLIT_GUIDE.md; WORKFLOW.md; project_diagram.md; streamlit_app.py; cleaned_combined_data.csv; merged_all_divisions_weather_data.csv; model_results_top.csv; model_accuracy_bar_plot.png.</w:t>
      </w:r>
      <w:r>
        <w:t xml:space="preserve"> Supervisor_Progress_Update.docx.</w:t>
      </w:r>
    </w:p>
    <w:p>
      <w:pPr>
        <w:spacing w:before="60" w:after="20"/>
      </w:pPr>
      <w:r>
        <w:rPr>
          <w:b/>
          <w:color w:val="286090"/>
          <w:sz w:val="16"/>
        </w:rPr>
        <w:t>paper_figures/</w:t>
      </w:r>
    </w:p>
    <w:p>
      <w:pPr>
        <w:spacing w:after="80"/>
        <w:ind w:left="173"/>
      </w:pPr>
      <w:r>
        <w:rPr>
          <w:sz w:val="14"/>
        </w:rPr>
        <w:t>Fig1_long_term_demand.png; Fig1_workflow.png; Fig1_workflow.svg; Fig2_demand_distribution.png; Fig2_demand_distribution.svg; Fig2_hourly_demand_profile.png; Fig3_hour_day_heatmap.png; Fig3_temperature_distribution.png; Fig3_temperature_distribution.svg; Fig4_monthly_demand.png; Fig4_wind_speed_distribution.png; Fig4_wind_speed_distribution.svg; Fig5_load_shedding_diagnostics.png; Fig5_load_shedding_diagnostics.svg; Fig5_temperature_demand.png; Fig6_correlation_heatmap.png; Fig6_feature_correlation_diagnostics.png; Fig6_feature_correlation_diagnostics.svg; Fig7A_MAE_comparison.png; Fig7B_RMSE_comparison.png; Fig7C_R2_comparison.png; Fig7_temporal_stability_diagnostics.png; Fig7_temporal_stability_diagnostics.svg; Fig8_actual_vs_predicted_24h.png; Fig9_SARIMA_prediction_interval.png; Fig10_residuals.png; Fig11_residual_distribution.png; Fig12_SHAP_global.png; yearly_average_demand.png.</w:t>
      </w:r>
    </w:p>
    <w:p>
      <w:pPr>
        <w:spacing w:before="60" w:after="20"/>
      </w:pPr>
      <w:r>
        <w:rPr>
          <w:b/>
          <w:color w:val="286090"/>
          <w:sz w:val="16"/>
        </w:rPr>
        <w:t>saved_models/</w:t>
      </w:r>
    </w:p>
    <w:p>
      <w:pPr>
        <w:spacing w:after="80"/>
        <w:ind w:left="173"/>
      </w:pPr>
      <w:r>
        <w:rPr>
          <w:sz w:val="14"/>
        </w:rPr>
        <w:t>M_ANN.pth; M_GBoosting.pkl; M_SF.pkl; M_XGBoost.json; M_XGBoost.pkl; M_X_scaler.pkl; feature_name.json; model_metadata.json.</w:t>
      </w:r>
    </w:p>
    <w:p>
      <w:pPr>
        <w:spacing w:before="60" w:after="20"/>
      </w:pPr>
      <w:r>
        <w:rPr>
          <w:b/>
          <w:color w:val="286090"/>
          <w:sz w:val="16"/>
        </w:rPr>
        <w:t>__pycache__/</w:t>
      </w:r>
    </w:p>
    <w:p>
      <w:pPr>
        <w:spacing w:after="80"/>
        <w:ind w:left="173"/>
      </w:pPr>
      <w:r>
        <w:rPr>
          <w:sz w:val="14"/>
        </w:rPr>
        <w:t>streamlit_app.cpython-313.pyc.</w:t>
      </w:r>
    </w:p>
    <w:sectPr w:rsidR="00FC693F" w:rsidRPr="0006063C" w:rsidSect="00034616">
      <w:footerReference w:type="default" r:id="rId9"/>
      <w:pgSz w:w="12240" w:h="15840"/>
      <w:pgMar w:top="835" w:right="979" w:bottom="792"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Supervisor progress note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28609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