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pBdr>
          <w:bottom w:val="single" w:color="2E75B6" w:sz="8" w:space="12"/>
        </w:pBdr>
        <w:spacing w:after="200"/>
        <w:jc w:val="center"/>
      </w:pPr>
      <w:r>
        <w:rPr>
          <w:rFonts w:ascii="Arial" w:cs="Arial" w:eastAsia="Arial" w:hAnsi="Arial"/>
          <w:b/>
          <w:bCs/>
          <w:color w:val="1B3A5C"/>
          <w:sz w:val="52"/>
          <w:szCs w:val="52"/>
        </w:rPr>
        <w:t xml:space="preserve">TECHNICAL DESIGN DOCUMENT</w:t>
      </w:r>
    </w:p>
    <w:p>
      <w:pPr>
        <w:spacing w:after="200"/>
      </w:pPr>
    </w:p>
    <w:p>
      <w:pPr>
        <w:spacing w:after="120"/>
        <w:jc w:val="center"/>
      </w:pPr>
      <w:r>
        <w:rPr>
          <w:rFonts w:ascii="Arial" w:cs="Arial" w:eastAsia="Arial" w:hAnsi="Arial"/>
          <w:color w:val="2E75B6"/>
          <w:sz w:val="40"/>
          <w:szCs w:val="40"/>
        </w:rPr>
        <w:t xml:space="preserve">Self-Evolving Credit Scoring Agent</w:t>
      </w:r>
    </w:p>
    <w:p>
      <w:pPr>
        <w:spacing w:after="120"/>
        <w:jc w:val="center"/>
      </w:pPr>
      <w:r>
        <w:rPr>
          <w:rFonts w:ascii="Arial" w:cs="Arial" w:eastAsia="Arial" w:hAnsi="Arial"/>
          <w:color w:val="D85A30"/>
          <w:sz w:val="32"/>
          <w:szCs w:val="32"/>
        </w:rPr>
        <w:t xml:space="preserve">EvoAgentX + Azure OpenAI + Mem0</w:t>
      </w:r>
    </w:p>
    <w:p>
      <w:pPr>
        <w:spacing w:after="300"/>
      </w:pPr>
    </w:p>
    <w:p>
      <w:pPr>
        <w:spacing w:after="80"/>
        <w:jc w:val="center"/>
      </w:pPr>
      <w:r>
        <w:rPr>
          <w:rFonts w:ascii="Arial" w:cs="Arial" w:eastAsia="Arial" w:hAnsi="Arial"/>
          <w:b/>
          <w:bCs/>
          <w:color w:val="1B3A5C"/>
          <w:sz w:val="28"/>
          <w:szCs w:val="28"/>
        </w:rPr>
        <w:t xml:space="preserve">Build Specification for Claude Code</w:t>
      </w:r>
    </w:p>
    <w:p>
      <w:pPr>
        <w:spacing w:after="400"/>
      </w:pPr>
    </w:p>
    <w:p>
      <w:pPr>
        <w:spacing w:after="80"/>
        <w:jc w:val="center"/>
      </w:pPr>
      <w:r>
        <w:rPr>
          <w:rFonts w:ascii="Arial" w:cs="Arial" w:eastAsia="Arial" w:hAnsi="Arial"/>
          <w:color w:val="555555"/>
          <w:sz w:val="24"/>
          <w:szCs w:val="24"/>
        </w:rPr>
        <w:t xml:space="preserve">Version 2.0  |  April 2026</w:t>
      </w:r>
    </w:p>
    <w:p>
      <w:pPr>
        <w:spacing w:after="80"/>
        <w:jc w:val="center"/>
      </w:pPr>
      <w:r>
        <w:rPr>
          <w:rFonts w:ascii="Arial" w:cs="Arial" w:eastAsia="Arial" w:hAnsi="Arial"/>
          <w:b/>
          <w:bCs/>
          <w:color w:val="D85A30"/>
          <w:sz w:val="22"/>
          <w:szCs w:val="22"/>
        </w:rPr>
        <w:t xml:space="preserve">Classification: 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color w:val="1A1A1A"/>
          <w:sz w:val="24"/>
          <w:szCs w:val="24"/>
        </w:rPr>
        <w:t xml:space="preserve">This document is the definitive build specification for a self-evolving, multi-agent Credit Scoring system. It is designed to be directly consumed by Claude Code (or any development agent) to build the complete system from scratch.</w:t>
      </w:r>
    </w:p>
    <w:p>
      <w:pPr>
        <w:spacing w:after="160"/>
      </w:pPr>
      <w:r>
        <w:rPr>
          <w:rFonts w:ascii="Arial" w:cs="Arial" w:eastAsia="Arial" w:hAnsi="Arial"/>
          <w:color w:val="1A1A1A"/>
          <w:sz w:val="24"/>
          <w:szCs w:val="24"/>
        </w:rPr>
        <w:t xml:space="preserve">The system uses EvoAgentX for multi-agent orchestration and evolution, Azure OpenAI (Opus model) via LiteLLM as the LLM backbone, Mem0 as the persistent memory layer, and a Docker-containerized infrastructure that maps cleanly to Azure managed services for production.</w:t>
      </w:r>
    </w:p>
    <w:p>
      <w:pPr>
        <w:spacing w:after="160"/>
      </w:pPr>
      <w:r>
        <w:rPr>
          <w:rFonts w:ascii="Arial" w:cs="Arial" w:eastAsia="Arial" w:hAnsi="Arial"/>
          <w:b/>
          <w:bCs/>
          <w:color w:val="1A1A1A"/>
          <w:sz w:val="24"/>
          <w:szCs w:val="24"/>
        </w:rPr>
        <w:t xml:space="preserve">Development philosophy: </w:t>
      </w:r>
      <w:r>
        <w:rPr>
          <w:rFonts w:ascii="Arial" w:cs="Arial" w:eastAsia="Arial" w:hAnsi="Arial"/>
          <w:color w:val="1A1A1A"/>
          <w:sz w:val="24"/>
          <w:szCs w:val="24"/>
        </w:rPr>
        <w:t xml:space="preserve">Build everything in Docker containers locally. Use environment variables to swap between local containers and Azure managed services. Zero code changes between dev and prod — only .env file changes.</w:t>
      </w:r>
    </w:p>
    <w:p>
      <w:pPr>
        <w:pBdr>
          <w:bottom w:val="single" w:color="2E75B6" w:sz="4" w:space="8"/>
        </w:pBdr>
        <w:spacing w:after="200" w:before="200"/>
      </w:pPr>
    </w:p>
    <w:p>
      <w:pPr>
        <w:pStyle w:val="Heading1"/>
      </w:pPr>
      <w:r>
        <w:t xml:space="preserve">2. Technology Stack (Final Decisions)</w:t>
      </w:r>
    </w:p>
    <w:p>
      <w:pPr>
        <w:pStyle w:val="Heading2"/>
      </w:pPr>
      <w: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Dev (Docker)</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Prod (Azure)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Framework</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EvoAgentX (open-source)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pip install in app container</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Same, deployed on AKS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LLM</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OpenAI Opus via LiteLLM</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LiteLLM proxy container → Azure API</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Same LiteLLM proxy on AKS → Azure API</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Memory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Mem0 (open-source, self-hosted)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Mem0 container + local Qdrant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Mem0 on AKS + Azure AI Search or Qdrant on AKS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Primary DB</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PostgreSQL 16</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postgres:16-alpine container</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Database for PostgreSQL Flexible Server</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Cache</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Redis 7</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redis:7-alpine container</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Azure Cache for Redis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Vector Store</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Qdrant</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qdrant/qdrant container</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Qdrant on AKS or Azure AI Search</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Document Store</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Local volume / MinIO</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MinIO container (S3-compatible)</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Azure Blob Storage</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OCR</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Form Recognizer</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API (cloud call from dev)</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Form Recognizer</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Container Orchestration</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Docker Compose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docker-compose.yml</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Azure Kubernetes Service (AKS)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Monitoring</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Prometheus + Grafana</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Grafana container</w:t>
            </w:r>
          </w:p>
        </w:tc>
        <w:tc>
          <w:tcPr>
            <w:tcW w:type="dxa" w:w="2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Monitor + Grafana on AKS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CI/CD</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GitHub Actions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Build + test locally</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GitHub Actions → ACR → AKS</w:t>
            </w:r>
          </w:p>
        </w:tc>
      </w:tr>
    </w:tbl>
    <w:p>
      <w:pPr>
        <w:spacing w:after="120"/>
      </w:pPr>
    </w:p>
    <w:p>
      <w:pPr>
        <w:pStyle w:val="Heading2"/>
      </w:pPr>
      <w:r>
        <w:t xml:space="preserve">2.2 LLM Configuration via LiteLLM</w:t>
      </w:r>
    </w:p>
    <w:p>
      <w:pPr>
        <w:spacing w:after="160"/>
      </w:pPr>
      <w:r>
        <w:rPr>
          <w:rFonts w:ascii="Arial" w:cs="Arial" w:eastAsia="Arial" w:hAnsi="Arial"/>
          <w:color w:val="1A1A1A"/>
          <w:sz w:val="24"/>
          <w:szCs w:val="24"/>
        </w:rPr>
        <w:t xml:space="preserve">EvoAgentX connects to LLMs through LiteLLM, which provides a unified interface. The LiteLLM proxy runs as its own container and routes requests to Azure OpenAI. This is the litellm_config.yaml:</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model_list: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model_name: opus-primary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litellm_params: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model: azure_ai/&lt;your-opus-deployment&gt;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api_base: ${AZURE_AI_API_BASE}</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api_key: ${AZURE_AI_API_KEY}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model_name: gpt4o-fallback</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litellm_params: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model: azure/&lt;your-gpt4o-deployment&gt;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api_base: ${AZURE_API_BASE}</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api_key: ${AZURE_API_KEY}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api_version: "2024-08-01-preview"</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router_settings: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routing_strategy: latency-based-routing</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num_retries: 3</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fallbacks: [{"opus-primary": ["gpt4o-fallback"]}]</w:t>
      </w:r>
    </w:p>
    <w:p>
      <w:pPr>
        <w:spacing w:after="120"/>
      </w:pPr>
    </w:p>
    <w:p>
      <w:pPr>
        <w:pStyle w:val="Heading2"/>
      </w:pPr>
      <w:r>
        <w:t xml:space="preserve">2.3 Mem0 Configuration</w:t>
      </w:r>
    </w:p>
    <w:p>
      <w:pPr>
        <w:spacing w:after="160"/>
      </w:pPr>
      <w:r>
        <w:rPr>
          <w:rFonts w:ascii="Arial" w:cs="Arial" w:eastAsia="Arial" w:hAnsi="Arial"/>
          <w:color w:val="1A1A1A"/>
          <w:sz w:val="24"/>
          <w:szCs w:val="24"/>
        </w:rPr>
        <w:t xml:space="preserve">Mem0 provides the memory layer for all agents. It runs self-hosted as a container with Qdrant as its vector backend. Configuration:</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mem0_config.py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config =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"llm":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"provider": "litellm",</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"config": {"model": "opus-primary", "api_base": "http://litellm:4000"}</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"vector_store":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"provider": "qdrant",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"config": {"host": "qdrant", "port": 6333, "collection_name": "credit_memory"}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"graph_store":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"provider": "neo4j",  # optional: for entity relationship tracking</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"config": {"url": "${NEO4J_URL}", "username": "neo4j"}</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w:t>
      </w:r>
    </w:p>
    <w:p>
      <w:pPr>
        <w:spacing w:after="120"/>
      </w:pPr>
    </w:p>
    <w:p>
      <w:pPr>
        <w:spacing w:after="160"/>
      </w:pPr>
      <w:r>
        <w:rPr>
          <w:rFonts w:ascii="Arial" w:cs="Arial" w:eastAsia="Arial" w:hAnsi="Arial"/>
          <w:color w:val="1A1A1A"/>
          <w:sz w:val="24"/>
          <w:szCs w:val="24"/>
        </w:rPr>
        <w:t xml:space="preserve">Memory types used in the credit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Memory Type</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Example</w:t>
            </w:r>
          </w:p>
        </w:tc>
        <w:tc>
          <w:tcPr>
            <w:tcW w:type="dxa" w:w="1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TTL</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Session memory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Context within a single credit evaluation</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Data Ingestion Agent findings shared with Risk Modeler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Until decision is made</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User memory</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Borrower-specific patterns across applications</w:t>
            </w:r>
          </w:p>
        </w:tc>
        <w:tc>
          <w:tcPr>
            <w:tcW w:type="dxa" w:w="3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Repeat applicant’s past behavior patterns</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36 months (regulatory)</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 memory</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Agent-level learned patterns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Risk Modeler’s discovery that gig workers need different DTI thresholds</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Permanent (evolves)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System memory</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Cross-agent institutional knowledge</w:t>
            </w:r>
          </w:p>
        </w:tc>
        <w:tc>
          <w:tcPr>
            <w:tcW w:type="dxa" w:w="3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Sector-wide default patterns during economic shifts</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Permanent (evolves)</w:t>
            </w:r>
          </w:p>
        </w:tc>
      </w:tr>
    </w:tbl>
    <w:p>
      <w:pPr>
        <w:spacing w:after="120"/>
      </w:pPr>
    </w:p>
    <w:p>
      <w:pPr>
        <w:pBdr>
          <w:bottom w:val="single" w:color="2E75B6" w:sz="4" w:space="8"/>
        </w:pBdr>
        <w:spacing w:after="200" w:before="200"/>
      </w:pPr>
    </w:p>
    <w:p>
      <w:pPr>
        <w:pStyle w:val="Heading1"/>
      </w:pPr>
      <w:r>
        <w:t xml:space="preserve">3. Docker Development Environment</w:t>
      </w:r>
    </w:p>
    <w:p>
      <w:pPr>
        <w:spacing w:after="160"/>
      </w:pPr>
      <w:r>
        <w:rPr>
          <w:rFonts w:ascii="Arial" w:cs="Arial" w:eastAsia="Arial" w:hAnsi="Arial"/>
          <w:color w:val="1A1A1A"/>
          <w:sz w:val="24"/>
          <w:szCs w:val="24"/>
        </w:rPr>
        <w:t xml:space="preserve">The entire system runs locally with a single docker compose up command. Every service maps to a production Azure equivalent via environment variables only.</w:t>
      </w:r>
    </w:p>
    <w:p>
      <w:pPr>
        <w:pStyle w:val="Heading2"/>
      </w:pPr>
      <w:r>
        <w:t xml:space="preserve">3.1 docker-compose.yml Structure</w:t>
      </w:r>
    </w:p>
    <w:p>
      <w:pPr>
        <w:spacing w:after="160"/>
      </w:pPr>
      <w:r>
        <w:rPr>
          <w:rFonts w:ascii="Arial" w:cs="Arial" w:eastAsia="Arial" w:hAnsi="Arial"/>
          <w:color w:val="1A1A1A"/>
          <w:sz w:val="24"/>
          <w:szCs w:val="24"/>
        </w:rPr>
        <w:t xml:space="preserve">The following containers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2400"/>
        <w:gridCol w:w="1560"/>
      </w:tblGrid>
      <w:tr>
        <w:trPr>
          <w:tblHeader/>
        </w:trPr>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Container</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Image</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Ports</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Volumes</w:t>
            </w:r>
          </w:p>
        </w:tc>
        <w:tc>
          <w:tcPr>
            <w:tcW w:type="dxa" w:w="1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app</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Build from ./Dockerfile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8000:8000</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./src:/app/src</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Main EvoAgentX application with all agents</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litellm</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ghcr.io/berriai/litellm:main-latest</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4000:4000</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./litellm_config.yaml:/app/config.yaml</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LLM proxy routing to Azure OpenAI</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postgres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postgres:16-alpine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5432:5432</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postgres_data:/var/lib/postgresql/data</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Primary database for applications, decisions, audit logs</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redis</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redis:7-alpine</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6379:6379</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redis_data:/data</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Cache + message broker for agent communication</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qdrant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qdrant/qdrant:latest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6333:6333, 6334:6334</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qdrant_data:/qdrant/storage</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Vector store for Mem0 embeddings</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minio</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minio/minio:latest</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9000:9000, 9001:9001</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minio_data:/data</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S3-compatible document storage (maps to Azure Blob)</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grafana</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grafana/grafana:latest</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3001:3000</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grafana_data:/var/lib/grafana</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Monitoring dashboards</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prometheus</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prom/prometheus:latest</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9090:9090</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./prometheus.yml:/etc/prometheus/prometheus.yml</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Metrics collection</w:t>
            </w:r>
          </w:p>
        </w:tc>
      </w:tr>
    </w:tbl>
    <w:p>
      <w:pPr>
        <w:spacing w:after="120"/>
      </w:pPr>
    </w:p>
    <w:p>
      <w:pPr>
        <w:pStyle w:val="Heading2"/>
      </w:pPr>
      <w:r>
        <w:t xml:space="preserve">3.2 Environment Variable Strategy</w:t>
      </w:r>
    </w:p>
    <w:p>
      <w:pPr>
        <w:spacing w:after="160"/>
      </w:pPr>
      <w:r>
        <w:rPr>
          <w:rFonts w:ascii="Arial" w:cs="Arial" w:eastAsia="Arial" w:hAnsi="Arial"/>
          <w:color w:val="1A1A1A"/>
          <w:sz w:val="24"/>
          <w:szCs w:val="24"/>
        </w:rPr>
        <w:t xml:space="preserve">All infrastructure connections use environment variables. The .env file is the ONLY thing that changes between dev and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Dev Value (Docker)</w:t>
            </w:r>
          </w:p>
        </w:tc>
        <w:tc>
          <w:tcPr>
            <w:tcW w:type="dxa" w:w="3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Prod Value (Azure)</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DATABASE_URL</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postgresql://credit:credit@postgres:5432/credit_scoring</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postgresql://credit@&lt;server&gt;.postgres.database.azure.com:5432/credit_scoring</w:t>
            </w:r>
          </w:p>
        </w:tc>
      </w:tr>
      <w:tr>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REDIS_URL</w:t>
            </w:r>
          </w:p>
        </w:tc>
        <w:tc>
          <w:tcPr>
            <w:tcW w:type="dxa" w:w="3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redis://redis:6379</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rediss://&lt;name&gt;.redis.cache.windows.net:6380</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QDRANT_URL</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http://qdrant:6333</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http://qdrant-svc.aks.internal:6333 (or Azure AI Search endpoint)</w:t>
            </w:r>
          </w:p>
        </w:tc>
      </w:tr>
      <w:tr>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LITELLM_BASE_URL</w:t>
            </w:r>
          </w:p>
        </w:tc>
        <w:tc>
          <w:tcPr>
            <w:tcW w:type="dxa" w:w="3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http://litellm:4000</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http://litellm-svc.aks.internal:4000</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DOCUMENT_STORE_ENDPOINT</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http://minio:9000</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https://&lt;account&gt;.blob.core.windows.net</w:t>
            </w:r>
          </w:p>
        </w:tc>
      </w:tr>
      <w:tr>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DOCUMENT_STORE_TYPE</w:t>
            </w:r>
          </w:p>
        </w:tc>
        <w:tc>
          <w:tcPr>
            <w:tcW w:type="dxa" w:w="3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s3</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azure_blob</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AZURE_AI_API_KEY</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&lt;your-key&gt;</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&lt;your-key&gt;</w:t>
            </w:r>
          </w:p>
        </w:tc>
      </w:tr>
      <w:tr>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AZURE_AI_API_BASE</w:t>
            </w:r>
          </w:p>
        </w:tc>
        <w:tc>
          <w:tcPr>
            <w:tcW w:type="dxa" w:w="3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https://&lt;resource&gt;.services.ai.azure.com/anthropic</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Same</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MEM0_VECTOR_STORE</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qdrant</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qdrant (or azure_ai_search)</w:t>
            </w:r>
          </w:p>
        </w:tc>
      </w:tr>
      <w:tr>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ENVIRONMENT</w:t>
            </w:r>
          </w:p>
        </w:tc>
        <w:tc>
          <w:tcPr>
            <w:tcW w:type="dxa" w:w="3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development</w:t>
            </w:r>
          </w:p>
        </w:tc>
        <w:tc>
          <w:tcPr>
            <w:tcW w:type="dxa" w:w="3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production</w:t>
            </w:r>
          </w:p>
        </w:tc>
      </w:tr>
    </w:tbl>
    <w:p>
      <w:pPr>
        <w:spacing w:after="120"/>
      </w:pPr>
    </w:p>
    <w:p>
      <w:pPr>
        <w:pStyle w:val="Heading2"/>
      </w:pPr>
      <w:r>
        <w:t xml:space="preserve">3.3 Health Checks and Startup Order</w:t>
      </w:r>
    </w:p>
    <w:p>
      <w:pPr>
        <w:spacing w:after="160"/>
      </w:pPr>
      <w:r>
        <w:rPr>
          <w:rFonts w:ascii="Arial" w:cs="Arial" w:eastAsia="Arial" w:hAnsi="Arial"/>
          <w:color w:val="1A1A1A"/>
          <w:sz w:val="24"/>
          <w:szCs w:val="24"/>
        </w:rPr>
        <w:t xml:space="preserve">Docker Compose must enforce startup order using health checks. The app container should not start until postgres, redis, qdrant, and litellm are all healthy:</w:t>
      </w:r>
    </w:p>
    <w:p>
      <w:pPr>
        <w:pStyle w:val="ListParagraph"/>
        <w:numPr>
          <w:ilvl w:val="0"/>
          <w:numId w:val="2"/>
        </w:numPr>
        <w:spacing w:after="80"/>
      </w:pPr>
      <w:r>
        <w:rPr>
          <w:rFonts w:ascii="Arial" w:cs="Arial" w:eastAsia="Arial" w:hAnsi="Arial"/>
          <w:b/>
          <w:bCs/>
          <w:sz w:val="24"/>
          <w:szCs w:val="24"/>
        </w:rPr>
        <w:t xml:space="preserve">postgres: </w:t>
      </w:r>
      <w:r>
        <w:rPr>
          <w:rFonts w:ascii="Arial" w:cs="Arial" w:eastAsia="Arial" w:hAnsi="Arial"/>
          <w:sz w:val="24"/>
          <w:szCs w:val="24"/>
        </w:rPr>
        <w:t xml:space="preserve">pg_isready -U credit (interval: 5s, retries: 5)</w:t>
      </w:r>
    </w:p>
    <w:p>
      <w:pPr>
        <w:pStyle w:val="ListParagraph"/>
        <w:numPr>
          <w:ilvl w:val="0"/>
          <w:numId w:val="2"/>
        </w:numPr>
        <w:spacing w:after="80"/>
      </w:pPr>
      <w:r>
        <w:rPr>
          <w:rFonts w:ascii="Arial" w:cs="Arial" w:eastAsia="Arial" w:hAnsi="Arial"/>
          <w:b/>
          <w:bCs/>
          <w:sz w:val="24"/>
          <w:szCs w:val="24"/>
        </w:rPr>
        <w:t xml:space="preserve">redis: </w:t>
      </w:r>
      <w:r>
        <w:rPr>
          <w:rFonts w:ascii="Arial" w:cs="Arial" w:eastAsia="Arial" w:hAnsi="Arial"/>
          <w:sz w:val="24"/>
          <w:szCs w:val="24"/>
        </w:rPr>
        <w:t xml:space="preserve">redis-cli ping (interval: 5s, retries: 5)</w:t>
      </w:r>
    </w:p>
    <w:p>
      <w:pPr>
        <w:pStyle w:val="ListParagraph"/>
        <w:numPr>
          <w:ilvl w:val="0"/>
          <w:numId w:val="2"/>
        </w:numPr>
        <w:spacing w:after="80"/>
      </w:pPr>
      <w:r>
        <w:rPr>
          <w:rFonts w:ascii="Arial" w:cs="Arial" w:eastAsia="Arial" w:hAnsi="Arial"/>
          <w:b/>
          <w:bCs/>
          <w:sz w:val="24"/>
          <w:szCs w:val="24"/>
        </w:rPr>
        <w:t xml:space="preserve">qdrant: </w:t>
      </w:r>
      <w:r>
        <w:rPr>
          <w:rFonts w:ascii="Arial" w:cs="Arial" w:eastAsia="Arial" w:hAnsi="Arial"/>
          <w:sz w:val="24"/>
          <w:szCs w:val="24"/>
        </w:rPr>
        <w:t xml:space="preserve">curl -f http://localhost:6333/healthz (interval: 5s, retries: 10)</w:t>
      </w:r>
    </w:p>
    <w:p>
      <w:pPr>
        <w:pStyle w:val="ListParagraph"/>
        <w:numPr>
          <w:ilvl w:val="0"/>
          <w:numId w:val="2"/>
        </w:numPr>
        <w:spacing w:after="80"/>
      </w:pPr>
      <w:r>
        <w:rPr>
          <w:rFonts w:ascii="Arial" w:cs="Arial" w:eastAsia="Arial" w:hAnsi="Arial"/>
          <w:b/>
          <w:bCs/>
          <w:sz w:val="24"/>
          <w:szCs w:val="24"/>
        </w:rPr>
        <w:t xml:space="preserve">litellm: </w:t>
      </w:r>
      <w:r>
        <w:rPr>
          <w:rFonts w:ascii="Arial" w:cs="Arial" w:eastAsia="Arial" w:hAnsi="Arial"/>
          <w:sz w:val="24"/>
          <w:szCs w:val="24"/>
        </w:rPr>
        <w:t xml:space="preserve">curl -f http://localhost:4000/health (interval: 5s, retries: 10)</w:t>
      </w:r>
    </w:p>
    <w:p>
      <w:pPr>
        <w:pStyle w:val="ListParagraph"/>
        <w:numPr>
          <w:ilvl w:val="0"/>
          <w:numId w:val="2"/>
        </w:numPr>
        <w:spacing w:after="80"/>
      </w:pPr>
      <w:r>
        <w:rPr>
          <w:rFonts w:ascii="Arial" w:cs="Arial" w:eastAsia="Arial" w:hAnsi="Arial"/>
          <w:b/>
          <w:bCs/>
          <w:sz w:val="24"/>
          <w:szCs w:val="24"/>
        </w:rPr>
        <w:t xml:space="preserve">app: </w:t>
      </w:r>
      <w:r>
        <w:rPr>
          <w:rFonts w:ascii="Arial" w:cs="Arial" w:eastAsia="Arial" w:hAnsi="Arial"/>
          <w:sz w:val="24"/>
          <w:szCs w:val="24"/>
        </w:rPr>
        <w:t xml:space="preserve">depends_on all above with condition: service_healthy</w:t>
      </w:r>
    </w:p>
    <w:p>
      <w:pPr>
        <w:pBdr>
          <w:bottom w:val="single" w:color="2E75B6" w:sz="4" w:space="8"/>
        </w:pBdr>
        <w:spacing w:after="200" w:before="200"/>
      </w:pPr>
    </w:p>
    <w:p>
      <w:pPr>
        <w:pStyle w:val="Heading1"/>
      </w:pPr>
      <w:r>
        <w:t xml:space="preserve">4. Multi-Agent Architecture</w:t>
      </w:r>
    </w:p>
    <w:p>
      <w:pPr>
        <w:pStyle w:val="Heading2"/>
      </w:pPr>
      <w:r>
        <w:t xml:space="preserve">4.1 Agent Definitions for EvoAgentX</w:t>
      </w:r>
    </w:p>
    <w:p>
      <w:pPr>
        <w:spacing w:after="160"/>
      </w:pPr>
      <w:r>
        <w:rPr>
          <w:rFonts w:ascii="Arial" w:cs="Arial" w:eastAsia="Arial" w:hAnsi="Arial"/>
          <w:color w:val="1A1A1A"/>
          <w:sz w:val="24"/>
          <w:szCs w:val="24"/>
        </w:rPr>
        <w:t xml:space="preserve">Each agent is defined as an EvoAgentX Agent with a specific role, goal, tools, and evaluation criteria. Claude Code should create each agent as a separate Python module under src/agents/: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2400"/>
        <w:gridCol w:w="1960"/>
      </w:tblGrid>
      <w:tr>
        <w:trPr>
          <w:tblHeader/>
        </w:trPr>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Agent Name</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Module Path</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LLM Model</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Tools</w:t>
            </w:r>
          </w:p>
        </w:tc>
        <w:tc>
          <w:tcPr>
            <w:tcW w:type="dxa" w:w="1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Evaluation Metric</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Orchestrator</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src/agents/orchestrator.py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opus-primary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workflow_router, task_delegator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End-to-end completion rate</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Data Ingestion</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src/agents/data_ingestion.py</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gpt4o-fallback</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ocr_tool, document_classifier, json_extractor</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Extraction accuracy vs manual</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ID Verification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src/agents/id_verification.py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gpt4o-fallback</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pan_verify, aadhaar_ekyc, sanctions_screen</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Verification accuracy, false positive rate</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Bureau Pull</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src/agents/bureau_pull.py</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gpt4o-fallback</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cibil_api, experian_api, crif_api</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Data completeness, API success rate</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Risk Modeler</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src/agents/risk_modeler.py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opus-primary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risk_scorer, pattern_detector, mem0_search</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Default prediction accuracy (AUC-ROC)</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Income Analyst</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src/agents/income_analyst.py</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opus-primary</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income_calculator, stability_scorer</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Income estimate accuracy vs actuals</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Debt Analyst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src/agents/debt_analyst.py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opus-primary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dti_calculator, exposure_aggregator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DTI accuracy, missed obligation rate</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Compliance</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src/agents/compliance.py</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opus-primary</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regulation_checker, bias_detector</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Regulatory violation rate (target: 0%)</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Decision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src/agents/decision.py</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opus-primary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score_aggregator, threshold_router, hitl_escalator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Approval accuracy, escalation appropriateness</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XAI</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src/agents/xai_explainer.py</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opus-primary</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shap_explainer, reason_code_gen, nl_explanation</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Explanation clarity score (human-rated)</w:t>
            </w:r>
          </w:p>
        </w:tc>
      </w:tr>
    </w:tbl>
    <w:p>
      <w:pPr>
        <w:spacing w:after="120"/>
      </w:pPr>
    </w:p>
    <w:p>
      <w:pPr>
        <w:pStyle w:val="Heading2"/>
      </w:pPr>
      <w:r>
        <w:t xml:space="preserve">4.2 Workflow DAG Definition</w:t>
      </w:r>
    </w:p>
    <w:p>
      <w:pPr>
        <w:spacing w:after="160"/>
      </w:pPr>
      <w:r>
        <w:rPr>
          <w:rFonts w:ascii="Arial" w:cs="Arial" w:eastAsia="Arial" w:hAnsi="Arial"/>
          <w:color w:val="1A1A1A"/>
          <w:sz w:val="24"/>
          <w:szCs w:val="24"/>
        </w:rPr>
        <w:t xml:space="preserve">The EvoAgentX workflow is defined as a DAG. Claude Code should create this at src/workflows/credit_scoring_workflow.py: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Workflow DAG structure for EvoAgentX</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workflow_graph =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"trigger": "application_submitted",</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"nodes":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"data_ingestion":  {"agent": "DataIngestionAgent",  "parallel_group": "layer1"},</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"id_verification": {"agent": "IDVerificationAgent", "parallel_group": "layer1"},</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"bureau_pull":     {"agent": "BureauPullAgent",     "parallel_group": "layer1"},</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"risk_modeler":    {"agent": "RiskModelerAgent",    "depends_on": ["layer1"]},</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"income_analyst":  {"agent": "IncomeAnalystAgent",  "depends_on": ["layer1"]},</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"debt_analyst":    {"agent": "DebtAnalystAgent",    "depends_on": ["layer1"]},</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"compliance":      {"agent": "ComplianceAgent",     "depends_on": ["risk_modeler","income_analyst","debt_analyst"]},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"decision":        {"agent": "DecisionAgent",       "depends_on": ["compliance"]},</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"xai":             {"agent": "XAIAgent",            "depends_on": ["decision"]}</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w:t>
      </w:r>
    </w:p>
    <w:p>
      <w:pPr>
        <w:spacing w:after="120"/>
      </w:pPr>
    </w:p>
    <w:p>
      <w:pPr>
        <w:pBdr>
          <w:bottom w:val="single" w:color="2E75B6" w:sz="4" w:space="8"/>
        </w:pBdr>
        <w:spacing w:after="200" w:before="200"/>
      </w:pPr>
    </w:p>
    <w:p>
      <w:pPr>
        <w:pStyle w:val="Heading1"/>
      </w:pPr>
      <w:r>
        <w:t xml:space="preserve">5. External API Integrations</w:t>
      </w:r>
    </w:p>
    <w:p>
      <w:pPr>
        <w:spacing w:after="160"/>
      </w:pPr>
      <w:r>
        <w:rPr>
          <w:rFonts w:ascii="Arial" w:cs="Arial" w:eastAsia="Arial" w:hAnsi="Arial"/>
          <w:color w:val="1A1A1A"/>
          <w:sz w:val="24"/>
          <w:szCs w:val="24"/>
        </w:rPr>
        <w:t xml:space="preserve">Claude Code must create a unified API client layer at src/tools/external/ with circuit breaker patterns, retry logic, and response normalization.</w:t>
      </w:r>
    </w:p>
    <w:p>
      <w:pPr>
        <w:pStyle w:val="Heading2"/>
      </w:pPr>
      <w:r>
        <w:t xml:space="preserve">5.1 Credit Bureau APIs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400"/>
        <w:gridCol w:w="1200"/>
        <w:gridCol w:w="1600"/>
        <w:gridCol w:w="960"/>
      </w:tblGrid>
      <w:tr>
        <w:trPr>
          <w:tblHeader/>
        </w:trPr>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 Pattern</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Auth</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Rate Limit</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CIBIL Score + Report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TransUnion CIBIL</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apimarketplace.transunioncibil.com</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 Key + Client Certificate</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PAN, Name, DOB, Address</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Credit score (300-900), repayment history, active accounts, enquiry count</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As per contract</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Experian Credit Report</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Experian India</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api.experian.in (via aggregator like Surepass/Decentro)</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 Key + OAuth2</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PAN, Name, DOB, Mobile</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Credit score, credit summary, delinquency info</w:t>
            </w:r>
          </w:p>
        </w:tc>
        <w:tc>
          <w:tcPr>
            <w:tcW w:type="dxa" w:w="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As per contract</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CRIF HighMark Report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CRIF HighMark</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Via aggregator API</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 Key</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PAN, Name, DOB</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Credit score, microfinance history, NBFC data</w:t>
            </w:r>
          </w:p>
        </w:tc>
        <w:tc>
          <w:tcPr>
            <w:tcW w:type="dxa" w:w="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As per contract</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Equifax Report</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Equifax India</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Via aggregator API</w:t>
            </w:r>
          </w:p>
        </w:tc>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 Key</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PAN, Name, DOB</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Credit score, consolidated credit report</w:t>
            </w:r>
          </w:p>
        </w:tc>
        <w:tc>
          <w:tcPr>
            <w:tcW w:type="dxa" w:w="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As per contract</w:t>
            </w:r>
          </w:p>
        </w:tc>
      </w:tr>
    </w:tbl>
    <w:p>
      <w:pPr>
        <w:spacing w:after="120"/>
      </w:pPr>
    </w:p>
    <w:p>
      <w:pPr>
        <w:pStyle w:val="Heading2"/>
      </w:pPr>
      <w:r>
        <w:t xml:space="preserve">5.2 KYC and Identity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600"/>
        <w:gridCol w:w="23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Provider Options</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PAN Verification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NSDL / Surepass / Decentro</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Validate PAN number and fetch name</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PAN number</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Name, PAN status, name match score</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Aadhaar eKYC</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UIDAI via DigiLocker / Surepass</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Identity verification with consent</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Aadhaar number + OTP</w:t>
            </w:r>
          </w:p>
        </w:tc>
        <w:tc>
          <w:tcPr>
            <w:tcW w:type="dxa" w:w="2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Name, DOB, address, photo (with consent)</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Voter ID Verify</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Surepass / IDfy</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Secondary ID verification</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Voter ID number</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Name, constituency, validity</w:t>
            </w:r>
          </w:p>
        </w:tc>
      </w:tr>
      <w:tr>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Face Match</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Face API / IDfy</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Photo-to-ID face comparison</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Selfie image + ID image</w:t>
            </w:r>
          </w:p>
        </w:tc>
        <w:tc>
          <w:tcPr>
            <w:tcW w:type="dxa" w:w="23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Match confidence score (0-100)</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Sanctions/PEP Screen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Dow Jones / Refinitiv / local provider</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AML and sanctions check</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Name, DOB, nationality</w:t>
            </w:r>
          </w:p>
        </w:tc>
        <w:tc>
          <w:tcPr>
            <w:tcW w:type="dxa" w:w="2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Match result, risk category, PEP flag</w:t>
            </w:r>
          </w:p>
        </w:tc>
      </w:tr>
    </w:tbl>
    <w:p>
      <w:pPr>
        <w:spacing w:after="120"/>
      </w:pPr>
    </w:p>
    <w:p>
      <w:pPr>
        <w:pStyle w:val="Heading2"/>
      </w:pPr>
      <w:r>
        <w:t xml:space="preserve">5.3 Financial Data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Provider Options</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1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Bank Statement Analysis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Perfios / Finbox / Yodlee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Extract income, expenses, cash flow from bank PDFs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Bank statement PDF or Account Aggregator token</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Monthly income, salary credits, recurring debits, average balance, cash flow summary</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Account Aggregator</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Setu AA / Sahamati ecosystem</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RBI consent-based financial data pull from banks</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Consent artifact + FI data request</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Bank account data, deposit info, recurring transactions (FI types: DEPOSIT, RECURRING_DEPOSIT)</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GST Verification</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Surepass / ClearTax API</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Verify business GST registration and filing</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GSTIN number</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Business name, status, filing history, turnover band</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ITR Verification</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Surepass / Decentro</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Verify income tax return filing status</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PAN + consent</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ITR filing status, declared income, assessment year</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UPI Transaction History</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Via Account Aggregator</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Alternative data: payment patterns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AA consent for UPI data</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Transaction frequency, merchant categories, monthly spend patterns</w:t>
            </w:r>
          </w:p>
        </w:tc>
      </w:tr>
    </w:tbl>
    <w:p>
      <w:pPr>
        <w:spacing w:after="120"/>
      </w:pPr>
    </w:p>
    <w:p>
      <w:pPr>
        <w:pStyle w:val="Heading2"/>
      </w:pPr>
      <w:r>
        <w:t xml:space="preserve">5.4 Document Intelligence APIs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600"/>
        <w:gridCol w:w="134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134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Azure Form Recognizer</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Azure AI Document Intelligence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OCR + structured extraction from any document</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PDF / image of bank statement, payslip, ID</w:t>
            </w:r>
          </w:p>
        </w:tc>
        <w:tc>
          <w:tcPr>
            <w:tcW w:type="dxa" w:w="13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Extracted key-value pairs, tables, text in JSON</w:t>
            </w:r>
          </w:p>
        </w:tc>
      </w:tr>
      <w:tr>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AI Vision (OCR)</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Cognitive Services</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Raw OCR for handwritten or non-standard documents</w:t>
            </w:r>
          </w:p>
        </w:tc>
        <w:tc>
          <w:tcPr>
            <w:tcW w:type="dxa" w:w="1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Image file</w:t>
            </w:r>
          </w:p>
        </w:tc>
        <w:tc>
          <w:tcPr>
            <w:tcW w:type="dxa" w:w="134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Raw text with bounding boxes and confidence scores</w:t>
            </w:r>
          </w:p>
        </w:tc>
      </w:tr>
    </w:tbl>
    <w:p>
      <w:pPr>
        <w:spacing w:after="120"/>
      </w:pPr>
    </w:p>
    <w:p>
      <w:pPr>
        <w:pStyle w:val="Heading2"/>
      </w:pPr>
      <w:r>
        <w:t xml:space="preserve">5.5 API Client Architecture</w:t>
      </w:r>
    </w:p>
    <w:p>
      <w:pPr>
        <w:spacing w:after="160"/>
      </w:pPr>
      <w:r>
        <w:rPr>
          <w:rFonts w:ascii="Arial" w:cs="Arial" w:eastAsia="Arial" w:hAnsi="Arial"/>
          <w:color w:val="1A1A1A"/>
          <w:sz w:val="24"/>
          <w:szCs w:val="24"/>
        </w:rPr>
        <w:t xml:space="preserve">Claude Code must implement each external API client with the following patterns:</w:t>
      </w:r>
    </w:p>
    <w:p>
      <w:pPr>
        <w:pStyle w:val="ListParagraph"/>
        <w:numPr>
          <w:ilvl w:val="0"/>
          <w:numId w:val="2"/>
        </w:numPr>
        <w:spacing w:after="80"/>
      </w:pPr>
      <w:r>
        <w:rPr>
          <w:rFonts w:ascii="Arial" w:cs="Arial" w:eastAsia="Arial" w:hAnsi="Arial"/>
          <w:b/>
          <w:bCs/>
          <w:sz w:val="24"/>
          <w:szCs w:val="24"/>
        </w:rPr>
        <w:t xml:space="preserve">Circuit breaker: </w:t>
      </w:r>
      <w:r>
        <w:rPr>
          <w:rFonts w:ascii="Arial" w:cs="Arial" w:eastAsia="Arial" w:hAnsi="Arial"/>
          <w:sz w:val="24"/>
          <w:szCs w:val="24"/>
        </w:rPr>
        <w:t xml:space="preserve">If an API fails 5 times in 5 minutes, open the circuit for 60 seconds. After 60s, allow one test request. If it succeeds, close the circuit.</w:t>
      </w:r>
    </w:p>
    <w:p>
      <w:pPr>
        <w:pStyle w:val="ListParagraph"/>
        <w:numPr>
          <w:ilvl w:val="0"/>
          <w:numId w:val="2"/>
        </w:numPr>
        <w:spacing w:after="80"/>
      </w:pPr>
      <w:r>
        <w:rPr>
          <w:rFonts w:ascii="Arial" w:cs="Arial" w:eastAsia="Arial" w:hAnsi="Arial"/>
          <w:b/>
          <w:bCs/>
          <w:sz w:val="24"/>
          <w:szCs w:val="24"/>
        </w:rPr>
        <w:t xml:space="preserve">Retry with backoff: </w:t>
      </w:r>
      <w:r>
        <w:rPr>
          <w:rFonts w:ascii="Arial" w:cs="Arial" w:eastAsia="Arial" w:hAnsi="Arial"/>
          <w:sz w:val="24"/>
          <w:szCs w:val="24"/>
        </w:rPr>
        <w:t xml:space="preserve">3 retries with exponential backoff (1s, 2s, 4s) for transient failures (5xx, timeout).</w:t>
      </w:r>
    </w:p>
    <w:p>
      <w:pPr>
        <w:pStyle w:val="ListParagraph"/>
        <w:numPr>
          <w:ilvl w:val="0"/>
          <w:numId w:val="2"/>
        </w:numPr>
        <w:spacing w:after="80"/>
      </w:pPr>
      <w:r>
        <w:rPr>
          <w:rFonts w:ascii="Arial" w:cs="Arial" w:eastAsia="Arial" w:hAnsi="Arial"/>
          <w:b/>
          <w:bCs/>
          <w:sz w:val="24"/>
          <w:szCs w:val="24"/>
        </w:rPr>
        <w:t xml:space="preserve">Response normalization: </w:t>
      </w:r>
      <w:r>
        <w:rPr>
          <w:rFonts w:ascii="Arial" w:cs="Arial" w:eastAsia="Arial" w:hAnsi="Arial"/>
          <w:sz w:val="24"/>
          <w:szCs w:val="24"/>
        </w:rPr>
        <w:t xml:space="preserve">Every API client returns a standardized CreditDataResponse Pydantic model regardless of provider, so agents don’t care which bureau or KYC provider is used.</w:t>
      </w:r>
    </w:p>
    <w:p>
      <w:pPr>
        <w:pStyle w:val="ListParagraph"/>
        <w:numPr>
          <w:ilvl w:val="0"/>
          <w:numId w:val="2"/>
        </w:numPr>
        <w:spacing w:after="80"/>
      </w:pPr>
      <w:r>
        <w:rPr>
          <w:rFonts w:ascii="Arial" w:cs="Arial" w:eastAsia="Arial" w:hAnsi="Arial"/>
          <w:b/>
          <w:bCs/>
          <w:sz w:val="24"/>
          <w:szCs w:val="24"/>
        </w:rPr>
        <w:t xml:space="preserve">Credential management: </w:t>
      </w:r>
      <w:r>
        <w:rPr>
          <w:rFonts w:ascii="Arial" w:cs="Arial" w:eastAsia="Arial" w:hAnsi="Arial"/>
          <w:sz w:val="24"/>
          <w:szCs w:val="24"/>
        </w:rPr>
        <w:t xml:space="preserve">All API keys and certificates stored in environment variables. In prod, use Azure Key Vault.</w:t>
      </w:r>
    </w:p>
    <w:p>
      <w:pPr>
        <w:pStyle w:val="ListParagraph"/>
        <w:numPr>
          <w:ilvl w:val="0"/>
          <w:numId w:val="2"/>
        </w:numPr>
        <w:spacing w:after="80"/>
      </w:pPr>
      <w:r>
        <w:rPr>
          <w:rFonts w:ascii="Arial" w:cs="Arial" w:eastAsia="Arial" w:hAnsi="Arial"/>
          <w:b/>
          <w:bCs/>
          <w:sz w:val="24"/>
          <w:szCs w:val="24"/>
        </w:rPr>
        <w:t xml:space="preserve">Audit logging: </w:t>
      </w:r>
      <w:r>
        <w:rPr>
          <w:rFonts w:ascii="Arial" w:cs="Arial" w:eastAsia="Arial" w:hAnsi="Arial"/>
          <w:sz w:val="24"/>
          <w:szCs w:val="24"/>
        </w:rPr>
        <w:t xml:space="preserve">Every external API call is logged with timestamp, request hash (no PII), response status, latency, and agent that initiated the call.</w:t>
      </w:r>
    </w:p>
    <w:p>
      <w:pPr>
        <w:pStyle w:val="ListParagraph"/>
        <w:numPr>
          <w:ilvl w:val="0"/>
          <w:numId w:val="2"/>
        </w:numPr>
        <w:spacing w:after="80"/>
      </w:pPr>
      <w:r>
        <w:rPr>
          <w:rFonts w:ascii="Arial" w:cs="Arial" w:eastAsia="Arial" w:hAnsi="Arial"/>
          <w:b/>
          <w:bCs/>
          <w:sz w:val="24"/>
          <w:szCs w:val="24"/>
        </w:rPr>
        <w:t xml:space="preserve">Mock mode: </w:t>
      </w:r>
      <w:r>
        <w:rPr>
          <w:rFonts w:ascii="Arial" w:cs="Arial" w:eastAsia="Arial" w:hAnsi="Arial"/>
          <w:sz w:val="24"/>
          <w:szCs w:val="24"/>
        </w:rPr>
        <w:t xml:space="preserve">When ENVIRONMENT=development, external APIs can be mocked using fixture files in tests/fixtures/ to avoid hitting real bureau APIs during dev.</w:t>
      </w:r>
    </w:p>
    <w:p>
      <w:pPr>
        <w:spacing w:after="120"/>
      </w:pPr>
    </w:p>
    <w:p>
      <w:pPr>
        <w:pBdr>
          <w:bottom w:val="single" w:color="2E75B6" w:sz="4" w:space="8"/>
        </w:pBdr>
        <w:spacing w:after="200" w:before="200"/>
      </w:pPr>
    </w:p>
    <w:p>
      <w:pPr>
        <w:pStyle w:val="Heading1"/>
      </w:pPr>
      <w:r>
        <w:t xml:space="preserve">6. Internal REST API Specification</w:t>
      </w:r>
    </w:p>
    <w:p>
      <w:pPr>
        <w:spacing w:after="160"/>
      </w:pPr>
      <w:r>
        <w:rPr>
          <w:rFonts w:ascii="Arial" w:cs="Arial" w:eastAsia="Arial" w:hAnsi="Arial"/>
          <w:color w:val="1A1A1A"/>
          <w:sz w:val="24"/>
          <w:szCs w:val="24"/>
        </w:rPr>
        <w:t xml:space="preserve">The system exposes a FastAPI-based REST API at src/api/. This is what the bank’s Loan Origination System (LOS) or frontend integrates with.</w:t>
      </w:r>
    </w:p>
    <w:p>
      <w:pPr>
        <w:pStyle w:val="Heading2"/>
      </w:pPr>
      <w:r>
        <w:t xml:space="preserve">6.1 Application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1960"/>
      </w:tblGrid>
      <w:tr>
        <w:trPr>
          <w:tblHeader/>
        </w:trPr>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Request Body</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c>
          <w:tcPr>
            <w:tcW w:type="dxa" w:w="1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/api/v1/applications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{applicant_info, loan_details, documents[]}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{application_id, status: "processing"}</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Submit a new credit application. Triggers the EvoAgentX workflow.</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/api/v1/applications/{id}</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{application_id, status, created_at, updated_at, current_stage}</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 application status and processing stage.</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/api/v1/applications/{id}/decision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{decision, credit_score, risk_category, reasons[], confidence}</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Get the final credit decision with score and explanations.</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/api/v1/applications/{id}/timeline</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{stages: [{agent, status, started_at, completed_at, output_summary}]}</w:t>
            </w:r>
          </w:p>
        </w:tc>
        <w:tc>
          <w:tcPr>
            <w:tcW w:type="dxa" w:w="1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 detailed timeline of each agent’s processing.</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DELETE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/api/v1/applications/{id}</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{status: "cancelled"}</w:t>
            </w:r>
          </w:p>
        </w:tc>
        <w:tc>
          <w:tcPr>
            <w:tcW w:type="dxa" w:w="1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Cancel a pending application.</w:t>
            </w:r>
          </w:p>
        </w:tc>
      </w:tr>
    </w:tbl>
    <w:p>
      <w:pPr>
        <w:spacing w:after="120"/>
      </w:pPr>
    </w:p>
    <w:p>
      <w:pPr>
        <w:pStyle w:val="Heading2"/>
      </w:pPr>
      <w:r>
        <w:t xml:space="preserve">6.2 Document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2200"/>
        <w:gridCol w:w="1560"/>
      </w:tblGrid>
      <w:tr>
        <w:trPr>
          <w:tblHeader/>
        </w:trPr>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Request</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c>
          <w:tcPr>
            <w:tcW w:type="dxa" w:w="1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/api/v1/documents/upload</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multipart/form-data {file, document_type, application_id}</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{document_id, status: "uploaded", ocr_status}</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Upload a document (bank statement, payslip, ID).</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/api/v1/documents/{id}</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{document_id, type, ocr_result, extracted_data}</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 extracted data from a processed document.</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/api/v1/documents/{id}/download</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Binary file stream</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Download original uploaded document.</w:t>
            </w:r>
          </w:p>
        </w:tc>
      </w:tr>
    </w:tbl>
    <w:p>
      <w:pPr>
        <w:spacing w:after="120"/>
      </w:pPr>
    </w:p>
    <w:p>
      <w:pPr>
        <w:pStyle w:val="Heading2"/>
      </w:pPr>
      <w:r>
        <w:t xml:space="preserve">6.3 Human-in-the-Loop (HITL)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2400"/>
        <w:gridCol w:w="1560"/>
      </w:tblGrid>
      <w:tr>
        <w:trPr>
          <w:tblHeader/>
        </w:trPr>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Request</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c>
          <w:tcPr>
            <w:tcW w:type="dxa" w:w="1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/api/v1/hitl/queue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?status=pending&amp;officer_id=X</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{items: [{application_id, escalation_reason, priority, agent_recommendation}]}</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List applications pending human review.</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/api/v1/hitl/{application_id}</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{full_application_data, agent_outputs, recommended_decision, risk_flags}</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 full context for human review.</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/api/v1/hitl/{application_id}/review</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{decision, officer_notes, override_reason}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{status: "reviewed", final_decision}</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Submit officer’s decision. This also feeds back into the evolution loop.</w:t>
            </w:r>
          </w:p>
        </w:tc>
      </w:tr>
    </w:tbl>
    <w:p>
      <w:pPr>
        <w:spacing w:after="120"/>
      </w:pPr>
    </w:p>
    <w:p>
      <w:pPr>
        <w:pStyle w:val="Heading2"/>
      </w:pPr>
      <w:r>
        <w:t xml:space="preserve">6.4 Evolution and Audit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2400"/>
        <w:gridCol w:w="1560"/>
      </w:tblGrid>
      <w:tr>
        <w:trPr>
          <w:tblHeader/>
        </w:trPr>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Request</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c>
          <w:tcPr>
            <w:tcW w:type="dxa" w:w="1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/api/v1/evolution/history</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?agent=X&amp;from=date&amp;to=date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{changes: [{version, agent, change_type, before, after, metric_impact}]}</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View evolution change history.</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POST</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/api/v1/evolution/trigger</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{scope: "risk_modeler", algorithm: "textgrad"}</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{evolution_id, status: "running"}</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Manually trigger an evolution cycle.</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/api/v1/evolution/rollback/{version}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{status: "rolled_back", active_version}</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Rollback to a previous version.</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/api/v1/audit/decisions</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?from=date&amp;to=date&amp;decision=X</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{decisions: [{application_id, score, decision, reasons, agent_chain}]}</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Query audit trail of all decisions.</w:t>
            </w:r>
          </w:p>
        </w:tc>
      </w:tr>
    </w:tbl>
    <w:p>
      <w:pPr>
        <w:spacing w:after="120"/>
      </w:pPr>
    </w:p>
    <w:p>
      <w:pPr>
        <w:pStyle w:val="Heading2"/>
      </w:pPr>
      <w:r>
        <w:t xml:space="preserve">6.5 Reporting and Webhook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600"/>
        <w:gridCol w:w="1560"/>
      </w:tblGrid>
      <w:tr>
        <w:trPr>
          <w:tblHeader/>
        </w:trPr>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Request</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Response</w:t>
            </w:r>
          </w:p>
        </w:tc>
        <w:tc>
          <w:tcPr>
            <w:tcW w:type="dxa" w:w="1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/api/v1/reports/kpis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?period=7d|30d|90d</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{default_rate, approval_rate, avg_processing_time, thin_file_approval, bias_metrics}</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Dashboard KPIs.</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/api/v1/reports/agents</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{agents: [{name, avg_latency, success_rate, evolution_count, last_evolved}]}</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Per-agent performance metrics.</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/api/v1/webhooks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{url, events: ["decision.made", "hitl.escalated", "evolution.completed"]}</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{webhook_id, status: "active"}</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Register webhook for event notifications.</w:t>
            </w:r>
          </w:p>
        </w:tc>
      </w:tr>
      <w:tr>
        <w:tc>
          <w:tcPr>
            <w:tcW w:type="dxa" w:w="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DELETE</w:t>
            </w:r>
          </w:p>
        </w:tc>
        <w:tc>
          <w:tcPr>
            <w:tcW w:type="dxa" w:w="20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/api/v1/webhooks/{id}</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{status: "deleted"}</w:t>
            </w:r>
          </w:p>
        </w:tc>
        <w:tc>
          <w:tcPr>
            <w:tcW w:type="dxa" w:w="15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Remove a webhook.</w:t>
            </w:r>
          </w:p>
        </w:tc>
      </w:tr>
      <w:tr>
        <w:tc>
          <w:tcPr>
            <w:tcW w:type="dxa" w:w="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GET</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/api/v1/health</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t>
            </w:r>
          </w:p>
        </w:tc>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{status, components: {db, redis, qdrant, litellm, mem0}}</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System health check with component status.</w:t>
            </w:r>
          </w:p>
        </w:tc>
      </w:tr>
    </w:tbl>
    <w:p>
      <w:pPr>
        <w:spacing w:after="120"/>
      </w:pPr>
    </w:p>
    <w:p>
      <w:pPr>
        <w:pBdr>
          <w:bottom w:val="single" w:color="2E75B6" w:sz="4" w:space="8"/>
        </w:pBdr>
        <w:spacing w:after="200" w:before="200"/>
      </w:pPr>
    </w:p>
    <w:p>
      <w:pPr>
        <w:pStyle w:val="Heading1"/>
      </w:pPr>
      <w:r>
        <w:t xml:space="preserve">7. Database Schema (PostgreSQL)</w:t>
      </w:r>
    </w:p>
    <w:p>
      <w:pPr>
        <w:spacing w:after="160"/>
      </w:pPr>
      <w:r>
        <w:rPr>
          <w:rFonts w:ascii="Arial" w:cs="Arial" w:eastAsia="Arial" w:hAnsi="Arial"/>
          <w:color w:val="1A1A1A"/>
          <w:sz w:val="24"/>
          <w:szCs w:val="24"/>
        </w:rPr>
        <w:t xml:space="preserve">Claude Code must create Alembic migrations for the following tables. Use SQLAlchemy ORM with async support (asyncpg driver).</w:t>
      </w:r>
    </w:p>
    <w:p>
      <w:pPr>
        <w:pStyle w:val="Heading2"/>
      </w:pPr>
      <w:r>
        <w:t xml:space="preserve">7.1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4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Key Columns</w:t>
            </w:r>
          </w:p>
        </w:tc>
        <w:tc>
          <w:tcPr>
            <w:tcW w:type="dxa" w:w="2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applications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id (UUID PK), applicant_name, pan_number, loan_amount, loan_type, status (enum), created_at, updated_at</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Core application record</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applicant_profiles</w:t>
            </w:r>
          </w:p>
        </w:tc>
        <w:tc>
          <w:tcPr>
            <w:tcW w:type="dxa" w:w="4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id, application_id (FK), income, employer, employment_type, address, dob</w:t>
            </w:r>
          </w:p>
        </w:tc>
        <w:tc>
          <w:tcPr>
            <w:tcW w:type="dxa" w:w="2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Applicant personal and financial info</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documents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id, application_id (FK), type (enum), storage_path, ocr_status, extracted_data (JSONB), uploaded_at</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Uploaded documents and OCR results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bureau_reports</w:t>
            </w:r>
          </w:p>
        </w:tc>
        <w:tc>
          <w:tcPr>
            <w:tcW w:type="dxa" w:w="4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id, application_id (FK), bureau (enum: CIBIL/EXPERIAN/CRIF/EQUIFAX), score, raw_report (JSONB), fetched_at</w:t>
            </w:r>
          </w:p>
        </w:tc>
        <w:tc>
          <w:tcPr>
            <w:tcW w:type="dxa" w:w="2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Credit bureau pull results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agent_outputs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id, application_id (FK), agent_name, input_data (JSONB), output_data (JSONB), latency_ms, created_at</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Every agent’s input/output for audit trail</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decisions</w:t>
            </w:r>
          </w:p>
        </w:tc>
        <w:tc>
          <w:tcPr>
            <w:tcW w:type="dxa" w:w="4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id, application_id (FK), credit_score, risk_category, decision (enum: APPROVED/DENIED/ESCALATED), reasons (JSONB), confidence, decided_at</w:t>
            </w:r>
          </w:p>
        </w:tc>
        <w:tc>
          <w:tcPr>
            <w:tcW w:type="dxa" w:w="2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Final credit decisions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hitl_reviews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id, application_id (FK), officer_id, officer_decision, notes, override_reason, reviewed_at</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 review records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evolution_history</w:t>
            </w:r>
          </w:p>
        </w:tc>
        <w:tc>
          <w:tcPr>
            <w:tcW w:type="dxa" w:w="4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id, agent_name, algorithm, version, prompt_before (TEXT), prompt_after (TEXT), workflow_diff (JSONB), metric_impact (JSONB), created_at</w:t>
            </w:r>
          </w:p>
        </w:tc>
        <w:tc>
          <w:tcPr>
            <w:tcW w:type="dxa" w:w="2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Full evolution audit trail</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webhooks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id, url, events (TEXT[]), secret_hash, active, created_at</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Registered webhook endpoints</w:t>
            </w:r>
          </w:p>
        </w:tc>
      </w:tr>
      <w:tr>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api_audit_log</w:t>
            </w:r>
          </w:p>
        </w:tc>
        <w:tc>
          <w:tcPr>
            <w:tcW w:type="dxa" w:w="4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id, endpoint, method, request_hash, response_status, latency_ms, user_id, created_at</w:t>
            </w:r>
          </w:p>
        </w:tc>
        <w:tc>
          <w:tcPr>
            <w:tcW w:type="dxa" w:w="2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API access audit log</w:t>
            </w:r>
          </w:p>
        </w:tc>
      </w:tr>
    </w:tbl>
    <w:p>
      <w:pPr>
        <w:spacing w:after="120"/>
      </w:pPr>
    </w:p>
    <w:p>
      <w:pPr>
        <w:pBdr>
          <w:bottom w:val="single" w:color="2E75B6" w:sz="4" w:space="8"/>
        </w:pBdr>
        <w:spacing w:after="200" w:before="200"/>
      </w:pPr>
    </w:p>
    <w:p>
      <w:pPr>
        <w:pStyle w:val="Heading1"/>
      </w:pPr>
      <w:r>
        <w:t xml:space="preserve">8. Evolution Engine Configuration</w:t>
      </w:r>
    </w:p>
    <w:p>
      <w:pPr>
        <w:spacing w:after="160"/>
      </w:pPr>
      <w:r>
        <w:rPr>
          <w:rFonts w:ascii="Arial" w:cs="Arial" w:eastAsia="Arial" w:hAnsi="Arial"/>
          <w:color w:val="1A1A1A"/>
          <w:sz w:val="24"/>
          <w:szCs w:val="24"/>
        </w:rPr>
        <w:t xml:space="preserve">EvoAgentX’s evolving layer runs three optimization algorithms. Claude Code must configure each in src/evolution/: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800"/>
        <w:gridCol w:w="1760"/>
      </w:tblGrid>
      <w:tr>
        <w:trPr>
          <w:tblHeader/>
        </w:trPr>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Algorithm</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Config File</w:t>
            </w:r>
          </w:p>
        </w:tc>
        <w:tc>
          <w:tcPr>
            <w:tcW w:type="dxa" w:w="1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Key Parameters</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TextGrad</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 prompts (Risk Modeler, Income Analyst, Debt Analyst, Decision Agent)</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Weekly batch on outcome data (repayment vs default at 30/60/90 days)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src/evolution/textgrad_config.py</w:t>
            </w:r>
          </w:p>
        </w:tc>
        <w:tc>
          <w:tcPr>
            <w:tcW w:type="dxa" w:w="1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learning_rate=0.1, max_iterations=50, validation_split=0.2</w:t>
            </w:r>
          </w:p>
        </w:tc>
      </w:tr>
      <w:tr>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AFlow</w:t>
            </w:r>
          </w:p>
        </w:tc>
        <w:tc>
          <w:tcPr>
            <w:tcW w:type="dxa" w:w="2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Workflow DAG topology (agent routing, parallel vs sequential, skip paths)</w:t>
            </w:r>
          </w:p>
        </w:tc>
        <w:tc>
          <w:tcPr>
            <w:tcW w:type="dxa" w:w="2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Bi-weekly after 500+ new application outcomes available</w:t>
            </w:r>
          </w:p>
        </w:tc>
        <w:tc>
          <w:tcPr>
            <w:tcW w:type="dxa" w:w="1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src/evolution/aflow_config.py</w:t>
            </w:r>
          </w:p>
        </w:tc>
        <w:tc>
          <w:tcPr>
            <w:tcW w:type="dxa" w:w="17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population_size=10, generations=20, mutation_rate=0.3</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MIPRO</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Tool configurations (OCR confidence thresholds, bureau selection logic, document classification rules)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Triggered when tool performance drops below threshold</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src/evolution/mipro_config.py</w:t>
            </w:r>
          </w:p>
        </w:tc>
        <w:tc>
          <w:tcPr>
            <w:tcW w:type="dxa" w:w="1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num_candidates=5, optimization_metric="extraction_accuracy"</w:t>
            </w:r>
          </w:p>
        </w:tc>
      </w:tr>
    </w:tbl>
    <w:p>
      <w:pPr>
        <w:spacing w:after="120"/>
      </w:pPr>
    </w:p>
    <w:p>
      <w:pPr>
        <w:spacing w:after="160"/>
      </w:pPr>
      <w:r>
        <w:rPr>
          <w:rFonts w:ascii="Arial" w:cs="Arial" w:eastAsia="Arial" w:hAnsi="Arial"/>
          <w:color w:val="1A1A1A"/>
          <w:sz w:val="24"/>
          <w:szCs w:val="24"/>
        </w:rPr>
        <w:t xml:space="preserve">Evolution safety guardrails (must be implemented in src/evolution/guardrails.py):</w:t>
      </w:r>
    </w:p>
    <w:p>
      <w:pPr>
        <w:pStyle w:val="ListParagraph"/>
        <w:numPr>
          <w:ilvl w:val="0"/>
          <w:numId w:val="2"/>
        </w:numPr>
        <w:spacing w:after="80"/>
      </w:pPr>
      <w:r>
        <w:rPr>
          <w:rFonts w:ascii="Arial" w:cs="Arial" w:eastAsia="Arial" w:hAnsi="Arial"/>
          <w:b/>
          <w:bCs/>
          <w:sz w:val="24"/>
          <w:szCs w:val="24"/>
        </w:rPr>
        <w:t xml:space="preserve">Bias check: </w:t>
      </w:r>
      <w:r>
        <w:rPr>
          <w:rFonts w:ascii="Arial" w:cs="Arial" w:eastAsia="Arial" w:hAnsi="Arial"/>
          <w:sz w:val="24"/>
          <w:szCs w:val="24"/>
        </w:rPr>
        <w:t xml:space="preserve">After every evolution, run fairness evaluation across gender, age, geography, income bracket. If disparate impact ratio &lt; 0.8 (4/5ths rule), auto-rollback.</w:t>
      </w:r>
    </w:p>
    <w:p>
      <w:pPr>
        <w:pStyle w:val="ListParagraph"/>
        <w:numPr>
          <w:ilvl w:val="0"/>
          <w:numId w:val="2"/>
        </w:numPr>
        <w:spacing w:after="80"/>
      </w:pPr>
      <w:r>
        <w:rPr>
          <w:rFonts w:ascii="Arial" w:cs="Arial" w:eastAsia="Arial" w:hAnsi="Arial"/>
          <w:b/>
          <w:bCs/>
          <w:sz w:val="24"/>
          <w:szCs w:val="24"/>
        </w:rPr>
        <w:t xml:space="preserve">Performance floor: </w:t>
      </w:r>
      <w:r>
        <w:rPr>
          <w:rFonts w:ascii="Arial" w:cs="Arial" w:eastAsia="Arial" w:hAnsi="Arial"/>
          <w:sz w:val="24"/>
          <w:szCs w:val="24"/>
        </w:rPr>
        <w:t xml:space="preserve">If any evolved agent’s AUC-ROC drops more than 2% vs the current production version, auto-rollback.</w:t>
      </w:r>
    </w:p>
    <w:p>
      <w:pPr>
        <w:pStyle w:val="ListParagraph"/>
        <w:numPr>
          <w:ilvl w:val="0"/>
          <w:numId w:val="2"/>
        </w:numPr>
        <w:spacing w:after="80"/>
      </w:pPr>
      <w:r>
        <w:rPr>
          <w:rFonts w:ascii="Arial" w:cs="Arial" w:eastAsia="Arial" w:hAnsi="Arial"/>
          <w:b/>
          <w:bCs/>
          <w:sz w:val="24"/>
          <w:szCs w:val="24"/>
        </w:rPr>
        <w:t xml:space="preserve">A/B validation: </w:t>
      </w:r>
      <w:r>
        <w:rPr>
          <w:rFonts w:ascii="Arial" w:cs="Arial" w:eastAsia="Arial" w:hAnsi="Arial"/>
          <w:sz w:val="24"/>
          <w:szCs w:val="24"/>
        </w:rPr>
        <w:t xml:space="preserve">Every evolved version runs in shadow mode for 48 hours before becoming the primary.</w:t>
      </w:r>
    </w:p>
    <w:p>
      <w:pPr>
        <w:pStyle w:val="ListParagraph"/>
        <w:numPr>
          <w:ilvl w:val="0"/>
          <w:numId w:val="2"/>
        </w:numPr>
        <w:spacing w:after="80"/>
      </w:pPr>
      <w:r>
        <w:rPr>
          <w:rFonts w:ascii="Arial" w:cs="Arial" w:eastAsia="Arial" w:hAnsi="Arial"/>
          <w:b/>
          <w:bCs/>
          <w:sz w:val="24"/>
          <w:szCs w:val="24"/>
        </w:rPr>
        <w:t xml:space="preserve">Human sign-off: </w:t>
      </w:r>
      <w:r>
        <w:rPr>
          <w:rFonts w:ascii="Arial" w:cs="Arial" w:eastAsia="Arial" w:hAnsi="Arial"/>
          <w:sz w:val="24"/>
          <w:szCs w:val="24"/>
        </w:rPr>
        <w:t xml:space="preserve">Workflow topology changes (AFlow) and decision threshold changes &gt;5% require human approval via HITL queue.</w:t>
      </w:r>
    </w:p>
    <w:p>
      <w:pPr>
        <w:pBdr>
          <w:bottom w:val="single" w:color="2E75B6" w:sz="4" w:space="8"/>
        </w:pBdr>
        <w:spacing w:after="200" w:before="200"/>
      </w:pPr>
    </w:p>
    <w:p>
      <w:pPr>
        <w:pStyle w:val="Heading1"/>
      </w:pPr>
      <w:r>
        <w:t xml:space="preserve">9. Project Structure for Claude Code</w:t>
      </w:r>
    </w:p>
    <w:p>
      <w:pPr>
        <w:spacing w:after="160"/>
      </w:pPr>
      <w:r>
        <w:rPr>
          <w:rFonts w:ascii="Arial" w:cs="Arial" w:eastAsia="Arial" w:hAnsi="Arial"/>
          <w:color w:val="1A1A1A"/>
          <w:sz w:val="24"/>
          <w:szCs w:val="24"/>
        </w:rPr>
        <w:t xml:space="preserve">Claude Code should create the following directory structure:</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credit-scoring-agent/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docker-compose.yml</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docker-compose.prod.yml          # Azure overrides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Dockerfile</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.env.example</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litellm_config.yaml</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prometheus.yml</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requirements.txt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alembic/                          # DB migrations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src/</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main.py                       # FastAPI app entry point</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config.py                     # Settings from env vars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agents/                       # EvoAgentX agent definitions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orchestrator.py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data_ingestion.py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id_verification.py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bureau_pull.py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risk_modeler.py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income_analyst.py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debt_analyst.py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compliance.py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decision.py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xai_explainer.py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workflows/                    # EvoAgentX workflow DAGs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credit_scoring_workflow.py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tools/                        # Agent tools (API clients)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external/</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cibil_client.py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experian_client.py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pan_verify.py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aadhaar_ekyc.py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bank_statement_analyzer.py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account_aggregator.py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base_client.py            # Circuit breaker + retry base</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internal/</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ocr_tool.py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risk_scorer.py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dti_calculator.py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api/                          # FastAPI routes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routes/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applications.py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documents.py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hitl.py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evolution.py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reports.py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 webhooks.py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models/                   # Pydantic request/response models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middleware/                # Auth, logging, rate limiting</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db/                           # SQLAlchemy models + Alembic</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models.py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session.py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memory/                       # Mem0 integration</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mem0_config.py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 memory_manager.py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evolution/                    # EvoAgentX evolution configs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textgrad_config.py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aflow_config.py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mipro_config.py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guardrails.py</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tests/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fixtures/                     # Mock API responses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test_agents/</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test_api/</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 test_evolution/</w:t>
      </w:r>
    </w:p>
    <w:p>
      <w:pPr>
        <w:pBdr>
          <w:left w:val="single" w:color="2E75B6" w:sz="8" w:space="8"/>
        </w:pBdr>
        <w:shd w:fill="F2F3F5" w:val="clear"/>
        <w:spacing w:after="80" w:before="80"/>
      </w:pPr>
      <w:r>
        <w:rPr>
          <w:rFonts w:ascii="Courier New" w:cs="Courier New" w:eastAsia="Courier New" w:hAnsi="Courier New"/>
          <w:color w:val="1A1A1A"/>
          <w:sz w:val="20"/>
          <w:szCs w:val="20"/>
        </w:rPr>
        <w:t xml:space="preserve">└── docs/</w:t>
      </w:r>
    </w:p>
    <w:p>
      <w:pPr>
        <w:spacing w:after="120"/>
      </w:pPr>
    </w:p>
    <w:p>
      <w:pPr>
        <w:pBdr>
          <w:bottom w:val="single" w:color="2E75B6" w:sz="4" w:space="8"/>
        </w:pBdr>
        <w:spacing w:after="200" w:before="200"/>
      </w:pPr>
    </w:p>
    <w:p>
      <w:pPr>
        <w:pStyle w:val="Heading1"/>
      </w:pPr>
      <w:r>
        <w:t xml:space="preserve">10.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2960"/>
      </w:tblGrid>
      <w:tr>
        <w:trPr>
          <w:tblHeader/>
        </w:trPr>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3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2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Success Criteria</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Phase 1: Foundation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Weeks 1–4</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Docker Compose up and running; EvoAgentX installed; LiteLLM routing to Azure; Mem0 connected; PostgreSQL schema migrated; FastAPI skeleton with /health endpoint</w:t>
            </w:r>
          </w:p>
        </w:tc>
        <w:tc>
          <w:tcPr>
            <w:tcW w:type="dxa" w:w="2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docker compose up starts all containers; /health returns all-green</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Phase 2: Core Agents</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Weeks 5–10</w:t>
            </w:r>
          </w:p>
        </w:tc>
        <w:tc>
          <w:tcPr>
            <w:tcW w:type="dxa" w:w="3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All 10 agents defined and operational; Bureau + KYC API clients with circuit breakers; OCR pipeline; Workflow DAG executing end-to-end with mock data</w:t>
            </w:r>
          </w:p>
        </w:tc>
        <w:tc>
          <w:tcPr>
            <w:tcW w:type="dxa" w:w="2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Process a mock application from submission to decision in &lt;60 seconds</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Phase 3: API + Integration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Weeks 11–14</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All REST API endpoints; Document upload; HITL queue; Webhook system; Auth middleware; Rate limiting</w:t>
            </w:r>
          </w:p>
        </w:tc>
        <w:tc>
          <w:tcPr>
            <w:tcW w:type="dxa" w:w="2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LOS can submit an application via API and receive decision via webhook</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Phase 4: Evolution Engine</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Weeks 15–20</w:t>
            </w:r>
          </w:p>
        </w:tc>
        <w:tc>
          <w:tcPr>
            <w:tcW w:type="dxa" w:w="3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TextGrad, AFlow, MIPRO configured; Evaluation pipeline; Guardrails; Shadow mode A/B testing; Evolution audit trail</w:t>
            </w:r>
          </w:p>
        </w:tc>
        <w:tc>
          <w:tcPr>
            <w:tcW w:type="dxa" w:w="2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Measurable improvement in mock dataset after 3 evolution cycles</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Phase 5: Compliance + XAI</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Weeks 21–24</w:t>
            </w:r>
          </w:p>
        </w:tc>
        <w:tc>
          <w:tcPr>
            <w:tcW w:type="dxa" w:w="3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XAI agent generating explanations; Bias monitoring; Adverse action notices; Full audit trail; Compliance dashboard</w:t>
            </w:r>
          </w:p>
        </w:tc>
        <w:tc>
          <w:tcPr>
            <w:tcW w:type="dxa" w:w="2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100% of denials have human-readable reason codes</w:t>
            </w:r>
          </w:p>
        </w:tc>
      </w:tr>
      <w:tr>
        <w:tc>
          <w:tcPr>
            <w:tcW w:type="dxa" w:w="14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Phase 6: Production Prep</w:t>
            </w:r>
          </w:p>
        </w:tc>
        <w:tc>
          <w:tcPr>
            <w:tcW w:type="dxa" w:w="12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Weeks 25–30</w:t>
            </w:r>
          </w:p>
        </w:tc>
        <w:tc>
          <w:tcPr>
            <w:tcW w:type="dxa" w:w="3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Azure deployment (AKS); Swap .env to prod; Load testing; Penetration testing; Monitoring dashboards; Runbook documentation</w:t>
            </w:r>
          </w:p>
        </w:tc>
        <w:tc>
          <w:tcPr>
            <w:tcW w:type="dxa" w:w="2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.env swap to Azure; system handles 100 concurrent applications</w:t>
            </w:r>
          </w:p>
        </w:tc>
      </w:tr>
    </w:tbl>
    <w:p>
      <w:pPr>
        <w:spacing w:after="120"/>
      </w:pPr>
    </w:p>
    <w:p>
      <w:pPr>
        <w:pBdr>
          <w:bottom w:val="single" w:color="2E75B6" w:sz="4" w:space="8"/>
        </w:pBdr>
        <w:spacing w:after="200" w:before="200"/>
      </w:pPr>
    </w:p>
    <w:p>
      <w:pPr>
        <w:pStyle w:val="Heading1"/>
      </w:pPr>
      <w:r>
        <w:t xml:space="preserve">11.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KPI</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Measurement Method</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Credit decision latency</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&lt;10 minutes end-to-end</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Timestamp diff: application_created to decision_made</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Default prediction (AUC-ROC)</w:t>
            </w:r>
          </w:p>
        </w:tc>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&gt;0.85 (improving quarterly)</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Compare predicted risk scores vs actual 12-month default outcomes</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Processing cost per application</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&lt;$10</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Total LLM + API + compute costs per application</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Thin-file approval rate</w:t>
            </w:r>
          </w:p>
        </w:tc>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25–35%</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Approvals for applicants with no bureau history</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Bias disparity ratio</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&gt;0.80 across all segments</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4/5ths rule check across gender, age, geography</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Evolution improvement per cycle</w:t>
            </w:r>
          </w:p>
        </w:tc>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&gt;1% metric improvement</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Pre/post evolution AUC-ROC comparison</w:t>
            </w:r>
          </w:p>
        </w:tc>
      </w:tr>
      <w:tr>
        <w:tc>
          <w:tcPr>
            <w:tcW w:type="dxa" w:w="2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System uptime</w:t>
            </w:r>
          </w:p>
        </w:tc>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99.9%</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/health endpoint monitoring</w:t>
            </w:r>
          </w:p>
        </w:tc>
      </w:tr>
      <w:tr>
        <w:tc>
          <w:tcPr>
            <w:tcW w:type="dxa" w:w="26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HITL escalation rate</w:t>
            </w:r>
          </w:p>
        </w:tc>
        <w:tc>
          <w:tcPr>
            <w:tcW w:type="dxa" w:w="280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10–20% of applications</w:t>
            </w:r>
          </w:p>
        </w:tc>
        <w:tc>
          <w:tcPr>
            <w:tcW w:type="dxa" w:w="3960"/>
            <w:tcBorders>
              <w:top w:val="single" w:color="B0C4DE" w:sz="1"/>
              <w:left w:val="single" w:color="B0C4DE" w:sz="1"/>
              <w:bottom w:val="single" w:color="B0C4DE" w:sz="1"/>
              <w:right w:val="single" w:color="B0C4DE" w:sz="1"/>
            </w:tcBorders>
            <w:shd w:fill="F7F9FC" w:val="clear"/>
            <w:tcMar>
              <w:top w:type="dxa" w:w="80"/>
              <w:left w:type="dxa" w:w="120"/>
              <w:bottom w:type="dxa" w:w="80"/>
              <w:right w:type="dxa" w:w="120"/>
            </w:tcMar>
          </w:tcPr>
          <w:p>
            <w:r>
              <w:rPr>
                <w:rFonts w:ascii="Arial" w:cs="Arial" w:eastAsia="Arial" w:hAnsi="Arial"/>
                <w:color w:val="1A1A1A"/>
                <w:sz w:val="22"/>
                <w:szCs w:val="22"/>
              </w:rPr>
              <w:t xml:space="preserve">Escalated / total applications</w:t>
            </w:r>
          </w:p>
        </w:tc>
      </w:tr>
    </w:tbl>
    <w:p>
      <w:pPr>
        <w:spacing w:after="120"/>
      </w:pPr>
    </w:p>
    <w:p>
      <w:pPr>
        <w:pBdr>
          <w:bottom w:val="single" w:color="2E75B6" w:sz="4" w:space="8"/>
        </w:pBdr>
        <w:spacing w:after="200" w:before="200"/>
      </w:pPr>
    </w:p>
    <w:p>
      <w:pPr>
        <w:pStyle w:val="Heading1"/>
      </w:pPr>
      <w:r>
        <w:t xml:space="preserve">12. Conclusion</w:t>
      </w:r>
    </w:p>
    <w:p>
      <w:pPr>
        <w:spacing w:after="160"/>
      </w:pPr>
      <w:r>
        <w:rPr>
          <w:rFonts w:ascii="Arial" w:cs="Arial" w:eastAsia="Arial" w:hAnsi="Arial"/>
          <w:color w:val="1A1A1A"/>
          <w:sz w:val="24"/>
          <w:szCs w:val="24"/>
        </w:rPr>
        <w:t xml:space="preserve">This document provides everything Claude Code needs to build the complete Credit Scoring Agent system. The key architectural decisions are: EvoAgentX for self-evolving multi-agent orchestration, Azure OpenAI (Opus) via LiteLLM for the LLM backbone, Mem0 for persistent memory, Docker containers for development that map 1:1 to Azure managed services for production, and a comprehensive REST API that integrates with any Loan Origination System.</w:t>
      </w:r>
    </w:p>
    <w:p>
      <w:pPr>
        <w:spacing w:after="160"/>
      </w:pPr>
      <w:r>
        <w:rPr>
          <w:rFonts w:ascii="Arial" w:cs="Arial" w:eastAsia="Arial" w:hAnsi="Arial"/>
          <w:color w:val="1A1A1A"/>
          <w:sz w:val="24"/>
          <w:szCs w:val="24"/>
        </w:rPr>
        <w:t xml:space="preserve">The development approach is container-first: build and test everything locally with docker compose up, then swap the .env file for production Azure endpoints with zero code changes. This ensures fast iteration during development and reliable deployment to production.</w:t>
      </w:r>
    </w:p>
    <w:p>
      <w:pPr>
        <w:spacing w:after="400"/>
      </w:pPr>
    </w:p>
    <w:p>
      <w:pPr>
        <w:spacing w:after="160"/>
      </w:pPr>
      <w:r>
        <w:rPr>
          <w:rFonts w:ascii="Arial" w:cs="Arial" w:eastAsia="Arial" w:hAnsi="Arial"/>
          <w:b/>
          <w:bCs/>
          <w:i/>
          <w:iCs/>
          <w:color w:val="555555"/>
          <w:sz w:val="24"/>
          <w:szCs w:val="24"/>
        </w:rPr>
        <w:t xml:space="preserve">End of Document</w:t>
      </w:r>
      <w:r>
        <w:rPr>
          <w:rFonts w:ascii="Arial" w:cs="Arial" w:eastAsia="Arial" w:hAnsi="Arial"/>
          <w:i/>
          <w:iCs/>
          <w:color w:val="555555"/>
          <w:sz w:val="24"/>
          <w:szCs w:val="24"/>
        </w:rPr>
        <w:t xml:space="preserve">  |  Credit Scoring Agent Build Spec v2.0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tabs>
        <w:tab w:val="right" w:pos="9026"/>
      </w:tabs>
    </w:pPr>
    <w:r>
      <w:rPr>
        <w:rFonts w:ascii="Arial" w:cs="Arial" w:eastAsia="Arial" w:hAnsi="Arial"/>
        <w:color w:val="555555"/>
        <w:sz w:val="18"/>
        <w:szCs w:val="18"/>
      </w:rPr>
      <w:t xml:space="preserve">Confidential</w:t>
    </w:r>
    <w: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2" w:space="4"/>
      </w:pBdr>
    </w:pPr>
    <w:r>
      <w:rPr>
        <w:rFonts w:ascii="Arial" w:cs="Arial" w:eastAsia="Arial" w:hAnsi="Arial"/>
        <w:i/>
        <w:iCs/>
        <w:color w:val="555555"/>
        <w:sz w:val="18"/>
        <w:szCs w:val="18"/>
      </w:rPr>
      <w:t xml:space="preserve">Credit Scoring Agent  |  Build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D85A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2026-04-13T13:25:11.485Z</dcterms:created>
  <dcterms:modified xsi:type="dcterms:W3CDTF">2026-04-13T13:25:11.486Z</dcterms:modified>
</cp:coreProperties>
</file>

<file path=docProps/custom.xml><?xml version="1.0" encoding="utf-8"?>
<Properties xmlns="http://schemas.openxmlformats.org/officeDocument/2006/custom-properties" xmlns:vt="http://schemas.openxmlformats.org/officeDocument/2006/docPropsVTypes"/>
</file>