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d2e"/>
          <w:sz w:val="56"/>
          <w:szCs w:val="56"/>
        </w:rPr>
        <w:t xml:space="preserve">ML Metrics Masterclass</w:t>
      </w:r>
    </w:p>
    <w:p>
      <w:pPr>
        <w:spacing w:after="100"/>
        <w:jc w:val="center"/>
      </w:pPr>
      <w:r>
        <w:rPr>
          <w:rFonts w:ascii="Arial" w:cs="Arial" w:eastAsia="Arial" w:hAnsi="Arial"/>
          <w:color w:val="2E75B6"/>
          <w:sz w:val="36"/>
          <w:szCs w:val="36"/>
        </w:rPr>
        <w:t xml:space="preserve">Interactive Teaching Tool</w:t>
      </w:r>
    </w:p>
    <w:p>
      <w:pPr>
        <w:pBdr>
          <w:bottom w:val="single" w:color="2E75B6" w:sz="6" w:space="1"/>
        </w:pBdr>
        <w:spacing w:after="400"/>
        <w:jc w:val="center"/>
      </w:pPr>
      <w:r>
        <w:rPr>
          <w:rFonts w:ascii="Arial" w:cs="Arial" w:eastAsia="Arial" w:hAnsi="Arial"/>
        </w:rPr>
        <w:t xml:space="preserve"> </w:t>
      </w:r>
    </w:p>
    <w:p>
      <w:pPr>
        <w:spacing w:after="100" w:before="400"/>
        <w:jc w:val="center"/>
      </w:pPr>
      <w:r>
        <w:rPr>
          <w:rFonts w:ascii="Arial" w:cs="Arial" w:eastAsia="Arial" w:hAnsi="Arial"/>
          <w:color w:val="666666"/>
          <w:sz w:val="24"/>
          <w:szCs w:val="24"/>
        </w:rPr>
        <w:t xml:space="preserve">A comprehensive, browser-based interactive tool for teaching</w:t>
      </w:r>
    </w:p>
    <w:p>
      <w:pPr>
        <w:spacing w:after="100"/>
        <w:jc w:val="center"/>
      </w:pPr>
      <w:r>
        <w:rPr>
          <w:rFonts w:ascii="Arial" w:cs="Arial" w:eastAsia="Arial" w:hAnsi="Arial"/>
          <w:color w:val="666666"/>
          <w:sz w:val="24"/>
          <w:szCs w:val="24"/>
        </w:rPr>
        <w:t xml:space="preserve">model validation metrics to young data scientists</w:t>
      </w:r>
    </w:p>
    <w:p>
      <w:pPr>
        <w:spacing w:after="100" w:before="600"/>
        <w:jc w:val="center"/>
      </w:pPr>
      <w:r>
        <w:rPr>
          <w:rFonts w:ascii="Arial" w:cs="Arial" w:eastAsia="Arial" w:hAnsi="Arial"/>
          <w:b/>
          <w:bCs/>
          <w:color w:val="1a1d2e"/>
          <w:sz w:val="22"/>
          <w:szCs w:val="22"/>
        </w:rPr>
        <w:t xml:space="preserve">50 Interactive Cards  |  71 Sliders  |  7 Tabs</w:t>
      </w:r>
    </w:p>
    <w:p>
      <w:pPr>
        <w:spacing w:before="200"/>
        <w:jc w:val="center"/>
      </w:pPr>
      <w:r>
        <w:rPr>
          <w:rFonts w:ascii="Arial" w:cs="Arial" w:eastAsia="Arial" w:hAnsi="Arial"/>
          <w:color w:val="888888"/>
          <w:sz w:val="20"/>
          <w:szCs w:val="20"/>
        </w:rPr>
        <w:t xml:space="preserve">Single standalone HTML file — no backend required</w:t>
      </w:r>
    </w:p>
    <w:p>
      <w:pPr>
        <w:spacing w:before="1500"/>
        <w:jc w:val="center"/>
      </w:pPr>
      <w:r>
        <w:rPr>
          <w:rFonts w:ascii="Arial" w:cs="Arial" w:eastAsia="Arial" w:hAnsi="Arial"/>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What Is This Tool?</w:t>
      </w:r>
    </w:p>
    <w:p>
      <w:pPr>
        <w:spacing w:after="120"/>
      </w:pPr>
      <w:r>
        <w:rPr>
          <w:rFonts w:ascii="Arial" w:cs="Arial" w:eastAsia="Arial" w:hAnsi="Arial"/>
          <w:sz w:val="22"/>
          <w:szCs w:val="22"/>
        </w:rPr>
        <w:t xml:space="preserve">The ML Metrics Masterclass is a single-file, browser-based interactive teaching tool designed to help young data scientists deeply understand every model validation metric they will encounter in their careers. It covers Classification, Regression, Forecasting, and Economic Factor analysis — all in one place.</w:t>
      </w:r>
    </w:p>
    <w:p>
      <w:pPr>
        <w:spacing w:after="120"/>
      </w:pPr>
      <w:r>
        <w:rPr>
          <w:rFonts w:ascii="Arial" w:cs="Arial" w:eastAsia="Arial" w:hAnsi="Arial"/>
          <w:sz w:val="22"/>
          <w:szCs w:val="22"/>
        </w:rPr>
        <w:t xml:space="preserve">The tool runs entirely in the browser with no backend, no installation, and no dependencies. Just open the HTML file and start learning.</w:t>
      </w:r>
    </w:p>
    <w:p>
      <w:pPr>
        <w:spacing w:after="100" w:before="200"/>
      </w:pPr>
      <w:r>
        <w:rPr>
          <w:rFonts w:ascii="Arial" w:cs="Arial" w:eastAsia="Arial" w:hAnsi="Arial"/>
          <w:b/>
          <w:bCs/>
          <w:color w:val="2E75B6"/>
          <w:sz w:val="24"/>
          <w:szCs w:val="24"/>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Interactive Cards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Sliders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Tabs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~10,500 lines, single HTML file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Dependencies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None (CDN: HTMX + MathJax 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Required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opens in any browser</w:t>
            </w:r>
          </w:p>
        </w:tc>
      </w:tr>
    </w:tbl>
    <w:p>
      <w:r>
        <w:br w:type="page"/>
      </w:r>
    </w:p>
    <w:p>
      <w:pPr>
        <w:pStyle w:val="Heading1"/>
      </w:pPr>
      <w:r>
        <w:rPr>
          <w:rFonts w:ascii="Arial" w:cs="Arial" w:eastAsia="Arial" w:hAnsi="Arial"/>
        </w:rPr>
        <w:t xml:space="preserve">2. How It Works</w:t>
      </w:r>
    </w:p>
    <w:p>
      <w:pPr>
        <w:spacing w:after="120"/>
      </w:pPr>
      <w:r>
        <w:rPr>
          <w:rFonts w:ascii="Arial" w:cs="Arial" w:eastAsia="Arial" w:hAnsi="Arial"/>
          <w:sz w:val="22"/>
          <w:szCs w:val="22"/>
        </w:rPr>
        <w:t xml:space="preserve">Every metric is presented as an interactive card with:</w:t>
      </w:r>
    </w:p>
    <w:p>
      <w:pPr>
        <w:pStyle w:val="ListParagraph"/>
        <w:numPr>
          <w:ilvl w:val="0"/>
          <w:numId w:val="2"/>
        </w:numPr>
        <w:spacing w:after="60"/>
      </w:pPr>
      <w:r>
        <w:rPr>
          <w:rFonts w:ascii="Arial" w:cs="Arial" w:eastAsia="Arial" w:hAnsi="Arial"/>
          <w:sz w:val="22"/>
          <w:szCs w:val="22"/>
        </w:rPr>
        <w:t xml:space="preserve">Formula rendered beautifully via MathJax</w:t>
      </w:r>
    </w:p>
    <w:p>
      <w:pPr>
        <w:pStyle w:val="ListParagraph"/>
        <w:numPr>
          <w:ilvl w:val="0"/>
          <w:numId w:val="2"/>
        </w:numPr>
        <w:spacing w:after="60"/>
      </w:pPr>
      <w:r>
        <w:rPr>
          <w:rFonts w:ascii="Arial" w:cs="Arial" w:eastAsia="Arial" w:hAnsi="Arial"/>
          <w:sz w:val="22"/>
          <w:szCs w:val="22"/>
        </w:rPr>
        <w:t xml:space="preserve">Plain English layman analogy explaining the concept</w:t>
      </w:r>
    </w:p>
    <w:p>
      <w:pPr>
        <w:pStyle w:val="ListParagraph"/>
        <w:numPr>
          <w:ilvl w:val="0"/>
          <w:numId w:val="2"/>
        </w:numPr>
        <w:spacing w:after="60"/>
      </w:pPr>
      <w:r>
        <w:rPr>
          <w:rFonts w:ascii="Arial" w:cs="Arial" w:eastAsia="Arial" w:hAnsi="Arial"/>
          <w:sz w:val="22"/>
          <w:szCs w:val="22"/>
        </w:rPr>
        <w:t xml:space="preserve">Interactive sliders that update visualizations in real-time</w:t>
      </w:r>
    </w:p>
    <w:p>
      <w:pPr>
        <w:pStyle w:val="ListParagraph"/>
        <w:numPr>
          <w:ilvl w:val="0"/>
          <w:numId w:val="2"/>
        </w:numPr>
        <w:spacing w:after="60"/>
      </w:pPr>
      <w:r>
        <w:rPr>
          <w:rFonts w:ascii="Arial" w:cs="Arial" w:eastAsia="Arial" w:hAnsi="Arial"/>
          <w:sz w:val="22"/>
          <w:szCs w:val="22"/>
        </w:rPr>
        <w:t xml:space="preserve">HTML5 Canvas charts that redraw instantly as you drag sliders</w:t>
      </w:r>
    </w:p>
    <w:p>
      <w:pPr>
        <w:pStyle w:val="ListParagraph"/>
        <w:numPr>
          <w:ilvl w:val="0"/>
          <w:numId w:val="2"/>
        </w:numPr>
        <w:spacing w:after="60"/>
      </w:pPr>
      <w:r>
        <w:rPr>
          <w:rFonts w:ascii="Arial" w:cs="Arial" w:eastAsia="Arial" w:hAnsi="Arial"/>
          <w:sz w:val="22"/>
          <w:szCs w:val="22"/>
        </w:rPr>
        <w:t xml:space="preserve">Red Flag thresholds and Pro Tips for practical guidance</w:t>
      </w:r>
    </w:p>
    <w:p>
      <w:pPr>
        <w:pStyle w:val="ListParagraph"/>
        <w:numPr>
          <w:ilvl w:val="0"/>
          <w:numId w:val="2"/>
        </w:numPr>
        <w:spacing w:after="60"/>
      </w:pPr>
      <w:r>
        <w:rPr>
          <w:rFonts w:ascii="Arial" w:cs="Arial" w:eastAsia="Arial" w:hAnsi="Arial"/>
          <w:sz w:val="22"/>
          <w:szCs w:val="22"/>
        </w:rPr>
        <w:t xml:space="preserve">Alert toasts (INVESTIGATE / RETRAIN) when metrics breach thresholds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Master Threshold Slider on Tab 1 is the star feature — dragging it simultaneously updates the Confusion Matrix, Accuracy/Precision/Recall/F1, ROC Curve, PR Curve, Balanced Accuracy, and Cohen’s Kappa. This demonstrates how a single parameter change cascades through multiple metrics.</w:t>
      </w:r>
    </w:p>
    <w:p>
      <w:pPr>
        <w:pStyle w:val="Heading2"/>
        <w:spacing w:after="150" w:before="300"/>
      </w:pPr>
      <w:r>
        <w:rPr>
          <w:rFonts w:ascii="Arial" w:cs="Arial" w:eastAsia="Arial" w:hAnsi="Arial"/>
          <w:b/>
          <w:bCs/>
          <w:color w:val="1a1d2e"/>
          <w:sz w:val="28"/>
          <w:szCs w:val="28"/>
        </w:rPr>
        <w:t xml:space="preserve">Alert System</w:t>
      </w:r>
    </w:p>
    <w:p>
      <w:pPr>
        <w:spacing w:after="120"/>
      </w:pPr>
      <w:r>
        <w:rPr>
          <w:rFonts w:ascii="Arial" w:cs="Arial" w:eastAsia="Arial" w:hAnsi="Arial"/>
          <w:sz w:val="22"/>
          <w:szCs w:val="22"/>
        </w:rPr>
        <w:t xml:space="preserve">When any slider pushes a metric past its threshold, the tool fires real-time toast notifications:</w:t>
      </w:r>
    </w:p>
    <w:p>
      <w:pPr>
        <w:pStyle w:val="ListParagraph"/>
        <w:numPr>
          <w:ilvl w:val="0"/>
          <w:numId w:val="3"/>
        </w:numPr>
        <w:spacing w:after="60"/>
      </w:pPr>
      <w:r>
        <w:rPr>
          <w:rFonts w:ascii="Arial" w:cs="Arial" w:eastAsia="Arial" w:hAnsi="Arial"/>
          <w:sz w:val="22"/>
          <w:szCs w:val="22"/>
        </w:rPr>
        <w:t xml:space="preserve">AMBER: "INVESTIGATE — [Metric] at [value]" — review needed</w:t>
      </w:r>
    </w:p>
    <w:p>
      <w:pPr>
        <w:pStyle w:val="ListParagraph"/>
        <w:numPr>
          <w:ilvl w:val="0"/>
          <w:numId w:val="3"/>
        </w:numPr>
        <w:spacing w:after="60"/>
      </w:pPr>
      <w:r>
        <w:rPr>
          <w:rFonts w:ascii="Arial" w:cs="Arial" w:eastAsia="Arial" w:hAnsi="Arial"/>
          <w:sz w:val="22"/>
          <w:szCs w:val="22"/>
        </w:rPr>
        <w:t xml:space="preserve">RED: "RETRAIN MODEL — [Metric] at [value]" — critical threshold breached</w:t>
      </w:r>
    </w:p>
    <w:p>
      <w:pPr>
        <w:spacing w:after="120"/>
      </w:pPr>
      <w:r>
        <w:rPr>
          <w:rFonts w:ascii="Arial" w:cs="Arial" w:eastAsia="Arial" w:hAnsi="Arial"/>
          <w:sz w:val="22"/>
          <w:szCs w:val="22"/>
        </w:rPr>
        <w:t xml:space="preserve">A bell icon in the header shows the total alert count. This teaches students that in production, metric monitoring drives model lifecycle decisions.</w:t>
      </w:r>
    </w:p>
    <w:p>
      <w:r>
        <w:br w:type="page"/>
      </w:r>
    </w:p>
    <w:p>
      <w:pPr>
        <w:pStyle w:val="Heading1"/>
      </w:pPr>
      <w:r>
        <w:rPr>
          <w:rFonts w:ascii="Arial" w:cs="Arial" w:eastAsia="Arial" w:hAnsi="Arial"/>
        </w:rPr>
        <w:t xml:space="preserve">3. Tab-by-Tab Breakdown</w:t>
      </w:r>
    </w:p>
    <w:p>
      <w:pPr>
        <w:pStyle w:val="Heading2"/>
        <w:spacing w:after="150" w:before="300"/>
      </w:pPr>
      <w:r>
        <w:rPr>
          <w:rFonts w:ascii="Arial" w:cs="Arial" w:eastAsia="Arial" w:hAnsi="Arial"/>
          <w:b/>
          <w:bCs/>
          <w:color w:val="1a1d2e"/>
          <w:sz w:val="28"/>
          <w:szCs w:val="28"/>
        </w:rPr>
        <w:t xml:space="preserve">Tab 1: Classification — Training Metrics (12 Cards)</w:t>
      </w:r>
    </w:p>
    <w:p>
      <w:pPr>
        <w:spacing w:after="120"/>
      </w:pPr>
      <w:r>
        <w:rPr>
          <w:rFonts w:ascii="Arial" w:cs="Arial" w:eastAsia="Arial" w:hAnsi="Arial"/>
          <w:sz w:val="22"/>
          <w:szCs w:val="22"/>
        </w:rPr>
        <w:t xml:space="preserve">Core metrics evaluated during model training. The master threshold slider drives the first 6 cards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What It Teaches</w:t>
            </w:r>
          </w:p>
        </w:tc>
        <w:tc>
          <w:tcPr>
            <w:tcW w:type="dxa" w:w="26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Confusion Matrix</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TP, FP, TN, FN with proportional grid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Accuracy/Precision/Recall/Specificity/F1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 perspectives on the same confusion matrix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Prec&lt;0.5, Rec&lt;0.5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Accuracy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class imbalance by averaging sensitivity &amp; specificity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&lt;0.6 amber, &lt;0.5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 Curve &amp; AUC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Ranking quality; AUC = P(random positive ranks higher)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AUC&lt;0.7 amber, &lt;0.6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Curve &amp; PR-AUC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Honest evaluation when classes are severely imbalanced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PR-AUC&lt;0.5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Cohen’s Kappa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Agreement above chance; removes “luck factor” from accuracy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&lt;0.4 amber, &lt;0.2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Loss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Punishes confident wrong predictions heavily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&gt;0.7 amber, &gt;1.0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Brier Score &amp; ECE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 quality: do predicted probabilities match reality?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ECE&gt;0.1 amber, &gt;0.2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H-Measure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Cost-sensitive AUC alternative for asymmetric error costs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&lt;0.3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WOE &amp; IV</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predictive power; bin direction and strength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IV&gt;0.5 suspicious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Odds &amp; Sigmoid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Logistic regression internals: coefficients to probabilities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Decile Analysis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band monotonicity check for scorecard validation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Non-monotonic = amber</w:t>
            </w:r>
          </w:p>
        </w:tc>
      </w:tr>
    </w:tbl>
    <w:p>
      <w:r>
        <w:br w:type="page"/>
      </w:r>
    </w:p>
    <w:p>
      <w:pPr>
        <w:pStyle w:val="Heading2"/>
        <w:spacing w:after="150" w:before="300"/>
      </w:pPr>
      <w:r>
        <w:rPr>
          <w:rFonts w:ascii="Arial" w:cs="Arial" w:eastAsia="Arial" w:hAnsi="Arial"/>
          <w:b/>
          <w:bCs/>
          <w:color w:val="1a1d2e"/>
          <w:sz w:val="28"/>
          <w:szCs w:val="28"/>
        </w:rPr>
        <w:t xml:space="preserve">Tab 2: Classification — OOT Validation (8 Cards)</w:t>
      </w:r>
    </w:p>
    <w:p>
      <w:pPr>
        <w:spacing w:after="120"/>
      </w:pPr>
      <w:r>
        <w:rPr>
          <w:rFonts w:ascii="Arial" w:cs="Arial" w:eastAsia="Arial" w:hAnsi="Arial"/>
          <w:sz w:val="22"/>
          <w:szCs w:val="22"/>
        </w:rPr>
        <w:t xml:space="preserve">Out-of-Time validation metrics that detect model drift and population shifts after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What It Teaches</w:t>
            </w:r>
          </w:p>
        </w:tc>
        <w:tc>
          <w:tcPr>
            <w:tcW w:type="dxa" w:w="26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Gini Coefficient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discrimination power: Gini = 2 x AUC - 1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Gini&lt;0.3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KS Statistic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separation between event/non-event distributions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KS&lt;0.2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drift detection — has your customer base changed?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0.1-0.25 amber, &gt;0.25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Feature-level drift — WHICH features caused the population shift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CSI&gt;0.25 =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Gains &amp; Lift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impact: how many times better than random targeting?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decile lift&lt;2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Probability Calibration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 predicted probabilities honest? Calibration curve analysis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ECE&gt;0.15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VIF &amp; Multicollinearity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redundancy: high VIF = predictors saying the same thing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VIF&gt;5 amber, &gt;10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OOT Near vs Far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vs long-term model stability comparison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&gt;15% degradation = RED</w:t>
            </w:r>
          </w:p>
        </w:tc>
      </w:tr>
    </w:tbl>
    <w:p>
      <w:pPr>
        <w:pStyle w:val="Heading2"/>
        <w:spacing w:after="150" w:before="300"/>
      </w:pPr>
      <w:r>
        <w:rPr>
          <w:rFonts w:ascii="Arial" w:cs="Arial" w:eastAsia="Arial" w:hAnsi="Arial"/>
          <w:b/>
          <w:bCs/>
          <w:color w:val="1a1d2e"/>
          <w:sz w:val="28"/>
          <w:szCs w:val="28"/>
        </w:rPr>
        <w:t xml:space="preserve">Tab 3: Regression Metrics (8 Cards)</w:t>
      </w:r>
    </w:p>
    <w:p>
      <w:pPr>
        <w:spacing w:after="120"/>
      </w:pPr>
      <w:r>
        <w:rPr>
          <w:rFonts w:ascii="Arial" w:cs="Arial" w:eastAsia="Arial" w:hAnsi="Arial"/>
          <w:sz w:val="22"/>
          <w:szCs w:val="22"/>
        </w:rPr>
        <w:t xml:space="preserve">Essential metrics for evaluating continuous prediction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What It Teaches</w:t>
            </w:r>
          </w:p>
        </w:tc>
        <w:tc>
          <w:tcPr>
            <w:tcW w:type="dxa" w:w="26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MAE / RMSE / R²</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Regression fundamentals: average error, squared error, explained variance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R²&lt;0.5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error for right-skewed targets (prices, counts)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Huber Loss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of MSE + MAE: precise for small errors, robust to outliers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Error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Worst-case single prediction — critical for safety systems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&gt;3xMAE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Explained Variance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R² but doesn’t penalize constant bias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Gap&gt;0.1 = bias alert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Durbin-Watson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Autocorrelation in residuals — essential for time-series regression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DW&lt;1.5 or &gt;2.5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Cook’s Distance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influential data points hijacking the regression line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Cook’s D &gt; 4/n =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Train/Val/Test Gap</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Overfitting detector: gap between train and test performance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Gap&gt;15% = RED</w:t>
            </w:r>
          </w:p>
        </w:tc>
      </w:tr>
    </w:tbl>
    <w:p>
      <w:r>
        <w:br w:type="page"/>
      </w:r>
    </w:p>
    <w:p>
      <w:pPr>
        <w:pStyle w:val="Heading2"/>
        <w:spacing w:after="150" w:before="300"/>
      </w:pPr>
      <w:r>
        <w:rPr>
          <w:rFonts w:ascii="Arial" w:cs="Arial" w:eastAsia="Arial" w:hAnsi="Arial"/>
          <w:b/>
          <w:bCs/>
          <w:color w:val="1a1d2e"/>
          <w:sz w:val="28"/>
          <w:szCs w:val="28"/>
        </w:rPr>
        <w:t xml:space="preserve">Tab 4: Forecasting Metrics (5 Cards)</w:t>
      </w:r>
    </w:p>
    <w:p>
      <w:pPr>
        <w:spacing w:after="120"/>
      </w:pPr>
      <w:r>
        <w:rPr>
          <w:rFonts w:ascii="Arial" w:cs="Arial" w:eastAsia="Arial" w:hAnsi="Arial"/>
          <w:sz w:val="22"/>
          <w:szCs w:val="22"/>
        </w:rPr>
        <w:t xml:space="preserve">Specialized metrics for time-series forecasting model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What It Teaches</w:t>
            </w:r>
          </w:p>
        </w:tc>
        <w:tc>
          <w:tcPr>
            <w:tcW w:type="dxa" w:w="26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MASE &amp; MAD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 you smarter than repeating yesterday’s value?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MASE&gt;1 =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Theil’s U</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 of model RMSE to naive RMSE — simplest sanity check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U&gt;1 =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competition metric (M4/M5): normalized MASE + sMAPE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OWA&gt;1 amber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Tracking Signal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persistent forecast bias over rolling window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|TS|&gt;4 =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Score (CRPS)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Evaluates probabilistic forecasts: both accuracy and confidence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50" w:before="300"/>
      </w:pPr>
      <w:r>
        <w:rPr>
          <w:rFonts w:ascii="Arial" w:cs="Arial" w:eastAsia="Arial" w:hAnsi="Arial"/>
          <w:b/>
          <w:bCs/>
          <w:color w:val="1a1d2e"/>
          <w:sz w:val="28"/>
          <w:szCs w:val="28"/>
        </w:rPr>
        <w:t xml:space="preserve">Tab 5: Forecasting Preprocessing (14 Cards)</w:t>
      </w:r>
    </w:p>
    <w:p>
      <w:pPr>
        <w:spacing w:after="120"/>
      </w:pPr>
      <w:r>
        <w:rPr>
          <w:rFonts w:ascii="Arial" w:cs="Arial" w:eastAsia="Arial" w:hAnsi="Arial"/>
          <w:sz w:val="22"/>
          <w:szCs w:val="22"/>
        </w:rPr>
        <w:t xml:space="preserve">Diagnostic tests and transformations that MUST be performed before building any forecasting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Tool/Test</w:t>
            </w:r>
          </w:p>
        </w:tc>
        <w:tc>
          <w:tcPr>
            <w:tcW w:type="dxa" w:w="45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What It Teaches</w:t>
            </w:r>
          </w:p>
        </w:tc>
        <w:tc>
          <w:tcPr>
            <w:tcW w:type="dxa" w:w="26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Mean/Std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ONE: visual check for non-stationarity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std = transform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Box-Cox Transform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 stabilization for skewed/heteroscedastic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 controls compression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Breaks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regime changes (COVID, policy shifts)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 = two worlds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Mann-Kendall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Non-parametric monotonic trend detection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p&lt;0.05 = detrend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Canova-Hansen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 seasonal pattern stable or wandering?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vs differencing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OCSB</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Seasonal unit root test: does D=1 help?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Before/after comparison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optimal lag between cause (X) and effect (Y)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lag highlighted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Hurst Exponent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 personality: trending, mean-reverting, or random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H≈0.5 = unpredictable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Noise Test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there even a pattern to predict?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p&gt;0.05 = don’t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Seasonality Strength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movement is due to predictable seasons?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Fs&gt;0.6 = model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Strength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strong is the long-term direction?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Ft&gt;0.6 = include 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Values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 of gap-filling strategy on downstream models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strategy = fake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Dummies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regressors for holidays, COVID, promotions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spurious autocorr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Fourier Terms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Sine/cosine approximation of complex seasonal patterns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 controls detail level</w:t>
            </w:r>
          </w:p>
        </w:tc>
      </w:tr>
    </w:tbl>
    <w:p>
      <w:r>
        <w:br w:type="page"/>
      </w:r>
    </w:p>
    <w:p>
      <w:pPr>
        <w:pStyle w:val="Heading2"/>
        <w:spacing w:after="150" w:before="300"/>
      </w:pPr>
      <w:r>
        <w:rPr>
          <w:rFonts w:ascii="Arial" w:cs="Arial" w:eastAsia="Arial" w:hAnsi="Arial"/>
          <w:b/>
          <w:bCs/>
          <w:color w:val="1a1d2e"/>
          <w:sz w:val="28"/>
          <w:szCs w:val="28"/>
        </w:rPr>
        <w:t xml:space="preserve">Tab 6: Economic Factors (3 Cards)</w:t>
      </w:r>
    </w:p>
    <w:p>
      <w:pPr>
        <w:spacing w:after="120"/>
      </w:pPr>
      <w:r>
        <w:rPr>
          <w:rFonts w:ascii="Arial" w:cs="Arial" w:eastAsia="Arial" w:hAnsi="Arial"/>
          <w:sz w:val="22"/>
          <w:szCs w:val="22"/>
        </w:rPr>
        <w:t xml:space="preserve">A unique teaching angle: how macro and micro economic shifts cause model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450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What It Teaches</w:t>
            </w:r>
          </w:p>
        </w:tc>
        <w:tc>
          <w:tcPr>
            <w:tcW w:type="dxa" w:w="2660"/>
            <w:tcBorders>
              <w:top w:val="single" w:color="CCCCCC" w:sz="1"/>
              <w:left w:val="single" w:color="CCCCCC" w:sz="1"/>
              <w:bottom w:val="single" w:color="CCCCCC" w:sz="1"/>
              <w:right w:val="single" w:color="CCCCCC" w:sz="1"/>
            </w:tcBorders>
            <w:shd w:fill="1a1d2e"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 Factors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 interest rates, unemployment, inflation shift baseline default rates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Health&lt;25 = 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 Factors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entry, product changes, seasonal shifts cause feature drift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Drift&gt;CSI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Test Simulator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OOT metrics degrading simultaneously under economic shock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reds = REVIEW</w:t>
            </w:r>
          </w:p>
        </w:tc>
      </w:tr>
    </w:tbl>
    <w:p>
      <w:pPr>
        <w:pStyle w:val="Heading2"/>
        <w:spacing w:after="150" w:before="300"/>
      </w:pPr>
      <w:r>
        <w:rPr>
          <w:rFonts w:ascii="Arial" w:cs="Arial" w:eastAsia="Arial" w:hAnsi="Arial"/>
          <w:b/>
          <w:bCs/>
          <w:color w:val="1a1d2e"/>
          <w:sz w:val="28"/>
          <w:szCs w:val="28"/>
        </w:rPr>
        <w:t xml:space="preserve">Tab 7: Cheat Sheet</w:t>
      </w:r>
    </w:p>
    <w:p>
      <w:pPr>
        <w:spacing w:after="120"/>
      </w:pPr>
      <w:r>
        <w:rPr>
          <w:rFonts w:ascii="Arial" w:cs="Arial" w:eastAsia="Arial" w:hAnsi="Arial"/>
          <w:sz w:val="22"/>
          <w:szCs w:val="22"/>
        </w:rPr>
        <w:t xml:space="preserve">A searchable, printable quick-reference grid of all 50 metrics. Each entry shows the metric name, formula, ideal range, red flag threshold, when to use it, and common pitfalls. Organized into 5 groups: Classification Training, Classification OOT, Regression, Forecasting, and Economic Factors. Print-friendly with white background via @media print CSS.</w:t>
      </w:r>
    </w:p>
    <w:p>
      <w:r>
        <w:br w:type="page"/>
      </w:r>
    </w:p>
    <w:p>
      <w:pPr>
        <w:pStyle w:val="Heading1"/>
      </w:pPr>
      <w:r>
        <w:rPr>
          <w:rFonts w:ascii="Arial" w:cs="Arial" w:eastAsia="Arial" w:hAnsi="Arial"/>
        </w:rPr>
        <w:t xml:space="preserve">4. Who Is This For?</w:t>
      </w:r>
    </w:p>
    <w:p>
      <w:pPr>
        <w:pStyle w:val="ListParagraph"/>
        <w:numPr>
          <w:ilvl w:val="0"/>
          <w:numId w:val="4"/>
        </w:numPr>
        <w:spacing w:after="60"/>
      </w:pPr>
      <w:r>
        <w:rPr>
          <w:rFonts w:ascii="Arial" w:cs="Arial" w:eastAsia="Arial" w:hAnsi="Arial"/>
          <w:sz w:val="22"/>
          <w:szCs w:val="22"/>
        </w:rPr>
        <w:t xml:space="preserve">Junior data scientists learning model validation for the first time</w:t>
      </w:r>
    </w:p>
    <w:p>
      <w:pPr>
        <w:pStyle w:val="ListParagraph"/>
        <w:numPr>
          <w:ilvl w:val="0"/>
          <w:numId w:val="4"/>
        </w:numPr>
        <w:spacing w:after="60"/>
      </w:pPr>
      <w:r>
        <w:rPr>
          <w:rFonts w:ascii="Arial" w:cs="Arial" w:eastAsia="Arial" w:hAnsi="Arial"/>
          <w:sz w:val="22"/>
          <w:szCs w:val="22"/>
        </w:rPr>
        <w:t xml:space="preserve">Analytics teams onboarding new members who need a metrics reference</w:t>
      </w:r>
    </w:p>
    <w:p>
      <w:pPr>
        <w:pStyle w:val="ListParagraph"/>
        <w:numPr>
          <w:ilvl w:val="0"/>
          <w:numId w:val="4"/>
        </w:numPr>
        <w:spacing w:after="60"/>
      </w:pPr>
      <w:r>
        <w:rPr>
          <w:rFonts w:ascii="Arial" w:cs="Arial" w:eastAsia="Arial" w:hAnsi="Arial"/>
          <w:sz w:val="22"/>
          <w:szCs w:val="22"/>
        </w:rPr>
        <w:t xml:space="preserve">Trainers and educators teaching ML masterclass workshops</w:t>
      </w:r>
    </w:p>
    <w:p>
      <w:pPr>
        <w:pStyle w:val="ListParagraph"/>
        <w:numPr>
          <w:ilvl w:val="0"/>
          <w:numId w:val="4"/>
        </w:numPr>
        <w:spacing w:after="60"/>
      </w:pPr>
      <w:r>
        <w:rPr>
          <w:rFonts w:ascii="Arial" w:cs="Arial" w:eastAsia="Arial" w:hAnsi="Arial"/>
          <w:sz w:val="22"/>
          <w:szCs w:val="22"/>
        </w:rPr>
        <w:t xml:space="preserve">Credit risk teams needing an interactive PSI/CSI/WOE/IV training tool</w:t>
      </w:r>
    </w:p>
    <w:p>
      <w:pPr>
        <w:pStyle w:val="ListParagraph"/>
        <w:numPr>
          <w:ilvl w:val="0"/>
          <w:numId w:val="4"/>
        </w:numPr>
        <w:spacing w:after="60"/>
      </w:pPr>
      <w:r>
        <w:rPr>
          <w:rFonts w:ascii="Arial" w:cs="Arial" w:eastAsia="Arial" w:hAnsi="Arial"/>
          <w:sz w:val="22"/>
          <w:szCs w:val="22"/>
        </w:rPr>
        <w:t xml:space="preserve">Forecasting teams learning preprocessing diagnostics</w:t>
      </w:r>
    </w:p>
    <w:p>
      <w:pPr>
        <w:pStyle w:val="Heading1"/>
      </w:pPr>
      <w:r>
        <w:rPr>
          <w:rFonts w:ascii="Arial" w:cs="Arial" w:eastAsia="Arial" w:hAnsi="Arial"/>
        </w:rPr>
        <w:t xml:space="preserve">5. Technical Details</w:t>
      </w:r>
    </w:p>
    <w:p>
      <w:pPr>
        <w:pStyle w:val="ListParagraph"/>
        <w:numPr>
          <w:ilvl w:val="0"/>
          <w:numId w:val="5"/>
        </w:numPr>
        <w:spacing w:after="60"/>
      </w:pPr>
      <w:r>
        <w:rPr>
          <w:rFonts w:ascii="Arial" w:cs="Arial" w:eastAsia="Arial" w:hAnsi="Arial"/>
          <w:sz w:val="22"/>
          <w:szCs w:val="22"/>
        </w:rPr>
        <w:t xml:space="preserve">Single standalone HTML file — no server, no installation, no Python</w:t>
      </w:r>
    </w:p>
    <w:p>
      <w:pPr>
        <w:pStyle w:val="ListParagraph"/>
        <w:numPr>
          <w:ilvl w:val="0"/>
          <w:numId w:val="5"/>
        </w:numPr>
        <w:spacing w:after="60"/>
      </w:pPr>
      <w:r>
        <w:rPr>
          <w:rFonts w:ascii="Arial" w:cs="Arial" w:eastAsia="Arial" w:hAnsi="Arial"/>
          <w:sz w:val="22"/>
          <w:szCs w:val="22"/>
        </w:rPr>
        <w:t xml:space="preserve">Dark theme with professional data science aesthetic</w:t>
      </w:r>
    </w:p>
    <w:p>
      <w:pPr>
        <w:pStyle w:val="ListParagraph"/>
        <w:numPr>
          <w:ilvl w:val="0"/>
          <w:numId w:val="5"/>
        </w:numPr>
        <w:spacing w:after="60"/>
      </w:pPr>
      <w:r>
        <w:rPr>
          <w:rFonts w:ascii="Arial" w:cs="Arial" w:eastAsia="Arial" w:hAnsi="Arial"/>
          <w:sz w:val="22"/>
          <w:szCs w:val="22"/>
        </w:rPr>
        <w:t xml:space="preserve">HTMX (CDN) for tab switching with smooth transitions</w:t>
      </w:r>
    </w:p>
    <w:p>
      <w:pPr>
        <w:pStyle w:val="ListParagraph"/>
        <w:numPr>
          <w:ilvl w:val="0"/>
          <w:numId w:val="5"/>
        </w:numPr>
        <w:spacing w:after="60"/>
      </w:pPr>
      <w:r>
        <w:rPr>
          <w:rFonts w:ascii="Arial" w:cs="Arial" w:eastAsia="Arial" w:hAnsi="Arial"/>
          <w:sz w:val="22"/>
          <w:szCs w:val="22"/>
        </w:rPr>
        <w:t xml:space="preserve">MathJax 3 (CDN) for beautiful formula rendering</w:t>
      </w:r>
    </w:p>
    <w:p>
      <w:pPr>
        <w:pStyle w:val="ListParagraph"/>
        <w:numPr>
          <w:ilvl w:val="0"/>
          <w:numId w:val="5"/>
        </w:numPr>
        <w:spacing w:after="60"/>
      </w:pPr>
      <w:r>
        <w:rPr>
          <w:rFonts w:ascii="Arial" w:cs="Arial" w:eastAsia="Arial" w:hAnsi="Arial"/>
          <w:sz w:val="22"/>
          <w:szCs w:val="22"/>
        </w:rPr>
        <w:t xml:space="preserve">Vanilla JavaScript for all calculations and Canvas rendering</w:t>
      </w:r>
    </w:p>
    <w:p>
      <w:pPr>
        <w:pStyle w:val="ListParagraph"/>
        <w:numPr>
          <w:ilvl w:val="0"/>
          <w:numId w:val="5"/>
        </w:numPr>
        <w:spacing w:after="60"/>
      </w:pPr>
      <w:r>
        <w:rPr>
          <w:rFonts w:ascii="Arial" w:cs="Arial" w:eastAsia="Arial" w:hAnsi="Arial"/>
          <w:sz w:val="22"/>
          <w:szCs w:val="22"/>
        </w:rPr>
        <w:t xml:space="preserve">Seeded PRNG for reproducible classroom data (every student sees the same numbers)</w:t>
      </w:r>
    </w:p>
    <w:p>
      <w:pPr>
        <w:pStyle w:val="ListParagraph"/>
        <w:numPr>
          <w:ilvl w:val="0"/>
          <w:numId w:val="5"/>
        </w:numPr>
        <w:spacing w:after="60"/>
      </w:pPr>
      <w:r>
        <w:rPr>
          <w:rFonts w:ascii="Arial" w:cs="Arial" w:eastAsia="Arial" w:hAnsi="Arial"/>
          <w:sz w:val="22"/>
          <w:szCs w:val="22"/>
        </w:rPr>
        <w:t xml:space="preserve">HiDPI canvas scaling for crisp visuals on retina displays</w:t>
      </w:r>
    </w:p>
    <w:p>
      <w:pPr>
        <w:pStyle w:val="ListParagraph"/>
        <w:numPr>
          <w:ilvl w:val="0"/>
          <w:numId w:val="5"/>
        </w:numPr>
        <w:spacing w:after="60"/>
      </w:pPr>
      <w:r>
        <w:rPr>
          <w:rFonts w:ascii="Arial" w:cs="Arial" w:eastAsia="Arial" w:hAnsi="Arial"/>
          <w:sz w:val="22"/>
          <w:szCs w:val="22"/>
        </w:rPr>
        <w:t xml:space="preserve">Responsive layout: 2 cards per row on desktop, 1 on tablet</w:t>
      </w:r>
    </w:p>
    <w:p>
      <w:pPr>
        <w:pStyle w:val="Heading1"/>
      </w:pPr>
      <w:r>
        <w:rPr>
          <w:rFonts w:ascii="Arial" w:cs="Arial" w:eastAsia="Arial" w:hAnsi="Arial"/>
        </w:rPr>
        <w:t xml:space="preserve">6. How to Use</w:t>
      </w:r>
    </w:p>
    <w:p>
      <w:pPr>
        <w:pStyle w:val="ListParagraph"/>
        <w:numPr>
          <w:ilvl w:val="0"/>
          <w:numId w:val="6"/>
        </w:numPr>
        <w:spacing w:after="80"/>
      </w:pPr>
      <w:r>
        <w:rPr>
          <w:rFonts w:ascii="Arial" w:cs="Arial" w:eastAsia="Arial" w:hAnsi="Arial"/>
          <w:sz w:val="22"/>
          <w:szCs w:val="22"/>
        </w:rPr>
        <w:t xml:space="preserve">Double-click ml_metrics_masterclass.html to open in any browser</w:t>
      </w:r>
    </w:p>
    <w:p>
      <w:pPr>
        <w:pStyle w:val="ListParagraph"/>
        <w:numPr>
          <w:ilvl w:val="0"/>
          <w:numId w:val="6"/>
        </w:numPr>
        <w:spacing w:after="80"/>
      </w:pPr>
      <w:r>
        <w:rPr>
          <w:rFonts w:ascii="Arial" w:cs="Arial" w:eastAsia="Arial" w:hAnsi="Arial"/>
          <w:sz w:val="22"/>
          <w:szCs w:val="22"/>
        </w:rPr>
        <w:t xml:space="preserve">Navigate between the 7 tabs using the top navigation bar</w:t>
      </w:r>
    </w:p>
    <w:p>
      <w:pPr>
        <w:pStyle w:val="ListParagraph"/>
        <w:numPr>
          <w:ilvl w:val="0"/>
          <w:numId w:val="6"/>
        </w:numPr>
        <w:spacing w:after="80"/>
      </w:pPr>
      <w:r>
        <w:rPr>
          <w:rFonts w:ascii="Arial" w:cs="Arial" w:eastAsia="Arial" w:hAnsi="Arial"/>
          <w:sz w:val="22"/>
          <w:szCs w:val="22"/>
        </w:rPr>
        <w:t xml:space="preserve">Drag any slider to see metrics and visualizations update in real-time</w:t>
      </w:r>
    </w:p>
    <w:p>
      <w:pPr>
        <w:pStyle w:val="ListParagraph"/>
        <w:numPr>
          <w:ilvl w:val="0"/>
          <w:numId w:val="6"/>
        </w:numPr>
        <w:spacing w:after="80"/>
      </w:pPr>
      <w:r>
        <w:rPr>
          <w:rFonts w:ascii="Arial" w:cs="Arial" w:eastAsia="Arial" w:hAnsi="Arial"/>
          <w:sz w:val="22"/>
          <w:szCs w:val="22"/>
        </w:rPr>
        <w:t xml:space="preserve">Watch for amber/red alert toasts when metrics breach thresholds</w:t>
      </w:r>
    </w:p>
    <w:p>
      <w:pPr>
        <w:pStyle w:val="ListParagraph"/>
        <w:numPr>
          <w:ilvl w:val="0"/>
          <w:numId w:val="6"/>
        </w:numPr>
        <w:spacing w:after="80"/>
      </w:pPr>
      <w:r>
        <w:rPr>
          <w:rFonts w:ascii="Arial" w:cs="Arial" w:eastAsia="Arial" w:hAnsi="Arial"/>
          <w:sz w:val="22"/>
          <w:szCs w:val="22"/>
        </w:rPr>
        <w:t xml:space="preserve">Use Tab 7 (Cheat Sheet) as a printable quick-reference for all metrics</w:t>
      </w:r>
    </w:p>
    <w:p>
      <w:pPr>
        <w:pStyle w:val="Heading1"/>
      </w:pPr>
      <w:r>
        <w:rPr>
          <w:rFonts w:ascii="Arial" w:cs="Arial" w:eastAsia="Arial" w:hAnsi="Arial"/>
        </w:rPr>
        <w:t xml:space="preserve">7. Repository</w:t>
      </w:r>
    </w:p>
    <w:p>
      <w:pPr>
        <w:spacing w:after="120"/>
      </w:pPr>
      <w:r>
        <w:rPr>
          <w:rFonts w:ascii="Arial" w:cs="Arial" w:eastAsia="Arial" w:hAnsi="Arial"/>
          <w:sz w:val="22"/>
          <w:szCs w:val="22"/>
        </w:rPr>
        <w:t xml:space="preserve">GitHub: https://github.com/mahi80/samplezerotohero</w:t>
      </w:r>
    </w:p>
    <w:p>
      <w:pPr>
        <w:spacing w:after="120"/>
      </w:pPr>
      <w:r>
        <w:rPr>
          <w:rFonts w:ascii="Arial" w:cs="Arial" w:eastAsia="Arial" w:hAnsi="Arial"/>
          <w:sz w:val="22"/>
          <w:szCs w:val="22"/>
        </w:rPr>
        <w:t xml:space="preserve">Location: week1/ml_metrics_masterclass.html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pPr>
    <w:r>
      <w:rPr>
        <w:rFonts w:ascii="Arial" w:cs="Arial" w:eastAsia="Arial" w:hAnsi="Arial"/>
        <w:color w:val="999999"/>
        <w:sz w:val="18"/>
        <w:szCs w:val="18"/>
      </w:rPr>
      <w:t xml:space="preserve">ML Metrics Masterclass — Tool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d2e"/>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2026-03-24T03:05:12.630Z</dcterms:created>
  <dcterms:modified xsi:type="dcterms:W3CDTF">2026-03-24T03:05:12.630Z</dcterms:modified>
</cp:coreProperties>
</file>

<file path=docProps/custom.xml><?xml version="1.0" encoding="utf-8"?>
<Properties xmlns="http://schemas.openxmlformats.org/officeDocument/2006/custom-properties" xmlns:vt="http://schemas.openxmlformats.org/officeDocument/2006/docPropsVTypes"/>
</file>