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F019FC">
      <w:pPr>
        <w:rPr>
          <w:rFonts w:hint="default" w:ascii="Segoe UI Historic" w:hAnsi="Segoe UI Historic" w:eastAsia="SimSun" w:cs="Segoe UI Historic"/>
          <w:b/>
          <w:bCs/>
          <w:sz w:val="36"/>
          <w:szCs w:val="36"/>
          <w:u w:val="single"/>
        </w:rPr>
      </w:pPr>
      <w:bookmarkStart w:id="0" w:name="_GoBack"/>
      <w:bookmarkEnd w:id="0"/>
      <w:r>
        <w:rPr>
          <w:rFonts w:hint="default" w:ascii="Segoe UI Historic" w:hAnsi="Segoe UI Historic" w:eastAsia="SimSun" w:cs="Segoe UI Historic"/>
          <w:b/>
          <w:bCs/>
          <w:sz w:val="36"/>
          <w:szCs w:val="36"/>
          <w:u w:val="single"/>
        </w:rPr>
        <w:t>Project Report: Automated Glycemic Classification and Analysis</w:t>
      </w:r>
    </w:p>
    <w:p w14:paraId="14947988">
      <w:pPr>
        <w:rPr>
          <w:rFonts w:ascii="SimSun" w:hAnsi="SimSun" w:eastAsia="SimSun" w:cs="SimSun"/>
          <w:b/>
          <w:bCs/>
          <w:sz w:val="24"/>
          <w:szCs w:val="24"/>
          <w:u w:val="single"/>
        </w:rPr>
      </w:pPr>
    </w:p>
    <w:p w14:paraId="00B0706B">
      <w:pPr>
        <w:numPr>
          <w:ilvl w:val="0"/>
          <w:numId w:val="1"/>
        </w:numPr>
        <w:rPr>
          <w:rFonts w:hint="default" w:ascii="SimSun" w:hAnsi="SimSun" w:eastAsia="SimSun" w:cs="SimSun"/>
          <w:sz w:val="28"/>
          <w:szCs w:val="28"/>
          <w:lang w:val="en-US"/>
        </w:rPr>
      </w:pPr>
      <w:r>
        <w:rPr>
          <w:rFonts w:hint="eastAsia" w:ascii="Microsoft YaHei" w:hAnsi="Microsoft YaHei" w:eastAsia="Microsoft YaHei" w:cs="Microsoft YaHei"/>
          <w:b/>
          <w:bCs/>
          <w:sz w:val="28"/>
          <w:szCs w:val="28"/>
          <w:u w:val="single"/>
          <w:lang w:val="en-US"/>
        </w:rPr>
        <w:t>Problem Statement</w:t>
      </w:r>
      <w:r>
        <w:rPr>
          <w:rFonts w:hint="default" w:ascii="SimSun" w:hAnsi="SimSun" w:eastAsia="SimSun" w:cs="SimSun"/>
          <w:sz w:val="28"/>
          <w:szCs w:val="28"/>
          <w:lang w:val="en-US"/>
        </w:rPr>
        <w:t xml:space="preserve"> </w:t>
      </w:r>
    </w:p>
    <w:p w14:paraId="7A66C07B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C307FD6">
      <w:pPr>
        <w:numPr>
          <w:ilvl w:val="0"/>
          <w:numId w:val="0"/>
        </w:num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Manual interpretation of long-term blood glucose logs is labor-intensive and prone to human oversight. While a single reading provides a snapshot, clinical diagnosis often requires identifying persistent patterns across multiple daily markers—specifically "Before Meal" (fasting/pre-prandial) and "2h After Meal" (post-prandial) levels.</w:t>
      </w:r>
    </w:p>
    <w:p w14:paraId="56D4EFE7">
      <w:pPr>
        <w:numPr>
          <w:ilvl w:val="0"/>
          <w:numId w:val="0"/>
        </w:numPr>
        <w:rPr>
          <w:rFonts w:hint="default" w:ascii="Calibri" w:hAnsi="Calibri" w:eastAsia="SimSun" w:cs="Calibri"/>
          <w:sz w:val="28"/>
          <w:szCs w:val="28"/>
        </w:rPr>
      </w:pPr>
    </w:p>
    <w:p w14:paraId="788B85CB">
      <w:pPr>
        <w:numPr>
          <w:ilvl w:val="0"/>
          <w:numId w:val="0"/>
        </w:num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 xml:space="preserve">The goal of this project was to develop a backend script that processes raw CSV data to identify whether a patient consistently meets the criteria for </w:t>
      </w:r>
      <w:r>
        <w:rPr>
          <w:rFonts w:hint="default" w:ascii="Calibri" w:hAnsi="Calibri" w:eastAsia="SimSun" w:cs="Calibri"/>
          <w:b/>
          <w:bCs/>
          <w:sz w:val="28"/>
          <w:szCs w:val="28"/>
        </w:rPr>
        <w:t>Normal</w:t>
      </w:r>
      <w:r>
        <w:rPr>
          <w:rFonts w:hint="default" w:ascii="Calibri" w:hAnsi="Calibri" w:eastAsia="SimSun" w:cs="Calibri"/>
          <w:sz w:val="28"/>
          <w:szCs w:val="28"/>
        </w:rPr>
        <w:t xml:space="preserve">, </w:t>
      </w:r>
      <w:r>
        <w:rPr>
          <w:rFonts w:hint="default" w:ascii="Calibri" w:hAnsi="Calibri" w:eastAsia="SimSun" w:cs="Calibri"/>
          <w:b/>
          <w:bCs/>
          <w:sz w:val="28"/>
          <w:szCs w:val="28"/>
        </w:rPr>
        <w:t>Prediabetic</w:t>
      </w:r>
      <w:r>
        <w:rPr>
          <w:rFonts w:hint="default" w:ascii="Calibri" w:hAnsi="Calibri" w:eastAsia="SimSun" w:cs="Calibri"/>
          <w:sz w:val="28"/>
          <w:szCs w:val="28"/>
        </w:rPr>
        <w:t xml:space="preserve">, or </w:t>
      </w:r>
      <w:r>
        <w:rPr>
          <w:rFonts w:hint="default" w:ascii="Calibri" w:hAnsi="Calibri" w:eastAsia="SimSun" w:cs="Calibri"/>
          <w:b/>
          <w:bCs/>
          <w:sz w:val="28"/>
          <w:szCs w:val="28"/>
        </w:rPr>
        <w:t>Diabetic</w:t>
      </w:r>
      <w:r>
        <w:rPr>
          <w:rFonts w:hint="default" w:ascii="Calibri" w:hAnsi="Calibri" w:eastAsia="SimSun" w:cs="Calibri"/>
          <w:sz w:val="28"/>
          <w:szCs w:val="28"/>
        </w:rPr>
        <w:t xml:space="preserve"> states based on standardized medical thresholds.</w:t>
      </w:r>
    </w:p>
    <w:p w14:paraId="34B42FF4">
      <w:pPr>
        <w:numPr>
          <w:ilvl w:val="0"/>
          <w:numId w:val="0"/>
        </w:numPr>
        <w:rPr>
          <w:rFonts w:hint="default" w:ascii="Calibri" w:hAnsi="Calibri" w:eastAsia="SimSun" w:cs="Calibri"/>
          <w:sz w:val="28"/>
          <w:szCs w:val="28"/>
        </w:rPr>
      </w:pPr>
    </w:p>
    <w:p w14:paraId="14A56774">
      <w:pPr>
        <w:numPr>
          <w:ilvl w:val="0"/>
          <w:numId w:val="0"/>
        </w:numPr>
        <w:rPr>
          <w:rFonts w:hint="default" w:ascii="Calibri" w:hAnsi="Calibri" w:eastAsia="SimSun" w:cs="Calibri"/>
          <w:sz w:val="28"/>
          <w:szCs w:val="28"/>
        </w:rPr>
      </w:pPr>
    </w:p>
    <w:p w14:paraId="21476CC9">
      <w:pPr>
        <w:numPr>
          <w:ilvl w:val="0"/>
          <w:numId w:val="0"/>
        </w:numPr>
        <w:rPr>
          <w:rFonts w:hint="default" w:ascii="Calibri" w:hAnsi="Calibri" w:eastAsia="SimSun" w:cs="Calibri"/>
          <w:sz w:val="28"/>
          <w:szCs w:val="28"/>
        </w:rPr>
      </w:pPr>
    </w:p>
    <w:p w14:paraId="426A6E05">
      <w:pPr>
        <w:numPr>
          <w:ilvl w:val="0"/>
          <w:numId w:val="0"/>
        </w:numPr>
        <w:rPr>
          <w:rFonts w:hint="default" w:ascii="Calibri" w:hAnsi="Calibri" w:eastAsia="SimSun" w:cs="Calibri"/>
          <w:sz w:val="28"/>
          <w:szCs w:val="28"/>
        </w:rPr>
      </w:pPr>
    </w:p>
    <w:p w14:paraId="5FF76995">
      <w:pPr>
        <w:numPr>
          <w:ilvl w:val="0"/>
          <w:numId w:val="0"/>
        </w:numPr>
        <w:rPr>
          <w:rFonts w:hint="default" w:ascii="Calibri" w:hAnsi="Calibri" w:eastAsia="SimSun" w:cs="Calibri"/>
          <w:sz w:val="28"/>
          <w:szCs w:val="28"/>
        </w:rPr>
      </w:pPr>
    </w:p>
    <w:p w14:paraId="6ECAAE42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08DB0D39">
      <w:pPr>
        <w:numPr>
          <w:ilvl w:val="0"/>
          <w:numId w:val="1"/>
        </w:numPr>
        <w:ind w:left="0" w:leftChars="0" w:firstLine="0" w:firstLine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eastAsia" w:ascii="Microsoft YaHei" w:hAnsi="Microsoft YaHei" w:eastAsia="Microsoft YaHei" w:cs="Microsoft YaHei"/>
          <w:b/>
          <w:bCs/>
          <w:sz w:val="28"/>
          <w:szCs w:val="28"/>
          <w:u w:val="single"/>
          <w:lang w:val="en-US"/>
        </w:rPr>
        <w:t>Significance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</w:p>
    <w:p w14:paraId="7329D20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Diabetes and prediabetes are chronic conditions that require early detection to prevent long-term complications. By automating the screening process:</w:t>
      </w:r>
    </w:p>
    <w:p w14:paraId="24FDF635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ymbol" w:cs="Calibri"/>
          <w:sz w:val="24"/>
          <w:szCs w:val="24"/>
        </w:rPr>
        <w:t>·</w:t>
      </w:r>
      <w:r>
        <w:rPr>
          <w:rFonts w:hint="default" w:ascii="Calibri" w:hAnsi="Calibri" w:eastAsia="SimSun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b/>
          <w:bCs/>
          <w:sz w:val="24"/>
          <w:szCs w:val="24"/>
        </w:rPr>
        <w:t>Efficiency:</w:t>
      </w:r>
      <w:r>
        <w:rPr>
          <w:rFonts w:hint="default" w:ascii="Calibri" w:hAnsi="Calibri" w:cs="Calibri"/>
          <w:sz w:val="24"/>
          <w:szCs w:val="24"/>
        </w:rPr>
        <w:t xml:space="preserve"> Large datasets (spanning months of daily logs) can be analyzed in milliseconds.</w:t>
      </w:r>
    </w:p>
    <w:p w14:paraId="75E9A7D6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ymbol" w:cs="Calibri"/>
          <w:sz w:val="24"/>
          <w:szCs w:val="24"/>
        </w:rPr>
        <w:t>·</w:t>
      </w:r>
      <w:r>
        <w:rPr>
          <w:rFonts w:hint="default" w:ascii="Calibri" w:hAnsi="Calibri" w:eastAsia="SimSun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b/>
          <w:bCs/>
          <w:sz w:val="24"/>
          <w:szCs w:val="24"/>
        </w:rPr>
        <w:t>Consistency:</w:t>
      </w:r>
      <w:r>
        <w:rPr>
          <w:rFonts w:hint="default" w:ascii="Calibri" w:hAnsi="Calibri" w:cs="Calibri"/>
          <w:sz w:val="24"/>
          <w:szCs w:val="24"/>
        </w:rPr>
        <w:t xml:space="preserve"> The script applies the same clinical thresholds across all data points, eliminating subjective bias.</w:t>
      </w:r>
    </w:p>
    <w:p w14:paraId="0BD17B99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ymbol" w:cs="Calibri"/>
          <w:sz w:val="24"/>
          <w:szCs w:val="24"/>
        </w:rPr>
        <w:t>·</w:t>
      </w:r>
      <w:r>
        <w:rPr>
          <w:rFonts w:hint="default" w:ascii="Calibri" w:hAnsi="Calibri" w:eastAsia="SimSun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b/>
          <w:bCs/>
          <w:sz w:val="24"/>
          <w:szCs w:val="24"/>
        </w:rPr>
        <w:t>Scalability:</w:t>
      </w:r>
      <w:r>
        <w:rPr>
          <w:rFonts w:hint="default" w:ascii="Calibri" w:hAnsi="Calibri" w:cs="Calibri"/>
          <w:sz w:val="24"/>
          <w:szCs w:val="24"/>
        </w:rPr>
        <w:t xml:space="preserve"> The system can be adapted to include other hemogram markers like HbA1c or ABG (Arterial Blood Gas) values for a more holistic patient profile.</w:t>
      </w:r>
    </w:p>
    <w:p w14:paraId="74960789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</w:p>
    <w:p w14:paraId="6BD013A3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</w:p>
    <w:p w14:paraId="5EC5257E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</w:p>
    <w:p w14:paraId="7B8173BF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</w:p>
    <w:p w14:paraId="48BC570C">
      <w:pPr>
        <w:numPr>
          <w:ilvl w:val="0"/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D7F261F">
      <w:pPr>
        <w:numPr>
          <w:ilvl w:val="0"/>
          <w:numId w:val="1"/>
        </w:numPr>
        <w:ind w:left="0" w:leftChars="0" w:firstLine="0" w:firstLineChars="0"/>
        <w:rPr>
          <w:rFonts w:hint="eastAsia" w:ascii="Microsoft YaHei" w:hAnsi="Microsoft YaHei" w:eastAsia="Microsoft YaHei" w:cs="Microsoft YaHei"/>
          <w:b/>
          <w:bCs/>
          <w:sz w:val="28"/>
          <w:szCs w:val="28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b/>
          <w:bCs/>
          <w:sz w:val="28"/>
          <w:szCs w:val="28"/>
          <w:u w:val="single"/>
          <w:lang w:val="en-US"/>
        </w:rPr>
        <w:t xml:space="preserve">Methodology and Approach </w:t>
      </w:r>
    </w:p>
    <w:p w14:paraId="6C9626D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The solution was built using the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Pandas</w:t>
      </w:r>
      <w:r>
        <w:rPr>
          <w:rFonts w:hint="default" w:ascii="Calibri" w:hAnsi="Calibri" w:eastAsia="SimSun" w:cs="Calibri"/>
          <w:sz w:val="24"/>
          <w:szCs w:val="24"/>
        </w:rPr>
        <w:t xml:space="preserve"> and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NumPy</w:t>
      </w:r>
      <w:r>
        <w:rPr>
          <w:rFonts w:hint="default" w:ascii="Calibri" w:hAnsi="Calibri" w:eastAsia="SimSun" w:cs="Calibri"/>
          <w:sz w:val="24"/>
          <w:szCs w:val="24"/>
        </w:rPr>
        <w:t xml:space="preserve"> libraries to handle data manipulation and conditional logic efficiently.</w:t>
      </w:r>
    </w:p>
    <w:p w14:paraId="648B9266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ymbol" w:cs="Calibri"/>
          <w:sz w:val="24"/>
          <w:szCs w:val="24"/>
        </w:rPr>
        <w:t>·</w:t>
      </w:r>
      <w:r>
        <w:rPr>
          <w:rFonts w:hint="default" w:ascii="Calibri" w:hAnsi="Calibri" w:eastAsia="SimSun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b/>
          <w:bCs/>
          <w:sz w:val="24"/>
          <w:szCs w:val="24"/>
        </w:rPr>
        <w:t>Data Preprocessing:</w:t>
      </w:r>
      <w:r>
        <w:rPr>
          <w:rFonts w:hint="default" w:ascii="Calibri" w:hAnsi="Calibri" w:cs="Calibri"/>
          <w:sz w:val="24"/>
          <w:szCs w:val="24"/>
        </w:rPr>
        <w:t xml:space="preserve"> The raw dataset contained non-numeric columns (</w:t>
      </w:r>
      <w:r>
        <w:rPr>
          <w:rStyle w:val="4"/>
          <w:rFonts w:hint="default" w:ascii="Calibri" w:hAnsi="Calibri" w:cs="Calibri"/>
          <w:sz w:val="24"/>
          <w:szCs w:val="24"/>
        </w:rPr>
        <w:t>Date</w:t>
      </w:r>
      <w:r>
        <w:rPr>
          <w:rFonts w:hint="default" w:ascii="Calibri" w:hAnsi="Calibri" w:cs="Calibri"/>
          <w:sz w:val="24"/>
          <w:szCs w:val="24"/>
        </w:rPr>
        <w:t xml:space="preserve">, </w:t>
      </w:r>
      <w:r>
        <w:rPr>
          <w:rStyle w:val="4"/>
          <w:rFonts w:hint="default" w:ascii="Calibri" w:hAnsi="Calibri" w:cs="Calibri"/>
          <w:sz w:val="24"/>
          <w:szCs w:val="24"/>
        </w:rPr>
        <w:t>Comment</w:t>
      </w:r>
      <w:r>
        <w:rPr>
          <w:rFonts w:hint="default" w:ascii="Calibri" w:hAnsi="Calibri" w:cs="Calibri"/>
          <w:sz w:val="24"/>
          <w:szCs w:val="24"/>
        </w:rPr>
        <w:t xml:space="preserve">, </w:t>
      </w:r>
      <w:r>
        <w:rPr>
          <w:rStyle w:val="4"/>
          <w:rFonts w:hint="default" w:ascii="Calibri" w:hAnsi="Calibri" w:cs="Calibri"/>
          <w:sz w:val="24"/>
          <w:szCs w:val="24"/>
        </w:rPr>
        <w:t>Extra</w:t>
      </w:r>
      <w:r>
        <w:rPr>
          <w:rFonts w:hint="default" w:ascii="Calibri" w:hAnsi="Calibri" w:cs="Calibri"/>
          <w:sz w:val="24"/>
          <w:szCs w:val="24"/>
        </w:rPr>
        <w:t xml:space="preserve">) that were dropped to focus on glucose values. Missing values (NaNs) were handled by filling them with </w:t>
      </w:r>
      <w:r>
        <w:rPr>
          <w:rStyle w:val="4"/>
          <w:rFonts w:hint="default" w:ascii="Calibri" w:hAnsi="Calibri" w:cs="Calibri"/>
          <w:sz w:val="24"/>
          <w:szCs w:val="24"/>
        </w:rPr>
        <w:t>0</w:t>
      </w:r>
      <w:r>
        <w:rPr>
          <w:rFonts w:hint="default" w:ascii="Calibri" w:hAnsi="Calibri" w:cs="Calibri"/>
          <w:sz w:val="24"/>
          <w:szCs w:val="24"/>
        </w:rPr>
        <w:t xml:space="preserve"> to ensure they did not trigger "True" conditions for high glucose.</w:t>
      </w:r>
    </w:p>
    <w:p w14:paraId="37D5697B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</w:t>
      </w:r>
      <w:r>
        <w:rPr>
          <w:rFonts w:hint="default" w:ascii="Calibri" w:hAnsi="Calibri" w:eastAsia="Symbol" w:cs="Calibri"/>
          <w:sz w:val="24"/>
          <w:szCs w:val="24"/>
        </w:rPr>
        <w:t>·</w:t>
      </w:r>
      <w:r>
        <w:rPr>
          <w:rFonts w:hint="default" w:ascii="Calibri" w:hAnsi="Calibri" w:eastAsia="SimSun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b/>
          <w:bCs/>
          <w:sz w:val="24"/>
          <w:szCs w:val="24"/>
        </w:rPr>
        <w:t>Threshold Identification:</w:t>
      </w:r>
      <w:r>
        <w:rPr>
          <w:rFonts w:hint="default" w:ascii="Calibri" w:hAnsi="Calibri" w:cs="Calibri"/>
          <w:sz w:val="24"/>
          <w:szCs w:val="24"/>
        </w:rPr>
        <w:t xml:space="preserve"> * </w:t>
      </w:r>
      <w:r>
        <w:rPr>
          <w:rFonts w:hint="default" w:ascii="Calibri" w:hAnsi="Calibri" w:cs="Calibri"/>
          <w:b/>
          <w:bCs/>
          <w:sz w:val="24"/>
          <w:szCs w:val="24"/>
        </w:rPr>
        <w:t>Diabetic:</w:t>
      </w:r>
      <w:r>
        <w:rPr>
          <w:rFonts w:hint="default" w:ascii="Calibri" w:hAnsi="Calibri" w:cs="Calibri"/>
          <w:sz w:val="24"/>
          <w:szCs w:val="24"/>
        </w:rPr>
        <w:t xml:space="preserve"> Pre-prandial &gt; 126 mg/dL or Post-prandial &gt; 200 mg/dL.</w:t>
      </w:r>
    </w:p>
    <w:p w14:paraId="1F2F8C49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b/>
          <w:bCs/>
          <w:sz w:val="24"/>
          <w:szCs w:val="24"/>
        </w:rPr>
        <w:t>Prediabetic:</w:t>
      </w:r>
      <w:r>
        <w:rPr>
          <w:rFonts w:hint="default" w:ascii="Calibri" w:hAnsi="Calibri" w:cs="Calibri"/>
          <w:sz w:val="24"/>
          <w:szCs w:val="24"/>
        </w:rPr>
        <w:t xml:space="preserve"> Pre-prandial &gt; 99 mg/dL or Post-prandial &gt; 140 mg/dL.</w:t>
      </w:r>
    </w:p>
    <w:p w14:paraId="3DC1C2A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Calibri" w:hAnsi="Calibri" w:cs="Calibri"/>
          <w:sz w:val="24"/>
          <w:szCs w:val="24"/>
        </w:rPr>
      </w:pPr>
    </w:p>
    <w:p w14:paraId="14A4A6DF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ymbol" w:cs="Calibri"/>
          <w:sz w:val="24"/>
          <w:szCs w:val="24"/>
        </w:rPr>
        <w:t>·</w:t>
      </w:r>
      <w:r>
        <w:rPr>
          <w:rFonts w:hint="default" w:ascii="Calibri" w:hAnsi="Calibri" w:eastAsia="SimSun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b/>
          <w:bCs/>
          <w:sz w:val="24"/>
          <w:szCs w:val="24"/>
        </w:rPr>
        <w:t>Vectorized Logic:</w:t>
      </w:r>
      <w:r>
        <w:rPr>
          <w:rFonts w:hint="default" w:ascii="Calibri" w:hAnsi="Calibri" w:cs="Calibri"/>
          <w:sz w:val="24"/>
          <w:szCs w:val="24"/>
        </w:rPr>
        <w:t xml:space="preserve"> Instead of using slow </w:t>
      </w:r>
      <w:r>
        <w:rPr>
          <w:rStyle w:val="4"/>
          <w:rFonts w:hint="default" w:ascii="Calibri" w:hAnsi="Calibri" w:cs="Calibri"/>
          <w:sz w:val="24"/>
          <w:szCs w:val="24"/>
        </w:rPr>
        <w:t>for</w:t>
      </w:r>
      <w:r>
        <w:rPr>
          <w:rFonts w:hint="default" w:ascii="Calibri" w:hAnsi="Calibri" w:cs="Calibri"/>
          <w:sz w:val="24"/>
          <w:szCs w:val="24"/>
        </w:rPr>
        <w:t xml:space="preserve"> loops, I used </w:t>
      </w:r>
      <w:r>
        <w:rPr>
          <w:rStyle w:val="4"/>
          <w:rFonts w:hint="default" w:ascii="Calibri" w:hAnsi="Calibri" w:cs="Calibri"/>
          <w:sz w:val="24"/>
          <w:szCs w:val="24"/>
        </w:rPr>
        <w:t>data.columns.str.contains()</w:t>
      </w:r>
      <w:r>
        <w:rPr>
          <w:rFonts w:hint="default" w:ascii="Calibri" w:hAnsi="Calibri" w:cs="Calibri"/>
          <w:sz w:val="24"/>
          <w:szCs w:val="24"/>
        </w:rPr>
        <w:t xml:space="preserve"> to dynamically group "Before" and "After" readings and </w:t>
      </w:r>
      <w:r>
        <w:rPr>
          <w:rStyle w:val="4"/>
          <w:rFonts w:hint="default" w:ascii="Calibri" w:hAnsi="Calibri" w:cs="Calibri"/>
          <w:sz w:val="24"/>
          <w:szCs w:val="24"/>
        </w:rPr>
        <w:t>np.select()</w:t>
      </w:r>
      <w:r>
        <w:rPr>
          <w:rFonts w:hint="default" w:ascii="Calibri" w:hAnsi="Calibri" w:cs="Calibri"/>
          <w:sz w:val="24"/>
          <w:szCs w:val="24"/>
        </w:rPr>
        <w:t xml:space="preserve"> to assign statuses to the entire dataframe at once.</w:t>
      </w:r>
    </w:p>
    <w:p w14:paraId="5200550A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</w:p>
    <w:p w14:paraId="7F5851A9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</w:p>
    <w:p w14:paraId="5B6B1820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</w:p>
    <w:p w14:paraId="16B89675">
      <w:pPr>
        <w:numPr>
          <w:ilvl w:val="0"/>
          <w:numId w:val="1"/>
        </w:numPr>
        <w:ind w:left="0" w:leftChars="0" w:firstLine="0" w:firstLineChars="0"/>
        <w:rPr>
          <w:rFonts w:hint="eastAsia" w:ascii="Microsoft YaHei" w:hAnsi="Microsoft YaHei" w:eastAsia="Microsoft YaHei" w:cs="Microsoft YaHei"/>
          <w:b/>
          <w:bCs/>
          <w:sz w:val="28"/>
          <w:szCs w:val="28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b/>
          <w:bCs/>
          <w:sz w:val="28"/>
          <w:szCs w:val="28"/>
          <w:u w:val="single"/>
          <w:lang w:val="en-US"/>
        </w:rPr>
        <w:t xml:space="preserve">Key Design Decisions </w:t>
      </w:r>
    </w:p>
    <w:p w14:paraId="606DAF6D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Calibri" w:hAnsi="Calibri" w:cs="Calibri"/>
          <w:b/>
          <w:bCs/>
          <w:sz w:val="24"/>
          <w:szCs w:val="24"/>
        </w:rPr>
        <w:t>Dynamic Column Selection:</w:t>
      </w:r>
      <w:r>
        <w:rPr>
          <w:rFonts w:hint="default" w:ascii="Calibri" w:hAnsi="Calibri" w:cs="Calibri"/>
          <w:sz w:val="24"/>
          <w:szCs w:val="24"/>
        </w:rPr>
        <w:t xml:space="preserve"> By using case-insensitive string matching (</w:t>
      </w:r>
      <w:r>
        <w:rPr>
          <w:rStyle w:val="4"/>
          <w:rFonts w:hint="default" w:ascii="Calibri" w:hAnsi="Calibri" w:cs="Calibri"/>
          <w:sz w:val="24"/>
          <w:szCs w:val="24"/>
        </w:rPr>
        <w:t>"Before"</w:t>
      </w:r>
      <w:r>
        <w:rPr>
          <w:rFonts w:hint="default" w:ascii="Calibri" w:hAnsi="Calibri" w:cs="Calibri"/>
          <w:sz w:val="24"/>
          <w:szCs w:val="24"/>
        </w:rPr>
        <w:t xml:space="preserve"> and </w:t>
      </w:r>
      <w:r>
        <w:rPr>
          <w:rStyle w:val="4"/>
          <w:rFonts w:hint="default" w:ascii="Calibri" w:hAnsi="Calibri" w:cs="Calibri"/>
          <w:sz w:val="24"/>
          <w:szCs w:val="24"/>
        </w:rPr>
        <w:t>"after"</w:t>
      </w:r>
      <w:r>
        <w:rPr>
          <w:rFonts w:hint="default" w:ascii="Calibri" w:hAnsi="Calibri" w:cs="Calibri"/>
          <w:sz w:val="24"/>
          <w:szCs w:val="24"/>
        </w:rPr>
        <w:t>), the script remains robust even if the CSV column names vary slightly in capitalization.</w:t>
      </w:r>
    </w:p>
    <w:p w14:paraId="5D483636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</w:t>
      </w:r>
      <w:r>
        <w:rPr>
          <w:rFonts w:hint="default" w:ascii="Calibri" w:hAnsi="Calibri" w:eastAsia="Symbol" w:cs="Calibri"/>
          <w:sz w:val="24"/>
          <w:szCs w:val="24"/>
        </w:rPr>
        <w:t>·</w:t>
      </w:r>
      <w:r>
        <w:rPr>
          <w:rFonts w:hint="default" w:ascii="Calibri" w:hAnsi="Calibri" w:eastAsia="SimSun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b/>
          <w:bCs/>
          <w:sz w:val="24"/>
          <w:szCs w:val="24"/>
        </w:rPr>
        <w:t>The "Frequency" Rule:</w:t>
      </w:r>
      <w:r>
        <w:rPr>
          <w:rFonts w:hint="default" w:ascii="Calibri" w:hAnsi="Calibri" w:cs="Calibri"/>
          <w:sz w:val="24"/>
          <w:szCs w:val="24"/>
        </w:rPr>
        <w:t xml:space="preserve"> A patient is classified based on having 3 or more high readings within a single row. This helps differentiate between a one-off spike (which could be due to a single high-carb meal) and a sustained physiological pattern.</w:t>
      </w:r>
    </w:p>
    <w:p w14:paraId="563F6020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ymbol" w:cs="Calibri"/>
          <w:sz w:val="24"/>
          <w:szCs w:val="24"/>
        </w:rPr>
        <w:t>·</w:t>
      </w:r>
      <w:r>
        <w:rPr>
          <w:rFonts w:hint="default" w:ascii="Calibri" w:hAnsi="Calibri" w:eastAsia="SimSun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b/>
          <w:bCs/>
          <w:sz w:val="24"/>
          <w:szCs w:val="24"/>
        </w:rPr>
        <w:t>Prioritization of Severity:</w:t>
      </w:r>
      <w:r>
        <w:rPr>
          <w:rFonts w:hint="default" w:ascii="Calibri" w:hAnsi="Calibri" w:cs="Calibri"/>
          <w:sz w:val="24"/>
          <w:szCs w:val="24"/>
        </w:rPr>
        <w:t xml:space="preserve"> In the </w:t>
      </w:r>
      <w:r>
        <w:rPr>
          <w:rStyle w:val="4"/>
          <w:rFonts w:hint="default" w:ascii="Calibri" w:hAnsi="Calibri" w:cs="Calibri"/>
          <w:sz w:val="24"/>
          <w:szCs w:val="24"/>
        </w:rPr>
        <w:t>np.select</w:t>
      </w:r>
      <w:r>
        <w:rPr>
          <w:rFonts w:hint="default" w:ascii="Calibri" w:hAnsi="Calibri" w:cs="Calibri"/>
          <w:sz w:val="24"/>
          <w:szCs w:val="24"/>
        </w:rPr>
        <w:t xml:space="preserve"> logic, the "Diabetic" condition is checked before "Prediabetic." This ensures that if a patient meets both criteria, the more critical diagnosis takes precedence.</w:t>
      </w:r>
    </w:p>
    <w:p w14:paraId="71D84CD4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</w:p>
    <w:p w14:paraId="2274E949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</w:p>
    <w:p w14:paraId="3CF11B52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</w:p>
    <w:p w14:paraId="4A6ED2DD">
      <w:pPr>
        <w:numPr>
          <w:ilvl w:val="0"/>
          <w:numId w:val="1"/>
        </w:numPr>
        <w:ind w:left="0" w:leftChars="0" w:firstLine="0" w:firstLineChars="0"/>
        <w:rPr>
          <w:rFonts w:hint="eastAsia" w:ascii="Microsoft YaHei" w:hAnsi="Microsoft YaHei" w:eastAsia="Microsoft YaHei" w:cs="Microsoft YaHei"/>
          <w:b/>
          <w:bCs/>
          <w:sz w:val="28"/>
          <w:szCs w:val="28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b/>
          <w:bCs/>
          <w:sz w:val="28"/>
          <w:szCs w:val="28"/>
          <w:u w:val="single"/>
          <w:lang w:val="en-US"/>
        </w:rPr>
        <w:t xml:space="preserve">Challenges Faced </w:t>
      </w:r>
    </w:p>
    <w:p w14:paraId="5E9A0587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Calibri" w:hAnsi="Calibri" w:cs="Calibri"/>
          <w:b/>
          <w:bCs/>
          <w:sz w:val="24"/>
          <w:szCs w:val="24"/>
        </w:rPr>
        <w:t>Missing Data Management:</w:t>
      </w:r>
      <w:r>
        <w:rPr>
          <w:rFonts w:hint="default" w:ascii="Calibri" w:hAnsi="Calibri" w:cs="Calibri"/>
          <w:sz w:val="24"/>
          <w:szCs w:val="24"/>
        </w:rPr>
        <w:t xml:space="preserve"> Real-world glucose logs often have gaps (e.g., a patient forgets to test after lunch). Choosing to fill NaNs with </w:t>
      </w:r>
      <w:r>
        <w:rPr>
          <w:rStyle w:val="4"/>
          <w:rFonts w:hint="default" w:ascii="Calibri" w:hAnsi="Calibri" w:cs="Calibri"/>
          <w:sz w:val="24"/>
          <w:szCs w:val="24"/>
        </w:rPr>
        <w:t>0</w:t>
      </w:r>
      <w:r>
        <w:rPr>
          <w:rFonts w:hint="default" w:ascii="Calibri" w:hAnsi="Calibri" w:cs="Calibri"/>
          <w:sz w:val="24"/>
          <w:szCs w:val="24"/>
        </w:rPr>
        <w:t xml:space="preserve"> was a safety decision; it ensures the script doesn't accidentally label a missing test as a "high" reading, though it does lower the count for that day.</w:t>
      </w:r>
    </w:p>
    <w:p w14:paraId="05A1E791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ymbol" w:cs="Calibri"/>
          <w:sz w:val="24"/>
          <w:szCs w:val="24"/>
        </w:rPr>
        <w:t>·</w:t>
      </w:r>
      <w:r>
        <w:rPr>
          <w:rFonts w:hint="default" w:ascii="Calibri" w:hAnsi="Calibri" w:eastAsia="SimSun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b/>
          <w:bCs/>
          <w:sz w:val="24"/>
          <w:szCs w:val="24"/>
        </w:rPr>
        <w:t>Scaling Clinical Logic:</w:t>
      </w:r>
      <w:r>
        <w:rPr>
          <w:rFonts w:hint="default" w:ascii="Calibri" w:hAnsi="Calibri" w:cs="Calibri"/>
          <w:sz w:val="24"/>
          <w:szCs w:val="24"/>
        </w:rPr>
        <w:t xml:space="preserve"> While the current script focuses on glucose, the initial goal included ABG and HbA1c. Integrating these requires a more complex multi-dimensional thresholding system since pH and PaCO2 have narrower "normal" windows than glucose.</w:t>
      </w:r>
    </w:p>
    <w:p w14:paraId="1759ED91">
      <w:pPr>
        <w:numPr>
          <w:ilvl w:val="0"/>
          <w:numId w:val="0"/>
        </w:numPr>
        <w:ind w:leftChars="0"/>
        <w:rPr>
          <w:rFonts w:hint="eastAsia" w:ascii="SimSun" w:hAnsi="SimSun" w:eastAsia="SimSun" w:cs="SimSun"/>
          <w:sz w:val="24"/>
        </w:rPr>
      </w:pPr>
      <w:r>
        <w:rPr>
          <w:rFonts w:hint="eastAsia" w:ascii="SimSun" w:hAnsi="SimSun" w:eastAsia="SimSun" w:cs="SimSun"/>
          <w:sz w:val="24"/>
        </w:rPr>
        <w:t xml:space="preserve">    </w:t>
      </w:r>
    </w:p>
    <w:p w14:paraId="42C95654">
      <w:pPr>
        <w:numPr>
          <w:ilvl w:val="0"/>
          <w:numId w:val="0"/>
        </w:numPr>
        <w:ind w:leftChars="0"/>
        <w:rPr>
          <w:rFonts w:hint="eastAsia" w:ascii="SimSun" w:hAnsi="SimSun" w:eastAsia="SimSun" w:cs="SimSun"/>
          <w:sz w:val="24"/>
        </w:rPr>
      </w:pPr>
    </w:p>
    <w:p w14:paraId="413DFD98">
      <w:pPr>
        <w:numPr>
          <w:ilvl w:val="0"/>
          <w:numId w:val="0"/>
        </w:numPr>
        <w:ind w:leftChars="0"/>
        <w:rPr>
          <w:rFonts w:hint="eastAsia" w:ascii="SimSun" w:hAnsi="SimSun" w:eastAsia="SimSun" w:cs="SimSun"/>
          <w:sz w:val="24"/>
        </w:rPr>
      </w:pPr>
    </w:p>
    <w:p w14:paraId="623FF908">
      <w:pPr>
        <w:numPr>
          <w:ilvl w:val="0"/>
          <w:numId w:val="0"/>
        </w:numPr>
        <w:ind w:leftChars="0"/>
        <w:rPr>
          <w:rFonts w:hint="eastAsia" w:ascii="SimSun" w:hAnsi="SimSun" w:eastAsia="SimSun" w:cs="SimSun"/>
          <w:sz w:val="24"/>
        </w:rPr>
      </w:pPr>
    </w:p>
    <w:p w14:paraId="66FF7D8C">
      <w:pPr>
        <w:numPr>
          <w:ilvl w:val="0"/>
          <w:numId w:val="1"/>
        </w:numPr>
        <w:ind w:left="0" w:leftChars="0" w:firstLine="0" w:firstLineChars="0"/>
        <w:rPr>
          <w:rFonts w:hint="eastAsia" w:ascii="Microsoft YaHei" w:hAnsi="Microsoft YaHei" w:eastAsia="Microsoft YaHei" w:cs="Microsoft YaHei"/>
          <w:b/>
          <w:bCs/>
          <w:sz w:val="28"/>
          <w:szCs w:val="28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b/>
          <w:bCs/>
          <w:sz w:val="28"/>
          <w:szCs w:val="28"/>
          <w:u w:val="single"/>
          <w:lang w:val="en-US"/>
        </w:rPr>
        <w:t xml:space="preserve">Key Learning </w:t>
      </w:r>
    </w:p>
    <w:p w14:paraId="54B59613">
      <w:pPr>
        <w:numPr>
          <w:ilvl w:val="0"/>
          <w:numId w:val="0"/>
        </w:numPr>
        <w:ind w:leftChars="0"/>
        <w:rPr>
          <w:rFonts w:hint="eastAsia" w:ascii="Microsoft YaHei" w:hAnsi="Microsoft YaHei" w:eastAsia="Microsoft YaHei" w:cs="Microsoft YaHei"/>
          <w:b/>
          <w:bCs/>
          <w:sz w:val="28"/>
          <w:szCs w:val="28"/>
          <w:u w:val="single"/>
          <w:lang w:val="en-US"/>
        </w:rPr>
      </w:pPr>
    </w:p>
    <w:p w14:paraId="3D6C3A44">
      <w:pPr>
        <w:pStyle w:val="5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eastAsia" w:ascii="Microsoft YaHei" w:hAnsi="Microsoft YaHei" w:eastAsia="Microsoft YaHei" w:cs="Microsoft YaHei"/>
          <w:b/>
          <w:bCs/>
          <w:sz w:val="24"/>
          <w:szCs w:val="24"/>
        </w:rPr>
        <w:t>Data Integrity:</w:t>
      </w:r>
      <w:r>
        <w:rPr>
          <w:rFonts w:hint="eastAsia" w:ascii="Microsoft YaHei" w:hAnsi="Microsoft YaHei" w:eastAsia="Microsoft YaHei" w:cs="Microsoft YaHei"/>
          <w:sz w:val="24"/>
          <w:szCs w:val="24"/>
        </w:rPr>
        <w:t xml:space="preserve"> I learned that data cleaning (dropping </w:t>
      </w:r>
      <w:r>
        <w:rPr>
          <w:rStyle w:val="4"/>
          <w:rFonts w:hint="eastAsia" w:ascii="Microsoft YaHei" w:hAnsi="Microsoft YaHei" w:eastAsia="Microsoft YaHei" w:cs="Microsoft YaHei"/>
          <w:sz w:val="24"/>
          <w:szCs w:val="24"/>
        </w:rPr>
        <w:t>Extra</w:t>
      </w:r>
      <w:r>
        <w:rPr>
          <w:rFonts w:hint="eastAsia" w:ascii="Microsoft YaHei" w:hAnsi="Microsoft YaHei" w:eastAsia="Microsoft YaHei" w:cs="Microsoft YaHei"/>
          <w:sz w:val="24"/>
          <w:szCs w:val="24"/>
        </w:rPr>
        <w:t xml:space="preserve"> and </w:t>
      </w:r>
      <w:r>
        <w:rPr>
          <w:rStyle w:val="4"/>
          <w:rFonts w:hint="eastAsia" w:ascii="Microsoft YaHei" w:hAnsi="Microsoft YaHei" w:eastAsia="Microsoft YaHei" w:cs="Microsoft YaHei"/>
          <w:sz w:val="24"/>
          <w:szCs w:val="24"/>
        </w:rPr>
        <w:t>Comment</w:t>
      </w:r>
      <w:r>
        <w:rPr>
          <w:rFonts w:hint="eastAsia" w:ascii="Microsoft YaHei" w:hAnsi="Microsoft YaHei" w:eastAsia="Microsoft YaHei" w:cs="Microsoft YaHei"/>
          <w:sz w:val="24"/>
          <w:szCs w:val="24"/>
        </w:rPr>
        <w:t xml:space="preserve"> columns) is 70% of the work in any data science project.</w:t>
      </w:r>
    </w:p>
    <w:p w14:paraId="5AC0D975">
      <w:pPr>
        <w:pStyle w:val="5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  <w:sz w:val="24"/>
          <w:szCs w:val="24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t xml:space="preserve">·  </w:t>
      </w:r>
      <w:r>
        <w:rPr>
          <w:rFonts w:hint="eastAsia" w:ascii="Microsoft YaHei" w:hAnsi="Microsoft YaHei" w:eastAsia="Microsoft YaHei" w:cs="Microsoft YaHei"/>
          <w:b/>
          <w:bCs/>
          <w:sz w:val="24"/>
          <w:szCs w:val="24"/>
        </w:rPr>
        <w:t>Vectorization over Iteration:</w:t>
      </w:r>
      <w:r>
        <w:rPr>
          <w:rFonts w:hint="eastAsia" w:ascii="Microsoft YaHei" w:hAnsi="Microsoft YaHei" w:eastAsia="Microsoft YaHei" w:cs="Microsoft YaHei"/>
          <w:sz w:val="24"/>
          <w:szCs w:val="24"/>
        </w:rPr>
        <w:t xml:space="preserve"> Using NumPy’s conditional selection is significantly more efficient than standard Python loops when dealing with large datasets like the one provided.</w:t>
      </w:r>
    </w:p>
    <w:p w14:paraId="75B71C26">
      <w:pPr>
        <w:pStyle w:val="5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  <w:sz w:val="24"/>
          <w:szCs w:val="24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t xml:space="preserve">·  </w:t>
      </w:r>
      <w:r>
        <w:rPr>
          <w:rFonts w:hint="eastAsia" w:ascii="Microsoft YaHei" w:hAnsi="Microsoft YaHei" w:eastAsia="Microsoft YaHei" w:cs="Microsoft YaHei"/>
          <w:b/>
          <w:bCs/>
          <w:sz w:val="24"/>
          <w:szCs w:val="24"/>
        </w:rPr>
        <w:t>Clinical Sensitivity:</w:t>
      </w:r>
      <w:r>
        <w:rPr>
          <w:rFonts w:hint="eastAsia" w:ascii="Microsoft YaHei" w:hAnsi="Microsoft YaHei" w:eastAsia="Microsoft YaHei" w:cs="Microsoft YaHei"/>
          <w:sz w:val="24"/>
          <w:szCs w:val="24"/>
        </w:rPr>
        <w:t xml:space="preserve"> Understanding the difference between fasting (Before) and post-prandial (After) thresholds is vital for accurate medical software.</w:t>
      </w:r>
    </w:p>
    <w:p w14:paraId="0DBEFDE1">
      <w:pPr>
        <w:numPr>
          <w:ilvl w:val="0"/>
          <w:numId w:val="0"/>
        </w:numPr>
        <w:ind w:leftChars="0"/>
        <w:rPr>
          <w:rFonts w:hint="default" w:ascii="SimSun" w:hAnsi="SimSun" w:eastAsia="SimSun" w:cs="SimSun"/>
          <w:sz w:val="24"/>
          <w:lang w:val="en-US"/>
        </w:rPr>
      </w:pPr>
      <w:r>
        <w:rPr>
          <w:rFonts w:hint="eastAsia" w:ascii="SimSun" w:hAnsi="SimSun" w:eastAsia="SimSun" w:cs="SimSun"/>
          <w:sz w:val="24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BDEC0D"/>
    <w:multiLevelType w:val="singleLevel"/>
    <w:tmpl w:val="43BDEC0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CE3FCF"/>
    <w:rsid w:val="1ECE3FCF"/>
    <w:rsid w:val="45677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540</Words>
  <Characters>3135</Characters>
  <Lines>0</Lines>
  <Paragraphs>0</Paragraphs>
  <TotalTime>16</TotalTime>
  <ScaleCrop>false</ScaleCrop>
  <LinksUpToDate>false</LinksUpToDate>
  <CharactersWithSpaces>3675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2026-03-31T14:29:00Z</dcterms:created>
  <dc:creator>mahi</dc:creator>
  <cp:lastModifiedBy>mahi</cp:lastModifiedBy>
  <dcterms:modified xsi:type="dcterms:W3CDTF">2026-03-31T15:23:01Z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B59FA000228C46EEAB397CF3FE338C01_13</vt:lpwstr>
  </property>
  <property fmtid="{D5CDD505-2E9C-101B-9397-08002B2CF9AE}" pid="4" name="KSOTemplateDocerSaveRecord">
    <vt:lpwstr>eyJoZGlkIjoiOGJhNGUyMTNlZjQxYjA5ZWQ0MzA2Y2Y3Y2M0N2E5NTQiLCJ1c2VySWQiOiI1Njc2MjIzNDE0NzQifQ==</vt:lpwstr>
  </property>
</Properties>
</file>