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614" w:rsidRDefault="00D6188C">
      <w:r w:rsidRPr="00D6188C">
        <w:t xml:space="preserve">For Task 1, I created a one-page Digital Literacy Awareness Infographic using an SVG-based design tool. The infographic is divided into five thematic sections: a definition of digital literacy broken into three core pillars (Find &amp; Evaluate, Create &amp; Communicate, and Stay Safe &amp; Ethical); a tools section listing platforms like GitHub, LinkedIn, </w:t>
      </w:r>
      <w:proofErr w:type="spellStart"/>
      <w:r w:rsidRPr="00D6188C">
        <w:t>Canva</w:t>
      </w:r>
      <w:proofErr w:type="spellEnd"/>
      <w:r w:rsidRPr="00D6188C">
        <w:t xml:space="preserve">, </w:t>
      </w:r>
      <w:proofErr w:type="spellStart"/>
      <w:r w:rsidRPr="00D6188C">
        <w:t>HackerRank</w:t>
      </w:r>
      <w:proofErr w:type="spellEnd"/>
      <w:r w:rsidRPr="00D6188C">
        <w:t xml:space="preserve">, and </w:t>
      </w:r>
      <w:proofErr w:type="spellStart"/>
      <w:r w:rsidRPr="00D6188C">
        <w:t>Kaggle</w:t>
      </w:r>
      <w:proofErr w:type="spellEnd"/>
      <w:r w:rsidRPr="00D6188C">
        <w:t xml:space="preserve"> with their uses; a Safe Internet Practices checklist covering passwords, two-factor authentication, and the national cybercrime helpline 1930; a Professional Online Presence guide with tips on profile building and responsible posting; and an Email Etiquette section showing the anatomy of a professional email along with key dos and don'ts. Each section uses a distinct colour theme to make it visually </w:t>
      </w:r>
      <w:proofErr w:type="spellStart"/>
      <w:r w:rsidRPr="00D6188C">
        <w:t>scannable</w:t>
      </w:r>
      <w:proofErr w:type="spellEnd"/>
      <w:r w:rsidRPr="00D6188C">
        <w:t xml:space="preserve"> at a glance. The most interesting challenge was fitting meaningful content across five topics without making the infographic look cluttered — balancing text density with whitespace required several layout adjustments. This exercise helped me understand that good digital communication is not just about the content but also about visual clarity and audience awareness.</w:t>
      </w:r>
      <w:bookmarkStart w:id="0" w:name="_GoBack"/>
      <w:bookmarkEnd w:id="0"/>
    </w:p>
    <w:sectPr w:rsidR="00617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88C"/>
    <w:rsid w:val="00312B46"/>
    <w:rsid w:val="00D02AA6"/>
    <w:rsid w:val="00D61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A7DBC2-42F9-49D8-B932-A97152D4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2026-03-25T18:24:00Z</dcterms:created>
  <dcterms:modified xsi:type="dcterms:W3CDTF">2026-03-25T18:24:00Z</dcterms:modified>
</cp:coreProperties>
</file>