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28"/>
        </w:rPr>
        <w:t>PhD DISSERTATION PROPOSAL</w:t>
      </w:r>
    </w:p>
    <w:p/>
    <w:p>
      <w:pPr>
        <w:jc w:val="center"/>
      </w:pPr>
      <w:r>
        <w:rPr>
          <w:b/>
          <w:sz w:val="26"/>
        </w:rPr>
        <w:t>Assessing the Efficacy of Nature-Based Solutions for Flood Mitigation:</w:t>
        <w:br/>
        <w:t>A Hydro-Spatial Modeling Framework for Scalable Risk Reduction</w:t>
        <w:br/>
        <w:t>in Climate-Vulnerable Watersheds of India</w:t>
      </w:r>
    </w:p>
    <w:p/>
    <w:p/>
    <w:p>
      <w:pPr>
        <w:jc w:val="center"/>
      </w:pPr>
      <w:r>
        <w:rPr>
          <w:sz w:val="24"/>
        </w:rPr>
        <w:t>Submitted by:</w:t>
        <w:br/>
        <w:t>Raj Amritam</w:t>
        <w:br/>
        <w:t>PhD Research Scholar</w:t>
      </w:r>
    </w:p>
    <w:p/>
    <w:p>
      <w:pPr>
        <w:jc w:val="center"/>
      </w:pPr>
      <w:r>
        <w:rPr>
          <w:sz w:val="24"/>
        </w:rPr>
        <w:t>Under the Supervision of:</w:t>
        <w:br/>
        <w:t>Dr. Nidhi Rawat</w:t>
      </w:r>
    </w:p>
    <w:p/>
    <w:p>
      <w:pPr>
        <w:jc w:val="center"/>
      </w:pPr>
      <w:r>
        <w:rPr>
          <w:sz w:val="24"/>
        </w:rPr>
        <w:t>Department of Environmental Science</w:t>
        <w:br/>
        <w:t>DBS Global University, Dehradun</w:t>
        <w:br/>
        <w:t>Uttarakhand, India</w:t>
      </w:r>
    </w:p>
    <w:p/>
    <w:p>
      <w:pPr>
        <w:jc w:val="center"/>
      </w:pPr>
      <w:r>
        <w:rPr>
          <w:sz w:val="24"/>
        </w:rPr>
        <w:t>2025</w:t>
      </w:r>
    </w:p>
    <w:p>
      <w:r>
        <w:br w:type="page"/>
      </w:r>
    </w:p>
    <w:p>
      <w:pPr>
        <w:pStyle w:val="Heading1"/>
      </w:pPr>
      <w:r>
        <w:rPr>
          <w:rFonts w:ascii="Times New Roman" w:hAnsi="Times New Roman"/>
          <w:color w:val="000000"/>
        </w:rPr>
        <w:t>1. INTRODUCTION AND RESEARCH CONTEXT</w:t>
      </w:r>
    </w:p>
    <w:p>
      <w:pPr>
        <w:spacing w:after="120" w:line="360" w:lineRule="auto"/>
        <w:ind w:firstLine="720"/>
      </w:pPr>
      <w:r>
        <w:t>India occupies a uniquely precarious position within the global hydrological risk landscape. Characterized by extraordinary hydro-climatic variability—ranging from the arid expanses of Rajasthan receiving less than 200 mm annual precipitation to the hyper-humid northeast exceeding 11,000 mm—the subcontinent faces a compounding crisis wherein anthropogenic land-use change, unplanned urbanization, and intensifying monsoon dynamics converge to produce catastrophic flood events with increasing frequency and severity. According to the National Disaster Management Authority (NDMA) and the Central Water Commission (CWC), approximately 72% of Indian districts are now classified as exposed to extreme flood events, encompassing both riverine inundation and pluvial flash flooding. Yet, critically, only 33% of these vulnerable districts are covered by functional early warning networks capable of providing actionable lead times exceeding six hours. This coverage deficit constitutes a governance failure of the first order, rendering millions of citizens—disproportionately from Scheduled Caste, Scheduled Tribe, and economically weaker sections—vulnerable to recurrent displacement, asset loss, and mortality.</w:t>
      </w:r>
    </w:p>
    <w:p>
      <w:pPr>
        <w:spacing w:after="120" w:line="360" w:lineRule="auto"/>
        <w:ind w:firstLine="720"/>
      </w:pPr>
      <w:r>
        <w:t>The paradox of India's flood management trajectory is starkly illustrated by the expansion of flood-prone area despite massive investment in structural interventions. In 1954, the Rashtriya Barh Ayog (National Flood Commission) estimated India's flood-prone area at approximately 2.5 million hectares. By 2022, this figure had expanded to 6.93 million hectares—a 177% increase—despite the construction of over 3,732 km of embankments, 37,904 km of drainage channels, and thousands of crores invested in reservoir-based flood cushioning. This counterintuitive expansion is attributable to multiple factors: the levee paradox wherein structural protection incentivizes floodplain encroachment; the degradation of natural drainage pathways through urbanization; siltation-induced capacity reduction in existing infrastructure; and the fundamental limitation of grey infrastructure in accommodating non-stationary hydrological extremes driven by anthropogenic climate change.</w:t>
      </w:r>
    </w:p>
    <w:p>
      <w:pPr>
        <w:spacing w:after="120" w:line="360" w:lineRule="auto"/>
        <w:ind w:firstLine="720"/>
      </w:pPr>
      <w:r>
        <w:t>Against this backdrop, the international scientific and policy community has increasingly endorsed Nature-Based Solutions (NbS) as a complementary—and in many cases superior—paradigm for flood risk reduction. The IUCN Global Standard for NbS (2020), the European Commission's NbS Research and Innovation agenda, and the IPCC AR6 Working Group II report all identify NbS as critical interventions that leverage ecosystem services—infiltration, retention, evapotranspiration, flow attenuation, and sediment trapping—to reduce flood hazard while simultaneously delivering biodiversity co-benefits, carbon sequestration, and livelihood enhancement. However, the operationalization of NbS within India's institutional framework remains nascent, hampered by inadequate hydrological evidence at district scales, absence of integration with statutory District Disaster Management Plans (DDMPs), and a persistent technocratic preference for engineered solutions among implementing agencies such as the CWC and State Irrigation Departments.</w:t>
      </w:r>
    </w:p>
    <w:p>
      <w:pPr>
        <w:spacing w:after="120" w:line="360" w:lineRule="auto"/>
        <w:ind w:firstLine="720"/>
      </w:pPr>
      <w:r>
        <w:t>This dissertation proposes to bridge this critical implementation gap through the development and validation of a Hydro-Spatial Modeling Framework that integrates remote sensing, GIS-based multi-criteria vulnerability assessment, distributed hydrological simulation, and socio-economic cost-benefit analysis to quantify the flood mitigation efficacy of NbS interventions across two climatologically distinct yet equally vulnerable Indian watersheds. The research aspires not merely to academic contribution but to the generation of actionable, policy-ready decision support tools deployable within the existing governance architecture of the Disaster Management Act, 2005.</w:t>
      </w:r>
    </w:p>
    <w:p>
      <w:pPr>
        <w:pStyle w:val="Heading1"/>
      </w:pPr>
      <w:r>
        <w:rPr>
          <w:rFonts w:ascii="Times New Roman" w:hAnsi="Times New Roman"/>
          <w:color w:val="000000"/>
        </w:rPr>
        <w:t>2. PROBLEM STATEMENT AND IDENTIFIED RESEARCH GAPS</w:t>
      </w:r>
    </w:p>
    <w:p>
      <w:pPr>
        <w:spacing w:after="120" w:line="360" w:lineRule="auto"/>
        <w:ind w:firstLine="720"/>
      </w:pPr>
      <w:r>
        <w:t>The central problem motivating this research is the systematic failure of India's flood management infrastructure—both physical and institutional—to accommodate the non-stationary hydro-climatic regime now evident across the subcontinent. The India Meteorological Department (IMD) has documented a 75% increase in very heavy rainfall days (exceeding 124.5 mm/day) since 1950, with particularly pronounced intensification over the Indo-Gangetic Plains and Western Himalayan foothills. These extreme precipitation events overwhelm design assumptions embedded in the CWC's legacy infrastructure, which were calibrated against stationary Intensity-Duration-Frequency (IDF) curves derived from pre-1980 rainfall records. Simultaneously, rapid land-use transformation—with India losing 1.6 million hectares of forest cover between 2001 and 2020 and experiencing a 2.7-fold expansion of impervious urban surfaces—has fundamentally altered catchment hydrological response, reducing time-to-peak, amplifying peak discharges, and increasing flood volumes beyond the assimilative capacity of existing grey infrastructure.</w:t>
      </w:r>
    </w:p>
    <w:p>
      <w:pPr>
        <w:spacing w:after="120" w:line="360" w:lineRule="auto"/>
        <w:ind w:firstLine="720"/>
      </w:pPr>
      <w:r>
        <w:t>This research identifies five distinct, interconnected research gaps that collectively impede the evidence-based adoption of Nature-Based Solutions for flood mitigation in India:</w:t>
      </w:r>
    </w:p>
    <w:p>
      <w:pPr>
        <w:pStyle w:val="Heading2"/>
      </w:pPr>
      <w:r>
        <w:rPr>
          <w:rFonts w:ascii="Times New Roman" w:hAnsi="Times New Roman"/>
          <w:color w:val="000000"/>
        </w:rPr>
        <w:t>Gap 1: Inland NbS Valuation Deficit</w:t>
      </w:r>
    </w:p>
    <w:p>
      <w:pPr>
        <w:spacing w:after="120" w:line="360" w:lineRule="auto"/>
        <w:ind w:firstLine="720"/>
      </w:pPr>
      <w:r>
        <w:t>The preponderance of existing NbS-flood research in India focuses on coastal ecosystems—mangroves, coral reefs, and coastal wetlands—with quantified storm surge attenuation benefits. By contrast, inland NbS interventions (riparian buffers, floodplain wetland reconnection, headwater reforestation, and constructed retention basins) remain severely under-quantified in the Indian context. No peer-reviewed study has, to date, provided catchment-scale hydrological evidence for inland NbS efficacy under Indian monsoonal conditions with return periods exceeding 25 years.</w:t>
      </w:r>
    </w:p>
    <w:p>
      <w:pPr>
        <w:pStyle w:val="Heading2"/>
      </w:pPr>
      <w:r>
        <w:rPr>
          <w:rFonts w:ascii="Times New Roman" w:hAnsi="Times New Roman"/>
          <w:color w:val="000000"/>
        </w:rPr>
        <w:t>Gap 2: Lack of District-Scale GIS-Hydrology Integration</w:t>
      </w:r>
    </w:p>
    <w:p>
      <w:pPr>
        <w:spacing w:after="120" w:line="360" w:lineRule="auto"/>
        <w:ind w:firstLine="720"/>
      </w:pPr>
      <w:r>
        <w:t>Existing flood vulnerability assessments in India typically operate at either macro-scales (state or national level using coarse-resolution datasets) or micro-scales (individual village or ward-level studies). A critical absence exists at the district scale—the administrative unit at which DDMPs are formulated and disaster response is coordinated. No operational framework currently integrates high-resolution (30m) GIS-derived vulnerability indices with process-based hydrological models at this governance-relevant scale.</w:t>
      </w:r>
    </w:p>
    <w:p>
      <w:pPr>
        <w:pStyle w:val="Heading2"/>
      </w:pPr>
      <w:r>
        <w:rPr>
          <w:rFonts w:ascii="Times New Roman" w:hAnsi="Times New Roman"/>
          <w:color w:val="000000"/>
        </w:rPr>
        <w:t>Gap 3: Uncertain NbS Performance Under Extreme Climate Events</w:t>
      </w:r>
    </w:p>
    <w:p>
      <w:pPr>
        <w:spacing w:after="120" w:line="360" w:lineRule="auto"/>
        <w:ind w:firstLine="720"/>
      </w:pPr>
      <w:r>
        <w:t>While NbS interventions demonstrate consistent efficacy under moderate flood scenarios (5-25 year return periods), their performance under extreme events exceeding 50-year return periods remains contested in the literature. Concerns persist regarding the potential for NbS "failure thresholds" where ecosystem-based interventions become overwhelmed, particularly under compound events combining antecedent soil saturation with extreme precipitation. This uncertainty is particularly acute for the Indian context, where monsoon dynamics can produce multi-day precipitation totals exceeding 500 mm with limited inter-event recovery time.</w:t>
      </w:r>
    </w:p>
    <w:p>
      <w:pPr>
        <w:pStyle w:val="Heading2"/>
      </w:pPr>
      <w:r>
        <w:rPr>
          <w:rFonts w:ascii="Times New Roman" w:hAnsi="Times New Roman"/>
          <w:color w:val="000000"/>
        </w:rPr>
        <w:t>Gap 4: Missing DDMP-NbS Legislative Linkages</w:t>
      </w:r>
    </w:p>
    <w:p>
      <w:pPr>
        <w:spacing w:after="120" w:line="360" w:lineRule="auto"/>
        <w:ind w:firstLine="720"/>
      </w:pPr>
      <w:r>
        <w:t>The Disaster Management Act of 2005 mandates the preparation of District Disaster Management Plans (DDMPs) by all district administrations. However, the current DDMP framework—as operationalized by the NDMA guidelines—contains no explicit provision for integrating NbS as a risk reduction strategy. There exists no standardized template, evaluation protocol, or monitoring framework through which district authorities can incorporate ecosystem-based approaches into their statutory planning obligations. This legislative-technical gap effectively excludes NbS from the formal disaster risk reduction architecture despite India's commitments under the Sendai Framework for Disaster Risk Reduction 2015-2030.</w:t>
      </w:r>
    </w:p>
    <w:p>
      <w:pPr>
        <w:pStyle w:val="Heading2"/>
      </w:pPr>
      <w:r>
        <w:rPr>
          <w:rFonts w:ascii="Times New Roman" w:hAnsi="Times New Roman"/>
          <w:color w:val="000000"/>
        </w:rPr>
        <w:t>Gap 5: Reliance on Outdated Stationary Design Storm Metrics</w:t>
      </w:r>
    </w:p>
    <w:p>
      <w:pPr>
        <w:spacing w:after="120" w:line="360" w:lineRule="auto"/>
        <w:ind w:firstLine="720"/>
      </w:pPr>
      <w:r>
        <w:t>The Central Water Commission and State Irrigation Departments continue to employ Intensity-Duration-Frequency (IDF) relationships and design storm hyetographs derived from stationary assumptions—typically calibrated against historical rainfall records spanning 1950-1990. Under conditions of documented non-stationarity (evidenced by trend analyses showing statistically significant increases in extreme precipitation quantiles across multiple Indian sub-basins), these design metrics systematically underestimate flood magnitudes for return periods exceeding 25 years, leading to under-designed infrastructure and inadequate flood risk zonation. This research will employ non-stationary frequency analysis to generate updated design quantiles against which NbS efficacy is evaluated.</w:t>
      </w:r>
    </w:p>
    <w:p>
      <w:pPr>
        <w:pStyle w:val="Heading1"/>
      </w:pPr>
      <w:r>
        <w:rPr>
          <w:rFonts w:ascii="Times New Roman" w:hAnsi="Times New Roman"/>
          <w:color w:val="000000"/>
        </w:rPr>
        <w:t>3. RESEARCH QUESTIONS AND HYPOTHESES</w:t>
      </w:r>
    </w:p>
    <w:p>
      <w:pPr>
        <w:pStyle w:val="Heading2"/>
      </w:pPr>
      <w:r>
        <w:rPr>
          <w:rFonts w:ascii="Times New Roman" w:hAnsi="Times New Roman"/>
          <w:color w:val="000000"/>
        </w:rPr>
        <w:t>Research Question 1: Spatial Vulnerability Characterization</w:t>
      </w:r>
    </w:p>
    <w:p>
      <w:pPr>
        <w:spacing w:after="120" w:line="360" w:lineRule="auto"/>
        <w:ind w:firstLine="720"/>
      </w:pPr>
      <w:r>
        <w:t>RQ1: How do land-use/land-cover dynamics, geomorphological attributes, and socio-demographic exposure indicators interact to produce spatially heterogeneous flood vulnerability at the district-watershed scale in climatologically distinct Indian catchments?</w:t>
      </w:r>
    </w:p>
    <w:p>
      <w:pPr>
        <w:spacing w:after="120" w:line="360" w:lineRule="auto"/>
        <w:ind w:firstLine="720"/>
      </w:pPr>
      <w:r>
        <w:t>Hypothesis H1: Catchments with greater than 40% impervious surface coverage and less than 15% functional wetland cover will exhibit Flood Vulnerability Index (FVI) scores 2-3 times higher than catchments retaining natural hydrological connectivity, after controlling for precipitation intensity and topographic gradient. This hypothesis is grounded in the established relationship between imperviousness and runoff coefficient amplification (documented in the SCS-CN framework), as well as the empirically demonstrated flood attenuation capacity of connected wetland systems as storage reservoirs during peak flow events.</w:t>
      </w:r>
    </w:p>
    <w:p>
      <w:pPr>
        <w:pStyle w:val="Heading2"/>
      </w:pPr>
      <w:r>
        <w:rPr>
          <w:rFonts w:ascii="Times New Roman" w:hAnsi="Times New Roman"/>
          <w:color w:val="000000"/>
        </w:rPr>
        <w:t>Research Question 2: NbS Hydrological Efficacy</w:t>
      </w:r>
    </w:p>
    <w:p>
      <w:pPr>
        <w:spacing w:after="120" w:line="360" w:lineRule="auto"/>
        <w:ind w:firstLine="720"/>
      </w:pPr>
      <w:r>
        <w:t>RQ2: What is the quantifiable hydrological efficacy of specific Nature-Based Solution interventions—riparian buffer establishment, wetland reconnection, and headwater micro-basin treatment—in reducing peak discharge magnitude and flood inundation extent under design storms of varying return periods (10, 25, 50, and 100-year) in the selected study watersheds?</w:t>
      </w:r>
    </w:p>
    <w:p>
      <w:pPr>
        <w:spacing w:after="120" w:line="360" w:lineRule="auto"/>
        <w:ind w:firstLine="720"/>
      </w:pPr>
      <w:r>
        <w:t>Hypothesis H2: The establishment of 20-50 meter riparian buffer zones along primary and secondary drainage channels will produce a 12-25% reduction in simulated peak discharge at catchment outlets under 50-year return period events, while wetland reconnection interventions (restoring hydrological connectivity to historically disconnected floodplain depressions) will reduce flood inundation extent by 15-35% under equivalent return period scenarios. These quantitative predictions are derived from meta-analytical evidence from temperate catchments (Dadson et al., 2017; Nicholson et al., 2020) adjusted for Indian monsoonal precipitation characteristics and soil hydraulic properties.</w:t>
      </w:r>
    </w:p>
    <w:p>
      <w:pPr>
        <w:pStyle w:val="Heading2"/>
      </w:pPr>
      <w:r>
        <w:rPr>
          <w:rFonts w:ascii="Times New Roman" w:hAnsi="Times New Roman"/>
          <w:color w:val="000000"/>
        </w:rPr>
        <w:t>Research Question 3: Scalable Decision Support</w:t>
      </w:r>
    </w:p>
    <w:p>
      <w:pPr>
        <w:spacing w:after="120" w:line="360" w:lineRule="auto"/>
        <w:ind w:firstLine="720"/>
      </w:pPr>
      <w:r>
        <w:t>RQ3: Can a replicable, open-source hydro-spatial decision support framework be developed that enables district-level administrators to evaluate, prioritize, and implement NbS interventions within statutory DDMP processes at economically justifiable costs?</w:t>
      </w:r>
    </w:p>
    <w:p>
      <w:pPr>
        <w:spacing w:after="120" w:line="360" w:lineRule="auto"/>
        <w:ind w:firstLine="720"/>
      </w:pPr>
      <w:r>
        <w:t>Hypothesis H3: The proposed framework, when deployed as a standardized template incorporating GIS vulnerability mapping, hydrological simulation outputs, and economic valuation protocols, will demonstrate potential to reduce direct economic flood losses by ₹50-200 Crore per year at district-level implementation costs not exceeding ₹15-25 Crore over a 10-year horizon, yielding benefit-cost ratios exceeding 3:1 under baseline climate projections and 5:1 under RCP 8.5 intensification scenarios. This hypothesis positions NbS as economically superior to equivalent grey-infrastructure investments when ecosystem co-benefits (carbon sequestration, biodiversity enhancement, groundwater recharge) are monetized within a Total Economic Value framework.</w:t>
      </w:r>
    </w:p>
    <w:p>
      <w:pPr>
        <w:pStyle w:val="Heading1"/>
      </w:pPr>
      <w:r>
        <w:rPr>
          <w:rFonts w:ascii="Times New Roman" w:hAnsi="Times New Roman"/>
          <w:color w:val="000000"/>
        </w:rPr>
        <w:t>4. CONCEPTUAL FRAMEWORK</w:t>
      </w:r>
    </w:p>
    <w:p>
      <w:pPr>
        <w:spacing w:after="120" w:line="360" w:lineRule="auto"/>
        <w:ind w:firstLine="720"/>
      </w:pPr>
      <w:r>
        <w:t>The conceptual architecture of this research is grounded in the IPCC Sixth Assessment Report (AR6) risk framework, which defines climate risk as a function of three interacting components: Hazard, Exposure, and Vulnerability. Formally expressed as:</w:t>
      </w:r>
    </w:p>
    <w:p>
      <w:pPr>
        <w:jc w:val="center"/>
      </w:pPr>
      <w:r>
        <w:rPr>
          <w:i/>
          <w:sz w:val="24"/>
        </w:rPr>
        <w:t>Flood Risk = f (Hazard × Exposure × Vulnerability)</w:t>
      </w:r>
    </w:p>
    <w:p>
      <w:pPr>
        <w:spacing w:after="120" w:line="360" w:lineRule="auto"/>
        <w:ind w:firstLine="720"/>
      </w:pPr>
      <w:r>
        <w:t>Within this triadic formulation, Nature-Based Solutions operate as dynamic risk modifiers across all three dimensions simultaneously, distinguishing them fundamentally from conventional grey infrastructure, which primarily addresses only the hazard component through flow conveyance or storage. Specifically:</w:t>
      </w:r>
    </w:p>
    <w:p>
      <w:pPr>
        <w:pStyle w:val="ListBullet"/>
        <w:spacing w:line="360" w:lineRule="auto"/>
        <w:ind w:left="720"/>
      </w:pPr>
      <w:r>
        <w:t>Hazard Modification: NbS interventions (riparian buffers, headwater reforestation, wetland storage) directly reduce flood hazard by attenuating peak discharges, extending time-to-peak, and reducing total flood volumes through enhanced infiltration, interception, and surface roughness.</w:t>
      </w:r>
    </w:p>
    <w:p>
      <w:pPr>
        <w:pStyle w:val="ListBullet"/>
        <w:spacing w:line="360" w:lineRule="auto"/>
        <w:ind w:left="720"/>
      </w:pPr>
      <w:r>
        <w:t>Exposure Limitation: Strategic NbS placement in floodplain corridors creates "no-build" ecological zones that inherently limit the expansion of assets and populations into high-hazard areas, thereby reducing exposure without requiring restrictive zoning regulations.</w:t>
      </w:r>
    </w:p>
    <w:p>
      <w:pPr>
        <w:pStyle w:val="ListBullet"/>
        <w:spacing w:line="360" w:lineRule="auto"/>
        <w:ind w:left="720"/>
      </w:pPr>
      <w:r>
        <w:t>Vulnerability Reduction: NbS enhances community adaptive capacity through diversified livelihood opportunities (fisheries in restored wetlands, agroforestry in riparian buffers), improved groundwater recharge for drought resilience, and strengthened social-ecological systems that buffer against compound climate stresses.</w:t>
      </w:r>
    </w:p>
    <w:p>
      <w:pPr>
        <w:spacing w:after="120" w:line="360" w:lineRule="auto"/>
        <w:ind w:firstLine="720"/>
      </w:pPr>
      <w:r>
        <w:t>Crucially, this framework conceptualizes NbS not as a static intervention but as an adaptive system that establishes feedback loops between risk knowledge generation and governance recalibration. As NbS interventions are implemented and monitored, they generate empirical performance data that updates hazard models, refines vulnerability assessments, and informs iterative governance decisions—creating a learning-by-doing cycle consistent with adaptive management principles. This feedback architecture is operationalized through the proposed Decision Support Framework (RQ3), which embeds monitoring protocols and performance thresholds triggering governance review and intervention modification.</w:t>
      </w:r>
    </w:p>
    <w:p>
      <w:pPr>
        <w:spacing w:after="120" w:line="360" w:lineRule="auto"/>
        <w:ind w:firstLine="720"/>
      </w:pPr>
      <w:r>
        <w:t>The framework further incorporates the concept of "hybrid" or "green-grey" infrastructure portfolios, recognizing that optimal flood risk reduction in most Indian catchments will require synergistic combinations of NbS and engineered infrastructure rather than wholesale substitution. The research will quantify these synergistic interactions through Scenario D (Integrated Package), testing whether combined interventions yield non-linear (super-additive) benefits exceeding the sum of individual NbS and grey-infrastructure components.</w:t>
      </w:r>
    </w:p>
    <w:p>
      <w:pPr>
        <w:pStyle w:val="Heading1"/>
      </w:pPr>
      <w:r>
        <w:rPr>
          <w:rFonts w:ascii="Times New Roman" w:hAnsi="Times New Roman"/>
          <w:color w:val="000000"/>
        </w:rPr>
        <w:t>5. METHODOLOGICAL PIPELINE AND STUDY AREAS</w:t>
      </w:r>
    </w:p>
    <w:p>
      <w:pPr>
        <w:pStyle w:val="Heading2"/>
      </w:pPr>
      <w:r>
        <w:rPr>
          <w:rFonts w:ascii="Times New Roman" w:hAnsi="Times New Roman"/>
          <w:color w:val="000000"/>
        </w:rPr>
        <w:t>5.1 Study Area Selection and Geographical Profiles</w:t>
      </w:r>
    </w:p>
    <w:p>
      <w:pPr>
        <w:pStyle w:val="Heading3"/>
      </w:pPr>
      <w:r>
        <w:rPr>
          <w:rFonts w:ascii="Times New Roman" w:hAnsi="Times New Roman"/>
          <w:color w:val="000000"/>
        </w:rPr>
        <w:t>Primary Site: Raipur-Dehradun Watershed, Uttarakhand</w:t>
      </w:r>
    </w:p>
    <w:p>
      <w:pPr>
        <w:spacing w:after="120" w:line="360" w:lineRule="auto"/>
        <w:ind w:firstLine="720"/>
      </w:pPr>
      <w:r>
        <w:t>The Raipur-Dehradun watershed, a sub-Himalayan catchment of approximately 350 km² situated within the Doon Valley intermontane basin, represents a rapidly urbanizing landscape experiencing acute hydro-geomorphic stress. The watershed drains southward through the Song River system into the Ganges, traversing a geological sequence from the Mussoorie syncline (Greater Himalayan crystallines) through the Siwalik Group (unconsolidated conglomerates and sandstones) to the Doon gravels—a stratigraphy that produces extreme variability in infiltration capacity and mass-wasting susceptibility. The catchment is subject to flash floods triggered by cloudbursts (localized convective events producing &gt;100 mm/hour), debris flows mobilized by antecedent saturation of Siwalik slopes, and potential Glacial Lake Outburst Floods (GLOFs) from upstream glacial systems. Remote sensing analysis documents an 18% loss of forest cover between 2000 and 2022, replaced predominantly by built-up area and agricultural expansion, fundamentally altering catchment hydrological response. The selection of this site enables investigation of NbS efficacy under steep-gradient, high-intensity precipitation regimes characteristic of the sub-Himalayan belt.</w:t>
      </w:r>
    </w:p>
    <w:p>
      <w:pPr>
        <w:pStyle w:val="Heading3"/>
      </w:pPr>
      <w:r>
        <w:rPr>
          <w:rFonts w:ascii="Times New Roman" w:hAnsi="Times New Roman"/>
          <w:color w:val="000000"/>
        </w:rPr>
        <w:t>Comparative Site: Darbhanga District, North Bihar</w:t>
      </w:r>
    </w:p>
    <w:p>
      <w:pPr>
        <w:spacing w:after="120" w:line="360" w:lineRule="auto"/>
        <w:ind w:firstLine="720"/>
      </w:pPr>
      <w:r>
        <w:t>Darbhanga District in North Bihar represents the archetypal riverine floodplain landscape of the Indo-Gangetic Plains, dominated by the Kamla-Balan and Kosi river systems whose hydrology is fundamentally shaped by Himalayan snowmelt, monsoon precipitation, and sediment dynamics. The district exemplifies the "embankment trap"—a condition wherein extensive levee systems (constructed post-1954) have confined rivers, eliminated natural floodplain storage, and paradoxically increased flood depths and durations within protected areas when breaches occur. Approximately 76% of the district's population (predominantly agricultural communities of lower economic quintiles) resides within the documented flood-affected zone. The flat topography (average slope &lt;0.5%), heavy clay soils with low infiltration capacity, inadequate drainage infrastructure, and high water tables create conditions of prolonged waterlogging that conventional engineering approaches have failed to resolve. This site enables investigation of NbS efficacy under low-gradient, prolonged-inundation regimes where wetland reconnection and drainage restoration represent primary intervention pathways.</w:t>
      </w:r>
    </w:p>
    <w:p>
      <w:pPr>
        <w:pStyle w:val="Heading2"/>
      </w:pPr>
      <w:r>
        <w:rPr>
          <w:rFonts w:ascii="Times New Roman" w:hAnsi="Times New Roman"/>
          <w:color w:val="000000"/>
        </w:rPr>
        <w:t>5.2 Methodological Pipeline</w:t>
      </w:r>
    </w:p>
    <w:p>
      <w:pPr>
        <w:pStyle w:val="Heading3"/>
      </w:pPr>
      <w:r>
        <w:rPr>
          <w:rFonts w:ascii="Times New Roman" w:hAnsi="Times New Roman"/>
          <w:color w:val="000000"/>
        </w:rPr>
        <w:t>Phase 1: Open-Source Spatial Data Ingestion and Preprocessing</w:t>
      </w:r>
    </w:p>
    <w:p>
      <w:pPr>
        <w:spacing w:after="120" w:line="360" w:lineRule="auto"/>
        <w:ind w:firstLine="720"/>
      </w:pPr>
      <w:r>
        <w:t>The research employs an exclusively open-source data acquisition strategy to ensure replicability and scalability. Sentinel-2 multispectral imagery (10m visible/NIR, 20m SWIR) provides land-use/land-cover classification through supervised Random Forest algorithms trained on ground-truth points collected during field campaigns. Sentinel-1 C-band SAR imagery enables flood extent mapping during active events and soil moisture estimation through change detection algorithms. Topographic characterization utilizes SRTM 30m DEM supplemented by ALOS PALSAR 12.5m DEM for enhanced drainage delineation in flat terrain (critical for the Darbhanga site). Soil hydraulic properties (saturated hydraulic conductivity, water holding capacity, bulk density) are derived from ISRIC SoilGrids 250m global predictions, validated against available district soil survey reports. Precipitation forcing employs CHIRPS daily rainfall (0.05° resolution) for long-term climatological analysis and GPM IMERG V06 half-hourly data for event-scale hydrological modeling, validated against IMD rain gauge observations.</w:t>
      </w:r>
    </w:p>
    <w:p>
      <w:pPr>
        <w:pStyle w:val="Heading3"/>
      </w:pPr>
      <w:r>
        <w:rPr>
          <w:rFonts w:ascii="Times New Roman" w:hAnsi="Times New Roman"/>
          <w:color w:val="000000"/>
        </w:rPr>
        <w:t>Phase 2: Multi-Criteria Flood Vulnerability Index (FVI) Development</w:t>
      </w:r>
    </w:p>
    <w:p>
      <w:pPr>
        <w:spacing w:after="120" w:line="360" w:lineRule="auto"/>
        <w:ind w:firstLine="720"/>
      </w:pPr>
      <w:r>
        <w:t>A composite Flood Vulnerability Index is constructed at 30m spatial resolution through an Analytic Hierarchy Process (AHP) weighted multi-criteria decision analysis. The AHP framework enables systematic integration of heterogeneous vulnerability indicators through pairwise comparison matrices evaluated by an expert panel (minimum 7 domain experts from hydrology, geomorphology, disaster management, and ecology). A strict Consistency Ratio (CR) threshold of &lt;0.10 is enforced to ensure logical coherence of expert judgments. The FVI integrates the following parameter categories:</w:t>
      </w:r>
    </w:p>
    <w:p>
      <w:pPr>
        <w:pStyle w:val="ListBullet"/>
        <w:spacing w:line="360" w:lineRule="auto"/>
        <w:ind w:left="720"/>
      </w:pPr>
      <w:r>
        <w:t>Topographic Parameters: Slope gradient (degrees), Topographic Wetness Index (TWI = ln(a/tan β)), Height Above Nearest Drainage (HAND), flow accumulation, and curvature.</w:t>
      </w:r>
    </w:p>
    <w:p>
      <w:pPr>
        <w:pStyle w:val="ListBullet"/>
        <w:spacing w:line="360" w:lineRule="auto"/>
        <w:ind w:left="720"/>
      </w:pPr>
      <w:r>
        <w:t>Hydrological Parameters: Drainage density, distance to nearest stream channel, SCS Curve Number, and baseflow index.</w:t>
      </w:r>
    </w:p>
    <w:p>
      <w:pPr>
        <w:pStyle w:val="ListBullet"/>
        <w:spacing w:line="360" w:lineRule="auto"/>
        <w:ind w:left="720"/>
      </w:pPr>
      <w:r>
        <w:t>Land-Use Parameters: Impervious surface fraction, NDVI-based vegetation density, wetland extent, and riparian buffer width.</w:t>
      </w:r>
    </w:p>
    <w:p>
      <w:pPr>
        <w:pStyle w:val="ListBullet"/>
        <w:spacing w:line="360" w:lineRule="auto"/>
        <w:ind w:left="720"/>
      </w:pPr>
      <w:r>
        <w:t>Socio-Demographic Parameters: Population density (Census 2011 updated with growth projections), housing quality index, infrastructure exposure, and social vulnerability indicators (SC/ST proportion, female-headed households, Below Poverty Line proportion).</w:t>
      </w:r>
    </w:p>
    <w:p>
      <w:pPr>
        <w:spacing w:after="120" w:line="360" w:lineRule="auto"/>
        <w:ind w:firstLine="720"/>
      </w:pPr>
      <w:r>
        <w:t>The resulting FVI maps are validated against historical flood event inventories compiled from the Disaster Management Division records, SDMA reports, and Sentinel-1 derived flood extent maps for documented events (minimum 5 events per study site spanning 2015-2024).</w:t>
      </w:r>
    </w:p>
    <w:p>
      <w:pPr>
        <w:pStyle w:val="Heading3"/>
      </w:pPr>
      <w:r>
        <w:rPr>
          <w:rFonts w:ascii="Times New Roman" w:hAnsi="Times New Roman"/>
          <w:color w:val="000000"/>
        </w:rPr>
        <w:t>Phase 3: Hydrological and Hydraulic Modeling</w:t>
      </w:r>
    </w:p>
    <w:p>
      <w:pPr>
        <w:spacing w:after="120" w:line="360" w:lineRule="auto"/>
        <w:ind w:firstLine="720"/>
      </w:pPr>
      <w:r>
        <w:t>Catchment-scale rainfall-runoff processes are simulated using the Soil and Water Assessment Tool (SWAT), a physically-based, semi-distributed model operating at daily timestep with sub-daily disaggregation for event modeling. The SWAT model is configured with Hydrological Response Units (HRUs) defined by unique combinations of land use, soil type, and slope class. Model calibration and uncertainty analysis employ the SWAT-CUP SUFI-2 (Sequential Uncertainty Fitting version 2) algorithm, which uses Latin Hypercube sampling to explore parameter space and quantify 95% prediction uncertainty bands (95PPU). Calibration targets include daily streamflow at available CWC gauge stations, with performance criteria requiring Nash-Sutcliffe Efficiency (NSE) &gt; 0.6, coefficient of determination (R²) &gt; 0.65, and Percent Bias (PBIAS) within ±15% for both calibration and validation periods.</w:t>
      </w:r>
    </w:p>
    <w:p>
      <w:pPr>
        <w:spacing w:after="120" w:line="360" w:lineRule="auto"/>
        <w:ind w:firstLine="720"/>
      </w:pPr>
      <w:r>
        <w:t>For detailed floodplain hydraulics and inundation mapping, the calibrated SWAT discharge hydrographs serve as upstream boundary conditions for 2D unsteady-flow simulation in HEC-RAS 6.x (Hydrologic Engineering Center's River Analysis System). The 2D computational mesh is constructed at 10-30m resolution (adaptive, with refinement in channel and urban areas) using the SRTM/ALOS terrain model supplemented by bathymetric cross-sections where available. Manning's roughness coefficients are spatially distributed based on land-cover classification, with values ranging from 0.025 (paved surfaces) to 0.15 (dense riparian forest). Model validation employs Sentinel-1 SAR-derived flood extent maps with Critical Success Index (CSI) &gt; 0.6 as the minimum acceptable performance threshold.</w:t>
      </w:r>
    </w:p>
    <w:p>
      <w:pPr>
        <w:pStyle w:val="Heading3"/>
      </w:pPr>
      <w:r>
        <w:rPr>
          <w:rFonts w:ascii="Times New Roman" w:hAnsi="Times New Roman"/>
          <w:color w:val="000000"/>
        </w:rPr>
        <w:t>Phase 4: Socio-Economic Benefit-Cost Analysis</w:t>
      </w:r>
    </w:p>
    <w:p>
      <w:pPr>
        <w:spacing w:after="120" w:line="360" w:lineRule="auto"/>
        <w:ind w:firstLine="720"/>
      </w:pPr>
      <w:r>
        <w:t>The economic valuation component employs stage-damage (depth-damage) curves adapted for Indian building typologies and agricultural systems to translate simulated flood depths into monetary damage estimates. Curves are developed for five asset categories: residential structures (kuccha, semi-pucca, pucca), commercial properties, agricultural crops (season-specific), public infrastructure, and vehicles. The benefit of NbS interventions is calculated as the Expected Annual Damage (EAD) reduction between baseline and intervention scenarios, integrated across the full return period spectrum (2-500 year). Lifecycle cost-benefit analysis employs a 30-year evaluation horizon at dual discount rates: 3% (reflecting social time preference for long-term environmental investments) and 8% (reflecting India's standard public project appraisal rate per the Niti Aayog framework). Total Economic Value (TEV) incorporates non-market benefits including carbon sequestration (valued at $50/tCO₂e), groundwater recharge, biodiversity habitat provision, and recreational amenity values estimated through benefit transfer from comparable Indian valuation studies.</w:t>
      </w:r>
    </w:p>
    <w:p>
      <w:pPr>
        <w:pStyle w:val="Heading1"/>
      </w:pPr>
      <w:r>
        <w:rPr>
          <w:rFonts w:ascii="Times New Roman" w:hAnsi="Times New Roman"/>
          <w:color w:val="000000"/>
        </w:rPr>
        <w:t>6. SIMULATION INTERVENTION SCENARIOS</w:t>
      </w:r>
    </w:p>
    <w:p>
      <w:pPr>
        <w:spacing w:after="120" w:line="360" w:lineRule="auto"/>
        <w:ind w:firstLine="720"/>
      </w:pPr>
      <w:r>
        <w:t>Four distinct NbS intervention scenarios are modeled, each involving specific parameter modifications within the calibrated SWAT and HEC-RAS modeling frameworks. All scenarios are evaluated against a baseline (current land-use) condition and a grey-infrastructure counterfactual (conventional embankment heightening and channel widening).</w:t>
      </w:r>
    </w:p>
    <w:p>
      <w:pPr>
        <w:pStyle w:val="Heading2"/>
      </w:pPr>
      <w:r>
        <w:rPr>
          <w:rFonts w:ascii="Times New Roman" w:hAnsi="Times New Roman"/>
          <w:color w:val="000000"/>
        </w:rPr>
        <w:t>Scenario A: Riparian Buffer Establishment</w:t>
      </w:r>
    </w:p>
    <w:p>
      <w:pPr>
        <w:spacing w:after="120" w:line="360" w:lineRule="auto"/>
        <w:ind w:firstLine="720"/>
      </w:pPr>
      <w:r>
        <w:t>This scenario simulates the establishment of 20-50 meter vegetated riparian buffers along all primary (Strahler order ≥3) and secondary (Strahler order 2) drainage channels within the study watersheds. In HEC-RAS, Manning's roughness coefficient (n) is modified from the baseline value of 0.03 (representing existing degraded/agricultural riparian zones) to 0.12 (representing mature mixed riparian forest with understory), simulating the hydraulic effect of flow retardation through dense vegetation. In SWAT, the corresponding HRUs are reclassified from agricultural/barren land use to forest/buffer land use, modifying infiltration parameters, leaf area index, and evapotranspiration rates accordingly. The scenario evaluates the resulting reduction in peak discharge, extension of time-to-peak, and reduction in downstream flood depths.</w:t>
      </w:r>
    </w:p>
    <w:p>
      <w:pPr>
        <w:pStyle w:val="Heading2"/>
      </w:pPr>
      <w:r>
        <w:rPr>
          <w:rFonts w:ascii="Times New Roman" w:hAnsi="Times New Roman"/>
          <w:color w:val="000000"/>
        </w:rPr>
        <w:t>Scenario B: Wetland Reconnection and Restoration</w:t>
      </w:r>
    </w:p>
    <w:p>
      <w:pPr>
        <w:spacing w:after="120" w:line="360" w:lineRule="auto"/>
        <w:ind w:firstLine="720"/>
      </w:pPr>
      <w:r>
        <w:t>This scenario models the hydrological reconnection of historically disconnected floodplain wetlands (oxbow lakes, palustrine marshes, and seasonal jheels) to the active drainage network, restoring their function as off-stream stormwater retention basins. In SWAT, the SCS Curve Number for identified wetland restoration zones is modified from the current degraded value of 85 (representing compacted, poorly-drained agricultural land occupying former wetland basins) to 65 (representing functional wetland with high organic content, ponding storage, and saturated hydraulic connectivity). Additionally, reservoir routing parameters are introduced at wetland locations to simulate the storage-discharge relationship of restored water bodies. The scenario quantifies off-stream storage volumes, peak discharge attenuation at downstream locations, and the temporal lag introduced into the flood hydrograph.</w:t>
      </w:r>
    </w:p>
    <w:p>
      <w:pPr>
        <w:pStyle w:val="Heading2"/>
      </w:pPr>
      <w:r>
        <w:rPr>
          <w:rFonts w:ascii="Times New Roman" w:hAnsi="Times New Roman"/>
          <w:color w:val="000000"/>
        </w:rPr>
        <w:t>Scenario C: Headwater Micro-Basin Treatment</w:t>
      </w:r>
    </w:p>
    <w:p>
      <w:pPr>
        <w:spacing w:after="120" w:line="360" w:lineRule="auto"/>
        <w:ind w:firstLine="720"/>
      </w:pPr>
      <w:r>
        <w:t>This scenario simulates comprehensive watershed treatment of headwater catchments (Strahler order 1-2) through vegetative porous barriers (loose boulder check structures with living vegetation), contour trenching, and afforestation—interventions aligned with the Pradhan Mantri Krishi Sinchayee Yojana Watershed Development Component 2.0 (PMKSY-WDC 2.0) guidelines. In SWAT, treated sub-basins receive modified parameters including reduced Curve Numbers (5-10 unit reduction reflecting enhanced infiltration), increased soil available water capacity (representing improved soil structure), and modified USLE cover factor reflecting vegetation establishment. The scenario evaluates cumulative downstream impacts of distributed headwater interventions on catchment-outlet hydrographs.</w:t>
      </w:r>
    </w:p>
    <w:p>
      <w:pPr>
        <w:pStyle w:val="Heading2"/>
      </w:pPr>
      <w:r>
        <w:rPr>
          <w:rFonts w:ascii="Times New Roman" w:hAnsi="Times New Roman"/>
          <w:color w:val="000000"/>
        </w:rPr>
        <w:t>Scenario D: Integrated NbS-Grey Infrastructure Package</w:t>
      </w:r>
    </w:p>
    <w:p>
      <w:pPr>
        <w:spacing w:after="120" w:line="360" w:lineRule="auto"/>
        <w:ind w:firstLine="720"/>
      </w:pPr>
      <w:r>
        <w:t>The final scenario combines Scenarios A, B, and C simultaneously, with the addition of targeted grey-infrastructure enhancements (channel optimization, culvert upgrades) at identified bottleneck locations. This integrated scenario tests whether combined NbS interventions produce synergistic (super-additive) flood reduction benefits exceeding the arithmetic sum of individual scenario outcomes. The grey-infrastructure counterfactual consists of conventional engineering interventions (embankment heightening by 1.5m, channel widening by 30%) designed to achieve equivalent flood protection levels, enabling direct economic comparison of NbS-hybrid versus pure grey-infrastructure approaches under identical design storm conditions.</w:t>
      </w:r>
    </w:p>
    <w:p>
      <w:pPr>
        <w:pStyle w:val="Heading1"/>
      </w:pPr>
      <w:r>
        <w:rPr>
          <w:rFonts w:ascii="Times New Roman" w:hAnsi="Times New Roman"/>
          <w:color w:val="000000"/>
        </w:rPr>
        <w:t>7. TIMELINE, SCIE PUBLICATION TRACK, AND ETHICAL CONSIDERATIONS</w:t>
      </w:r>
    </w:p>
    <w:p>
      <w:pPr>
        <w:pStyle w:val="Heading2"/>
      </w:pPr>
      <w:r>
        <w:rPr>
          <w:rFonts w:ascii="Times New Roman" w:hAnsi="Times New Roman"/>
          <w:color w:val="000000"/>
        </w:rPr>
        <w:t>7.1 Research Timeline: 36-Month Fast-Track Pipeline</w:t>
      </w:r>
    </w:p>
    <w:p>
      <w:pPr>
        <w:spacing w:after="120" w:line="360" w:lineRule="auto"/>
        <w:ind w:firstLine="720"/>
      </w:pPr>
      <w:r>
        <w:t>The research is structured as a 36-month accelerated PhD program with the following phase-wise timeline:</w:t>
      </w:r>
    </w:p>
    <w:p>
      <w:pPr>
        <w:pStyle w:val="ListBullet"/>
        <w:spacing w:line="360" w:lineRule="auto"/>
        <w:ind w:left="720"/>
      </w:pPr>
      <w:r>
        <w:t>Months 1-6: Comprehensive literature review, study area reconnaissance, field data collection (ground-truth points, cross-sections, community surveys), and data procurement/preprocessing.</w:t>
      </w:r>
    </w:p>
    <w:p>
      <w:pPr>
        <w:pStyle w:val="ListBullet"/>
        <w:spacing w:line="360" w:lineRule="auto"/>
        <w:ind w:left="720"/>
      </w:pPr>
      <w:r>
        <w:t>Months 7-12: FVI development, AHP expert elicitation, vulnerability mapping, and validation. Submission of Paper 1 (Systematic Review and Conceptual Framework) to a Q1 SCIE journal.</w:t>
      </w:r>
    </w:p>
    <w:p>
      <w:pPr>
        <w:pStyle w:val="ListBullet"/>
        <w:spacing w:line="360" w:lineRule="auto"/>
        <w:ind w:left="720"/>
      </w:pPr>
      <w:r>
        <w:t>Months 13-18: SWAT model setup, calibration (SUFI-2), and validation for both study sites. Submission of Paper 2 (GIS-Based Flood Vulnerability Atlas) to a Q1/Q2 SCIE journal.</w:t>
      </w:r>
    </w:p>
    <w:p>
      <w:pPr>
        <w:pStyle w:val="ListBullet"/>
        <w:spacing w:line="360" w:lineRule="auto"/>
        <w:ind w:left="720"/>
      </w:pPr>
      <w:r>
        <w:t>Months 19-27: HEC-RAS 2D model development, scenario simulations (A through D), sensitivity analysis, and uncertainty quantification. Submission of Paper 3 (Hydrological Simulation of NbS Efficacy) to a Q1 SCIE journal (e.g., Journal of Hydrology, Water Resources Research).</w:t>
      </w:r>
    </w:p>
    <w:p>
      <w:pPr>
        <w:pStyle w:val="ListBullet"/>
        <w:spacing w:line="360" w:lineRule="auto"/>
        <w:ind w:left="720"/>
      </w:pPr>
      <w:r>
        <w:t>Months 28-33: Economic valuation, benefit-cost analysis, decision support framework development, and stakeholder validation workshops. Submission of Paper 4 (Economic Decision Framework for NbS-DDMP Integration) to a Q1/Q2 SCIE journal.</w:t>
      </w:r>
    </w:p>
    <w:p>
      <w:pPr>
        <w:pStyle w:val="ListBullet"/>
        <w:spacing w:line="360" w:lineRule="auto"/>
        <w:ind w:left="720"/>
      </w:pPr>
      <w:r>
        <w:t>Months 34-36: Dissertation compilation, internal review, pre-submission seminar, and final submission to the university examination system.</w:t>
      </w:r>
    </w:p>
    <w:p>
      <w:pPr>
        <w:pStyle w:val="Heading2"/>
      </w:pPr>
      <w:r>
        <w:rPr>
          <w:rFonts w:ascii="Times New Roman" w:hAnsi="Times New Roman"/>
          <w:color w:val="000000"/>
        </w:rPr>
        <w:t>7.2 SCIE Publication Track (4-Paper Model)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Paper</w:t>
            </w:r>
          </w:p>
        </w:tc>
        <w:tc>
          <w:tcPr>
            <w:tcW w:type="dxa" w:w="2160"/>
          </w:tcPr>
          <w:p>
            <w:r>
              <w:rPr>
                <w:b/>
              </w:rPr>
              <w:t>Title/Focus</w:t>
            </w:r>
          </w:p>
        </w:tc>
        <w:tc>
          <w:tcPr>
            <w:tcW w:type="dxa" w:w="2160"/>
          </w:tcPr>
          <w:p>
            <w:r>
              <w:rPr>
                <w:b/>
              </w:rPr>
              <w:t>Target Timeline</w:t>
            </w:r>
          </w:p>
        </w:tc>
        <w:tc>
          <w:tcPr>
            <w:tcW w:type="dxa" w:w="2160"/>
          </w:tcPr>
          <w:p>
            <w:r>
              <w:rPr>
                <w:b/>
              </w:rPr>
              <w:t>Target Journal Tier</w:t>
            </w:r>
          </w:p>
        </w:tc>
      </w:tr>
      <w:tr>
        <w:tc>
          <w:tcPr>
            <w:tcW w:type="dxa" w:w="2160"/>
          </w:tcPr>
          <w:p>
            <w:r>
              <w:t>Paper 1</w:t>
            </w:r>
          </w:p>
        </w:tc>
        <w:tc>
          <w:tcPr>
            <w:tcW w:type="dxa" w:w="2160"/>
          </w:tcPr>
          <w:p>
            <w:r>
              <w:t>Systematic Review: NbS for Inland Flood Mitigation in South Asia</w:t>
            </w:r>
          </w:p>
        </w:tc>
        <w:tc>
          <w:tcPr>
            <w:tcW w:type="dxa" w:w="2160"/>
          </w:tcPr>
          <w:p>
            <w:r>
              <w:t>Month 12</w:t>
            </w:r>
          </w:p>
        </w:tc>
        <w:tc>
          <w:tcPr>
            <w:tcW w:type="dxa" w:w="2160"/>
          </w:tcPr>
          <w:p>
            <w:r>
              <w:t>Q1 SCIE</w:t>
            </w:r>
          </w:p>
        </w:tc>
      </w:tr>
      <w:tr>
        <w:tc>
          <w:tcPr>
            <w:tcW w:type="dxa" w:w="2160"/>
          </w:tcPr>
          <w:p>
            <w:r>
              <w:t>Paper 2</w:t>
            </w:r>
          </w:p>
        </w:tc>
        <w:tc>
          <w:tcPr>
            <w:tcW w:type="dxa" w:w="2160"/>
          </w:tcPr>
          <w:p>
            <w:r>
              <w:t>District-Scale Flood Vulnerability Atlas Using AHP-GIS Integration</w:t>
            </w:r>
          </w:p>
        </w:tc>
        <w:tc>
          <w:tcPr>
            <w:tcW w:type="dxa" w:w="2160"/>
          </w:tcPr>
          <w:p>
            <w:r>
              <w:t>Month 18</w:t>
            </w:r>
          </w:p>
        </w:tc>
        <w:tc>
          <w:tcPr>
            <w:tcW w:type="dxa" w:w="2160"/>
          </w:tcPr>
          <w:p>
            <w:r>
              <w:t>Q1/Q2 SCIE</w:t>
            </w:r>
          </w:p>
        </w:tc>
      </w:tr>
      <w:tr>
        <w:tc>
          <w:tcPr>
            <w:tcW w:type="dxa" w:w="2160"/>
          </w:tcPr>
          <w:p>
            <w:r>
              <w:t>Paper 3</w:t>
            </w:r>
          </w:p>
        </w:tc>
        <w:tc>
          <w:tcPr>
            <w:tcW w:type="dxa" w:w="2160"/>
          </w:tcPr>
          <w:p>
            <w:r>
              <w:t>SWAT-HEC-RAS Simulation of NbS Scenarios Under Non-Stationary Climate</w:t>
            </w:r>
          </w:p>
        </w:tc>
        <w:tc>
          <w:tcPr>
            <w:tcW w:type="dxa" w:w="2160"/>
          </w:tcPr>
          <w:p>
            <w:r>
              <w:t>Month 27</w:t>
            </w:r>
          </w:p>
        </w:tc>
        <w:tc>
          <w:tcPr>
            <w:tcW w:type="dxa" w:w="2160"/>
          </w:tcPr>
          <w:p>
            <w:r>
              <w:t>Q1 SCIE</w:t>
            </w:r>
          </w:p>
        </w:tc>
      </w:tr>
      <w:tr>
        <w:tc>
          <w:tcPr>
            <w:tcW w:type="dxa" w:w="2160"/>
          </w:tcPr>
          <w:p>
            <w:r>
              <w:t>Paper 4</w:t>
            </w:r>
          </w:p>
        </w:tc>
        <w:tc>
          <w:tcPr>
            <w:tcW w:type="dxa" w:w="2160"/>
          </w:tcPr>
          <w:p>
            <w:r>
              <w:t>Economic Decision Framework for NbS Integration in DDMPs</w:t>
            </w:r>
          </w:p>
        </w:tc>
        <w:tc>
          <w:tcPr>
            <w:tcW w:type="dxa" w:w="2160"/>
          </w:tcPr>
          <w:p>
            <w:r>
              <w:t>Month 33</w:t>
            </w:r>
          </w:p>
        </w:tc>
        <w:tc>
          <w:tcPr>
            <w:tcW w:type="dxa" w:w="2160"/>
          </w:tcPr>
          <w:p>
            <w:r>
              <w:t>Q1/Q2 SCIE</w:t>
            </w:r>
          </w:p>
        </w:tc>
      </w:tr>
    </w:tbl>
    <w:p/>
    <w:p>
      <w:pPr>
        <w:pStyle w:val="Heading2"/>
      </w:pPr>
      <w:r>
        <w:rPr>
          <w:rFonts w:ascii="Times New Roman" w:hAnsi="Times New Roman"/>
          <w:color w:val="000000"/>
        </w:rPr>
        <w:t>7.3 Ethical Considerations</w:t>
      </w:r>
    </w:p>
    <w:p>
      <w:pPr>
        <w:pStyle w:val="Heading3"/>
      </w:pPr>
      <w:r>
        <w:rPr>
          <w:rFonts w:ascii="Times New Roman" w:hAnsi="Times New Roman"/>
          <w:color w:val="000000"/>
        </w:rPr>
        <w:t>Data Ethics and Privacy</w:t>
      </w:r>
    </w:p>
    <w:p>
      <w:pPr>
        <w:spacing w:after="120" w:line="360" w:lineRule="auto"/>
        <w:ind w:firstLine="720"/>
      </w:pPr>
      <w:r>
        <w:t>All spatial data employed in this research is derived from open-source platforms (Copernicus, NASA, ISRIC) freely available for research purposes. Socio-demographic data from Census 2011 is used at aggregate (village/ward) levels without individual identification. Community surveys conducted during field validation will obtain informed consent through bilingual (Hindi/English or Hindi/Maithili) consent forms approved by the DBS Global University Institutional Ethics Committee. GPS coordinates of individual households will be aggregated to ward-level centroids in published outputs to prevent identification of specific properties. All data storage complies with the Information Technology Act, 2000, and emerging data protection norms under the Digital Personal Data Protection Act, 2023.</w:t>
      </w:r>
    </w:p>
    <w:p>
      <w:pPr>
        <w:pStyle w:val="Heading3"/>
      </w:pPr>
      <w:r>
        <w:rPr>
          <w:rFonts w:ascii="Times New Roman" w:hAnsi="Times New Roman"/>
          <w:color w:val="000000"/>
        </w:rPr>
        <w:t>Participatory and Gender-Sensitive Community Validation</w:t>
      </w:r>
    </w:p>
    <w:p>
      <w:pPr>
        <w:spacing w:after="120" w:line="360" w:lineRule="auto"/>
        <w:ind w:firstLine="720"/>
      </w:pPr>
      <w:r>
        <w:t>The research incorporates participatory validation at two stages: (1) during FVI development, where community-level Participatory Rural Appraisal (PRA) exercises—including transect walks, seasonal calendars, and hazard mapping—validate model-derived vulnerability classifications against lived experience; and (2) during decision support framework development, where stakeholder workshops with district officials, Panchayati Raj Institution members, and community representatives validate the practicability and acceptability of proposed NbS interventions. Gender sensitivity is ensured through: mandatory minimum 50% female participation in community validation exercises; gender-disaggregated vulnerability indicators within the FVI; and explicit assessment of how proposed NbS interventions differentially impact women's workloads, mobility, and economic opportunities.</w:t>
      </w:r>
    </w:p>
    <w:p>
      <w:pPr>
        <w:pStyle w:val="Heading3"/>
      </w:pPr>
      <w:r>
        <w:rPr>
          <w:rFonts w:ascii="Times New Roman" w:hAnsi="Times New Roman"/>
          <w:color w:val="000000"/>
        </w:rPr>
        <w:t>Climate Justice Framework</w:t>
      </w:r>
    </w:p>
    <w:p>
      <w:pPr>
        <w:spacing w:after="120" w:line="360" w:lineRule="auto"/>
        <w:ind w:firstLine="720"/>
      </w:pPr>
      <w:r>
        <w:t>Recognizing that flood impacts in India are profoundly inequitable—with Scheduled Caste and Scheduled Tribe communities, landless agricultural laborers, and female-headed households bearing disproportionate losses relative to their asset base and adaptive capacity—this research embeds a Climate Justice analytical lens throughout. Flood damage estimates and NbS benefit distributions are disaggregated by: gender (male-headed vs. female-headed households); caste category (General, OBC, SC, ST); economic quintile (based on housing quality and landholding proxies); and geographic marginality (distance from administrative centers and service infrastructure). The research explicitly evaluates whether proposed NbS interventions reduce or exacerbate existing inequities in flood risk distribution, ensuring that vulnerable communities are positioned as primary beneficiaries rather than bearing additional costs (e.g., land acquisition for buffer zones displacing marginal farmers). This equity analysis directly informs the DDMP integration framework, embedding distributional justice criteria within the prioritization algorithm for NbS site selection.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