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AI-GIS Integration for Nature-Based Solutions Assessment:</w:t>
        <w:br/>
        <w:t>A Hydro-Spatial Framework for Flood Mitigation in Himalayan Watersheds</w:t>
      </w:r>
    </w:p>
    <w:p/>
    <w:p>
      <w:pPr>
        <w:jc w:val="center"/>
      </w:pPr>
      <w:r>
        <w:rPr>
          <w:sz w:val="24"/>
        </w:rPr>
        <w:t>Raj Amritam*, Nidhi Rawat</w:t>
      </w:r>
    </w:p>
    <w:p>
      <w:pPr>
        <w:jc w:val="center"/>
      </w:pPr>
      <w:r>
        <w:rPr>
          <w:i/>
          <w:sz w:val="20"/>
        </w:rPr>
        <w:t>Department of Environmental Science, DBS Global University, Dehradun 248001, India</w:t>
        <w:br/>
        <w:t>*Corresponding Author: raj.amritam@dbsgu.ac.in</w:t>
      </w:r>
    </w:p>
    <w:p/>
    <w:p/>
    <w:p>
      <w:pPr>
        <w:jc w:val="center"/>
      </w:pPr>
      <w:r>
        <w:rPr>
          <w:i/>
          <w:sz w:val="22"/>
        </w:rPr>
        <w:t>Journal of Hydrology, 632, 130845 (2025)</w:t>
      </w:r>
    </w:p>
    <w:p/>
    <w:p>
      <w:r>
        <w:t>______________________________________________________________________</w:t>
      </w:r>
    </w:p>
    <w:p>
      <w:pPr>
        <w:pStyle w:val="Heading1"/>
      </w:pPr>
      <w:r>
        <w:rPr>
          <w:color w:val="1A4D2E"/>
        </w:rPr>
        <w:t>Abstract</w:t>
      </w:r>
    </w:p>
    <w:p>
      <w:r>
        <w:t>Nature-Based Solutions (NbS) offer sustainable alternatives to grey infrastructure for flood risk management, yet systematic deployment frameworks integrating Artificial Intelligence (AI) and Geographic Information Systems (GIS) with process-based hydrology remain undeveloped for Himalayan watersheds. This study presents a novel Hydro-Spatial Modeling Framework (HSMF) that integrates Random Forest and XGBoost ensemble flood susceptibility mapping (AUC = 0.946), HEC-HMS/SWAT hydrological modeling (NSE = 0.89), and GIS-based multi-criteria decision analysis to identify and evaluate 47 optimal NbS deployment sites across the Alaknanda-Mandakini watershed system in Uttarakhand, India. Scenario modeling demonstrates that strategically placed NbS interventions reduce peak flood discharge by 22.5-31.7% across 10-100 year return periods, outperforming equivalent grey infrastructure investment (14-20% reduction) at 36% lower cost. The integrated framework achieves superior predictive performance compared to standalone approaches, with transferability validated on an independent watershed (AUC = 0.87 without re-calibration). Results provide the first quantitative evidence of NbS efficacy for extreme monsoon conditions (&gt;150 mm/day) in the Indian Himalayan Region, with a benefit-cost ratio of 4.2:1 including co-benefits. The HSMF offers a replicable, scalable tool for evidence-based NbS planning in climate-vulnerable mountain watersheds globally.</w:t>
        <w:br/>
        <w:br/>
        <w:t>Keywords: Nature-Based Solutions; Flood susceptibility; Machine learning; Hydrological modeling; GIS-MCDA; Himalayan watershed; Climate adaptation; Random Forest; XGBoost; HEC-HMS</w:t>
      </w:r>
    </w:p>
    <w:p>
      <w:r>
        <w:t>______________________________________________________________________</w:t>
      </w:r>
    </w:p>
    <w:p>
      <w:pPr>
        <w:pStyle w:val="Heading1"/>
      </w:pPr>
      <w:r>
        <w:rPr>
          <w:color w:val="1A4D2E"/>
        </w:rPr>
        <w:t>1. Introduction</w:t>
      </w:r>
    </w:p>
    <w:p>
      <w:r>
        <w:t>Flooding is the most frequent and destructive natural hazard globally, affecting 2.3 billion people between 2000-2023 and causing annual damages exceeding USD 40 billion (UNDRR, 2023). The Indian Himalayan Region (IHR) faces intensifying flood risk due to climate-amplified extreme precipitation, glacial dynamics, and anthropogenic land-use changes (IPCC AR6, 2022). The 2013 Kedarnath disaster (&gt;5,700 deaths) and recurrent events in 2021-2023 underscore the failure of conventional grey infrastructure to provide comprehensive flood protection.</w:t>
        <w:br/>
        <w:br/>
        <w:t>Nature-Based Solutions (NbS) - actions to protect, manage, and restore ecosystems for societal challenges (IUCN, 2016) - offer a paradigm shift. Global evidence demonstrates NbS can reduce peak flows by 10-40% through increased infiltration, storage, and flow attenuation (Chausson et al., 2020). However, evidence from tropical/subtropical mountain systems with extreme precipitation (&gt;150 mm/day) remains critically scarce.</w:t>
        <w:br/>
        <w:br/>
        <w:t>Recent advances in machine learning (ML) and remote sensing enable high-resolution flood susceptibility mapping (Tien Bui et al., 2020), while process-based models quantify intervention impacts (Dadson et al., 2017). Yet these capabilities remain siloed - no integrated framework connects AI-based hazard assessment with GIS-optimized NbS planning and hydrological scenario modeling for Indian Himalayan contexts.</w:t>
        <w:br/>
        <w:br/>
        <w:t>This paper presents the Hydro-Spatial Modeling Framework (HSMF) addressing this gap through integration of: (1) ensemble ML flood susceptibility mapping, (2) calibrated hydrological models, and (3) GIS-based multi-criteria NbS suitability analysis. We demonstrate its application in the Alaknanda-Mandakini watershed (12,511 km²) and validate transferability to an independent basin.</w:t>
      </w:r>
    </w:p>
    <w:p>
      <w:pPr>
        <w:pStyle w:val="Heading1"/>
      </w:pPr>
      <w:r>
        <w:rPr>
          <w:color w:val="1A4D2E"/>
        </w:rPr>
        <w:t>2. Study Area and Data</w:t>
      </w:r>
    </w:p>
    <w:p>
      <w:r>
        <w:t>2.1 Study Area</w:t>
        <w:br/>
        <w:br/>
        <w:t>The Alaknanda-Mandakini watershed system (30°10'-31°03'N, 78°58'-80°08'E) in Garhwal Himalaya, Uttarakhand, India covers 12,511 km² with elevation range 475-7,816 m. The area receives 1,200-2,800 mm annual rainfall (75-85% monsoonal) and experienced major floods in 2010, 2012, 2013, 2016, 2021, and 2023. Land use change analysis (2000-2023) shows 5.7% dense forest loss and 3.6% increase in degraded scrubland.</w:t>
        <w:br/>
        <w:br/>
        <w:t>2.2 Data Sources</w:t>
        <w:br/>
        <w:br/>
        <w:t>Multi-source datasets were acquired: SRTM DEM (30m), Sentinel-2/Landsat imagery (2000-2023), IMD gridded rainfall (0.25°, 1990-2023), CWC discharge data (4 stations, 2005-2023), NBSS&amp;LUP soil maps, GSI geological maps, CORDEX-SA climate projections (RCP 4.5/8.5), and a GPS-documented flood inventory (347 historical flood points from SDMA records, field surveys, and satellite-based mapping).</w:t>
      </w:r>
    </w:p>
    <w:p>
      <w:pPr>
        <w:pStyle w:val="Heading1"/>
      </w:pPr>
      <w:r>
        <w:rPr>
          <w:color w:val="1A4D2E"/>
        </w:rPr>
        <w:t>3. Methodology</w:t>
      </w:r>
    </w:p>
    <w:p>
      <w:r>
        <w:t>3.1 Framework Architecture</w:t>
        <w:br/>
        <w:br/>
        <w:t>The HSMF comprises three integrated modules:</w:t>
        <w:br/>
        <w:t>Module 1 (Hazard Assessment): Ensemble ML flood susceptibility + hydrological modeling</w:t>
        <w:br/>
        <w:t>Module 2 (NbS Optimization): GIS-MCDA suitability analysis with AHP weighting</w:t>
        <w:br/>
        <w:t>Module 3 (Scenario Evaluation): NbS impact quantification under climate projections</w:t>
        <w:br/>
        <w:br/>
        <w:t>3.2 Flood Susceptibility Mapping</w:t>
        <w:br/>
        <w:br/>
        <w:t>A flood inventory of 347 points (flood/non-flood: 1:1 ratio) was used with 14 conditioning factors: elevation, slope, aspect, curvature (plan + profile), TWI, SPI, distance to river, drainage density, rainfall intensity, LULC, NDVI, lithology, and soil hydrological group. Multicollinearity was verified (all VIF &lt; 5). Data split: 70% training, 30% testing.</w:t>
        <w:br/>
        <w:br/>
        <w:t>Random Forest (n_estimators=500, max_features='sqrt') and XGBoost (n_estimators=300, max_depth=6, learning_rate=0.1) were optimized via cross-validation. A weighted voting ensemble (RF: 0.45, XGBoost: 0.55, weights from validation AUC) produces the final susceptibility map classified into 5 zones (Jenks natural breaks).</w:t>
        <w:br/>
        <w:br/>
        <w:t>3.3 Hydrological Modeling</w:t>
        <w:br/>
        <w:br/>
        <w:t>HEC-HMS 4.11 was configured for event-based simulation (SCS-CN loss, SCS UH transform, Muskingum-Cunge routing) calibrated against 20 flood events (2015-2019) at 4 stations. SWAT2012 provided continuous daily simulation (87 sub-basins, 1,432 HRUs) calibrated with SUFI-2 algorithm (2008-2016 calibration, 2017-2023 validation).</w:t>
        <w:br/>
        <w:br/>
        <w:t>3.4 NbS Suitability Analysis</w:t>
        <w:br/>
        <w:br/>
        <w:t>AHP-weighted MCDA with 10 criteria (flood susceptibility, slope, soil infiltration, LULC, river proximity, contributing area, ecological connectivity, tenure, accessibility, community willingness) for 5 NbS types (riparian buffers, wetlands, afforestation, check dams, terrace enhancement). Spatial overlay in ArcGIS Pro with constraint mapping.</w:t>
        <w:br/>
        <w:br/>
        <w:t>3.5 Scenario Modeling</w:t>
        <w:br/>
        <w:br/>
        <w:t>NbS interventions parameterized in HEC-HMS/SWAT (CN modification, roughness, storage addition) for return periods 10-100 years under current climate and CORDEX-SA projections (RCP 4.5, RCP 8.5, 2050). Grey infrastructure equivalent modeled for comparison.</w:t>
      </w:r>
    </w:p>
    <w:p>
      <w:pPr>
        <w:pStyle w:val="Heading1"/>
      </w:pPr>
      <w:r>
        <w:rPr>
          <w:color w:val="1A4D2E"/>
        </w:rPr>
        <w:t>4. Results</w:t>
      </w:r>
    </w:p>
    <w:p>
      <w:r>
        <w:t>4.1 Flood Susceptibility Mapping</w:t>
        <w:br/>
        <w:br/>
        <w:t>The RF+XGBoost ensemble achieved AUC = 0.946, accuracy = 91.3%, and kappa = 0.83, outperforming individual models (RF: 0.921, XGBoost: 0.938, SVM: 0.892, ANN: 0.903). Top predictors: distance to river (importance: 0.187), slope (0.156), TWI (0.134), rainfall intensity (0.112), elevation (0.098). Very High/High susceptibility zones cover 22.8% (Alaknanda) and 29.7% (Mandakini) of watershed area.</w:t>
        <w:br/>
        <w:br/>
        <w:t>4.2 Hydrological Model Performance</w:t>
        <w:br/>
        <w:br/>
        <w:t>HEC-HMS: Mean calibration NSE = 0.81, validation NSE = 0.77, peak error ±11.9%.</w:t>
        <w:br/>
        <w:t>SWAT: Calibration NSE = 0.71 (daily)/0.82 (monthly), validation NSE = 0.67/0.78.</w:t>
        <w:br/>
        <w:t>Integrated HSMF: NSE = 0.89 (AI-corrected inputs + spatially distributed parameters).</w:t>
        <w:br/>
        <w:br/>
        <w:t>4.3 NbS Site Identification</w:t>
        <w:br/>
        <w:br/>
        <w:t>47 optimal NbS sites identified: riparian buffers (12), wetlands (8), afforestation (15), check dams (9), terrace enhancement (3), covering 231.4 km². HSMF-identified sites showed 23% higher flood reduction efficiency versus expert-panel (81.3% overlap with experts, plus 21 additional sites not recognized by expert assessment).</w:t>
        <w:br/>
        <w:br/>
        <w:t>4.4 Scenario Analysis</w:t>
        <w:br/>
        <w:br/>
        <w:t>NbS reduces peak discharge by 22.5% (100-yr RP) to 31.7% (10-yr RP) at Rudraprayag. Grey infrastructure: 14-20% reduction for equivalent investment. Under RCP 4.5 (2050), NbS maintains 73% efficacy; under RCP 8.5, 62%. Flood extent reduction: NbS -41.1% vs grey -26.1%. Cost-benefit: NbS BCR = 4.2:1 vs grey BCR = 1.8:1.</w:t>
        <w:br/>
        <w:br/>
        <w:t>4.5 Transferability</w:t>
        <w:br/>
        <w:br/>
        <w:t>Applied to Bhagirathi sub-basin (7,963 km²) without re-calibration: flood susceptibility AUC = 0.87 (-8%), NbS site overlap with local experts = 74%, data requirement = 60% less than building from scratch.</w:t>
      </w:r>
    </w:p>
    <w:p>
      <w:pPr>
        <w:pStyle w:val="Heading1"/>
      </w:pPr>
      <w:r>
        <w:rPr>
          <w:color w:val="1A4D2E"/>
        </w:rPr>
        <w:t>5. Discussion</w:t>
      </w:r>
    </w:p>
    <w:p>
      <w:r>
        <w:t>This study presents the first integrated AI-GIS-Hydrology framework for NbS assessment in Indian Himalayan conditions, addressing critical gaps in quantitative NbS evidence for extreme precipitation environments.</w:t>
        <w:br/>
        <w:br/>
        <w:t>The 22-34% peak discharge reduction from NbS aligns with upper-range estimates from European studies (10-40%, Chausson et al., 2020) despite more extreme precipitation. This is attributed to the high restoration potential of degraded Himalayan watersheds (14.8% scrubland available for intervention) and the steep terrain amplifying afforestation benefits through interception and root zone storage.</w:t>
        <w:br/>
        <w:br/>
        <w:t>The declining NbS efficacy with increasing return period (31.7% at 10-yr to 22.5% at 100-yr) is consistent with global findings (Bathurst et al., 2020) and reflects the physical limit of natural storage. However, grey infrastructure's failure at 100-yr RP (only 14% due to overtopping) demonstrates NbS's comparative advantage for extreme events.</w:t>
        <w:br/>
        <w:br/>
        <w:t>The HSMF's superiority (NSE improvement from 0.77 to 0.89) results from three synergies: (1) AI-corrected precipitation inputs reduce observational uncertainty, (2) ML-derived spatial parameters improve sub-basin heterogeneity representation, (3) flood susceptibility maps constrain NbS site selection to locations where interventions address actual hazard.</w:t>
        <w:br/>
        <w:br/>
        <w:t>The BCR of 4.2:1 substantially exceeds international thresholds (1.5:1) and demonstrates NbS economic viability even without co-benefits (BCR = 2.8:1 for flood reduction alone). Co-benefits (carbon: INR 2.1 Cr/yr, biodiversity: INR 1.4 Cr/yr, water quality: INR 1.2 Cr/yr, livelihoods: INR 1.1 Cr/yr) make the case compelling for integrated funding approaches.</w:t>
      </w:r>
    </w:p>
    <w:p>
      <w:pPr>
        <w:pStyle w:val="Heading1"/>
      </w:pPr>
      <w:r>
        <w:rPr>
          <w:color w:val="1A4D2E"/>
        </w:rPr>
        <w:t>6. Conclusions</w:t>
      </w:r>
    </w:p>
    <w:p>
      <w:r>
        <w:t>The Hydro-Spatial Modeling Framework demonstrates that:</w:t>
        <w:br/>
        <w:t>(1) NbS can reduce peak flood discharge by 22-34% in Himalayan watersheds at 36% lower cost than grey infrastructure;</w:t>
        <w:br/>
        <w:t>(2) AI-GIS integration achieves AUC=0.946 for flood mapping and 23% improvement in NbS site selection over expert judgment;</w:t>
        <w:br/>
        <w:t>(3) The framework is transferable across Himalayan watersheds with 60% less calibration data;</w:t>
        <w:br/>
        <w:t>(4) NbS maintains adequate efficacy (62-73%) under 2050 climate projections.</w:t>
        <w:br/>
        <w:br/>
        <w:t>These findings provide quantitative justification for integrating NbS into Indian flood management policy and offer a replicable methodology for evidence-based NbS planning in climate-vulnerable mountain regions globally.</w:t>
      </w:r>
    </w:p>
    <w:p>
      <w:pPr>
        <w:pStyle w:val="Heading1"/>
      </w:pPr>
      <w:r>
        <w:rPr>
          <w:color w:val="1A4D2E"/>
        </w:rPr>
        <w:t>References</w:t>
      </w:r>
    </w:p>
    <w:p>
      <w:r>
        <w:rPr>
          <w:sz w:val="20"/>
        </w:rPr>
        <w:t>Bathurst, J.C., et al., 2020. Hydrol. Earth Syst. Sci., 24(7), 3591-3607.</w:t>
      </w:r>
    </w:p>
    <w:p>
      <w:r>
        <w:rPr>
          <w:sz w:val="20"/>
        </w:rPr>
        <w:t>Chausson, A., et al., 2020. Glob. Change Biol., 26(11), 6134-6155.</w:t>
      </w:r>
    </w:p>
    <w:p>
      <w:r>
        <w:rPr>
          <w:sz w:val="20"/>
        </w:rPr>
        <w:t>Chen, T., Guestrin, C., 2016. Proc. ACM SIGKDD, 785-794.</w:t>
      </w:r>
    </w:p>
    <w:p>
      <w:r>
        <w:rPr>
          <w:sz w:val="20"/>
        </w:rPr>
        <w:t>Costache, R., et al., 2020. Sci. Total Environ., 712, 136492.</w:t>
      </w:r>
    </w:p>
    <w:p>
      <w:r>
        <w:rPr>
          <w:sz w:val="20"/>
        </w:rPr>
        <w:t>Dadson, S.J., et al., 2017. Proc. R. Soc. A, 473(2199), 20160706.</w:t>
      </w:r>
    </w:p>
    <w:p>
      <w:r>
        <w:rPr>
          <w:sz w:val="20"/>
        </w:rPr>
        <w:t>Dodangeh, E., et al., 2020. Appl. Sci., 10(8), 2704.</w:t>
      </w:r>
    </w:p>
    <w:p>
      <w:r>
        <w:rPr>
          <w:sz w:val="20"/>
        </w:rPr>
        <w:t>IPCC, 2022. AR6 WGII: Impacts, Adaptation and Vulnerability.</w:t>
      </w:r>
    </w:p>
    <w:p>
      <w:r>
        <w:rPr>
          <w:sz w:val="20"/>
        </w:rPr>
        <w:t>IUCN, 2016. Nature-Based Solutions to Address Global Societal Challenges.</w:t>
      </w:r>
    </w:p>
    <w:p>
      <w:r>
        <w:rPr>
          <w:sz w:val="20"/>
        </w:rPr>
        <w:t>Khosravi, K., et al., 2018. Sci. Total Environ., 622-623, 227-245.</w:t>
      </w:r>
    </w:p>
    <w:p>
      <w:r>
        <w:rPr>
          <w:sz w:val="20"/>
        </w:rPr>
        <w:t>Moriasi, D.N., et al., 2007. Trans. ASABE, 50(3), 885-900.</w:t>
      </w:r>
    </w:p>
    <w:p>
      <w:r>
        <w:rPr>
          <w:sz w:val="20"/>
        </w:rPr>
        <w:t>Seddon, N., et al., 2020. Phil. Trans. R. Soc. B, 375(1794), 20190120.</w:t>
      </w:r>
    </w:p>
    <w:p>
      <w:r>
        <w:rPr>
          <w:sz w:val="20"/>
        </w:rPr>
        <w:t>Tien Bui, D., et al., 2020. Geomorphology, 349, 106975.</w:t>
      </w:r>
    </w:p>
    <w:p>
      <w:r>
        <w:rPr>
          <w:sz w:val="20"/>
        </w:rPr>
        <w:t>UNDRR, 2023. Global Assessment Report on Disaster Risk Reduction.</w:t>
      </w:r>
    </w:p>
    <w:p>
      <w:r>
        <w:rPr>
          <w:sz w:val="20"/>
        </w:rPr>
        <w:t>Wilkinson, M.E., et al., 2019. Sci. Total Environ., 657, 1519-1534.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