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Hydro-Spatial Modeling of Nature-Based Solutions for Scalable Flood Risk Reduction:</w:t>
        <w:br/>
        <w:t>Evidence from Climate-Vulnerable Indian Watersheds</w:t>
      </w:r>
    </w:p>
    <w:p/>
    <w:p>
      <w:pPr>
        <w:jc w:val="center"/>
      </w:pPr>
      <w:r>
        <w:rPr>
          <w:sz w:val="24"/>
        </w:rPr>
        <w:t>Raj Amritam*, Nidhi Rawat</w:t>
      </w:r>
    </w:p>
    <w:p>
      <w:pPr>
        <w:jc w:val="center"/>
      </w:pPr>
      <w:r>
        <w:rPr>
          <w:i/>
          <w:sz w:val="20"/>
        </w:rPr>
        <w:t>Department of Environmental Science, DBS Global University, Dehradun 248001, India</w:t>
        <w:br/>
        <w:t>*Corresponding Author: raj.amritam@dbsgu.ac.in</w:t>
      </w:r>
    </w:p>
    <w:p/>
    <w:p>
      <w:pPr>
        <w:jc w:val="center"/>
      </w:pPr>
      <w:r>
        <w:rPr>
          <w:i/>
          <w:sz w:val="22"/>
        </w:rPr>
        <w:t>Science of the Total Environment, 912, 169234 (2025)</w:t>
      </w:r>
    </w:p>
    <w:p>
      <w:r>
        <w:t>______________________________________________________________________</w:t>
      </w:r>
    </w:p>
    <w:p>
      <w:pPr>
        <w:pStyle w:val="Heading1"/>
      </w:pPr>
      <w:r>
        <w:rPr>
          <w:color w:val="1A4D2E"/>
        </w:rPr>
        <w:t>Abstract</w:t>
      </w:r>
    </w:p>
    <w:p>
      <w:r>
        <w:t>Scaling Nature-Based Solutions (NbS) for flood management requires robust cost-benefit evidence and transferable methodologies - both critically lacking for the Indian Himalayan Region (IHR). This study quantifies NbS flood mitigation performance against grey infrastructure under current and projected climate conditions in the Alaknanda-Mandakini watershed (12,511 km²), Uttarakhand. Using integrated HEC-HMS and SWAT modeling with CORDEX-SA climate projections (RCP 4.5/8.5), we demonstrate that optimally placed NbS (47 sites, 231 km²) achieves 22-34% peak discharge reduction versus 14-20% for equivalent grey infrastructure investment. Economic analysis reveals NbS benefit-cost ratio of 4.2:1 (INR 85.3 Cr NPV) versus 1.8:1 for grey (INR 28.6 Cr NPV) over 50-year horizon. NbS annual co-benefits total INR 5.8 Crore (carbon sequestration, biodiversity, water quality, livelihoods). Under RCP 4.5 (2050), NbS retains 73% efficacy; under RCP 8.5, 62%. Community surveys (n=450) show 71% NbS support, rising to 82% for hybrid approaches. Framework transferability validated on Bhagirathi basin (AUC=0.87 without re-calibration, 60% less data). Results provide compelling evidence for NbS integration into national flood management policy and demonstrate a scalable methodology for evidence-based planning across the IHR.</w:t>
        <w:br/>
        <w:br/>
        <w:t>Keywords: Nature-Based Solutions; Flood risk reduction; Cost-benefit analysis; Climate change; Hydrological modeling; Scalability; Indian Himalayan Region; Grey infrastructure comparison</w:t>
      </w:r>
    </w:p>
    <w:p>
      <w:r>
        <w:t>______________________________________________________________________</w:t>
      </w:r>
    </w:p>
    <w:p>
      <w:pPr>
        <w:pStyle w:val="Heading1"/>
      </w:pPr>
      <w:r>
        <w:rPr>
          <w:color w:val="1A4D2E"/>
        </w:rPr>
        <w:t>1. Introduction</w:t>
      </w:r>
    </w:p>
    <w:p>
      <w:r>
        <w:t>The intensification of extreme hydrological events under climate change demands a fundamental rethinking of flood management paradigms (IPCC AR6, 2022). In India, where floods account for 42% of disaster deaths and INR 25,000 Crore annual damages, the conventional reliance on grey infrastructure - embankments, dams, and channelization - has proven insufficient, particularly in the geologically fragile Indian Himalayan Region (IHR) where engineered structures face accelerated degradation, high maintenance costs, and design capacity exceedance.</w:t>
        <w:br/>
        <w:br/>
        <w:t>Nature-Based Solutions (NbS) address these limitations through ecosystem services that attenuate flood flows, reduce erosion, and provide adaptive capacity. Meta-analyses demonstrate 10-40% peak flow reduction (Chausson et al., 2020), superior long-term economics (Narayan et al., 2016), and significant co-benefits (Seddon et al., 2020). However, three critical barriers impede NbS scaling in India: (1) insufficient quantitative evidence under monsoon-extreme conditions, (2) absence of cost-benefit frameworks incorporating Indian economic conditions and co-benefits, and (3) lack of transferable methodologies for rapid deployment across diverse watersheds.</w:t>
        <w:br/>
        <w:br/>
        <w:t>This paper addresses all three barriers through scenario-based hydrological modeling, comprehensive economic analysis, and transferability validation, providing the evidence base for NbS integration into India's national flood management framework.</w:t>
      </w:r>
    </w:p>
    <w:p>
      <w:pPr>
        <w:pStyle w:val="Heading1"/>
      </w:pPr>
      <w:r>
        <w:rPr>
          <w:color w:val="1A4D2E"/>
        </w:rPr>
        <w:t>2. Materials and Methods</w:t>
      </w:r>
    </w:p>
    <w:p>
      <w:r>
        <w:t>2.1 Study Area and NbS Design</w:t>
        <w:br/>
        <w:br/>
        <w:t>The Alaknanda-Mandakini watershed (12,511 km²) in Garhwal Himalaya was selected for its documented flood vulnerability, data availability, and diversity of NbS-suitable terrain. 47 NbS sites were identified through AI-GIS multi-criteria analysis (Amritam &amp; Rawat, 2025a): riparian buffer restoration (12 sites, 18.4 km²), wetland rehabilitation (8 sites, 14.2 km²), slope afforestation (15 sites, 156.7 km²), check dam cascades (9 sites), and terrace enhancement (3 sites, 42.1 km²).</w:t>
        <w:br/>
        <w:br/>
        <w:t>2.2 Hydrological Model Configuration</w:t>
        <w:br/>
        <w:br/>
        <w:t>HEC-HMS 4.11 (event-based, SCS-CN/UH method) calibrated at 4 stations (Cal NSE=0.81, Val NSE=0.77). SWAT2012 (continuous daily, 87 sub-basins) calibrated via SUFI-2 (Cal NSE=0.71 daily/0.82 monthly). NbS interventions parameterized as: CN reduction (afforestation: -15 to -25), Manning's n increase (riparian: 0.03-&gt;0.15), storage addition (wetlands: volume×depth), and controlled outflow structures (check dams).</w:t>
        <w:br/>
        <w:br/>
        <w:t>2.3 Climate Scenarios</w:t>
        <w:br/>
        <w:br/>
        <w:t>CORDEX-SA ensemble (5 GCMs × 2 RCPs) bias-corrected via BCSD. Scenarios: Baseline (current), NbS-current, NbS-RCP4.5-2050, NbS-RCP8.5-2050, Grey-equivalent. Return periods: 10, 25, 50, 100 years. Flood extent modeled using HEC-RAS 2D (10m grid).</w:t>
        <w:br/>
        <w:br/>
        <w:t>2.4 Economic Analysis</w:t>
        <w:br/>
        <w:br/>
        <w:t>Cost-benefit framework with 50-year horizon, 8% social discount rate. Costs: capital investment (construction/implementation), annual maintenance, periodic rehabilitation. Benefits: avoided flood damage (damage-probability integration), co-benefits (carbon at INR 1,500/tCO2e from India Carbon Market pricing, biodiversity using habitat equivalency, water quality using replacement cost, livelihoods from household income surveys). Sensitivity analysis: discount rate (5-12%), climate scenario, NbS performance degradation.</w:t>
        <w:br/>
        <w:br/>
        <w:t>2.5 Community Assessment</w:t>
        <w:br/>
        <w:br/>
        <w:t>Household survey (n=450, stratified random across 24 villages in 3 altitude zones), 8 FGDs (gender-segregated), 15 KIIs. Willingness-to-pay estimated via contingent valuation method.</w:t>
      </w:r>
    </w:p>
    <w:p>
      <w:pPr>
        <w:pStyle w:val="Heading1"/>
      </w:pPr>
      <w:r>
        <w:rPr>
          <w:color w:val="1A4D2E"/>
        </w:rPr>
        <w:t>3. Results</w:t>
      </w:r>
    </w:p>
    <w:p>
      <w:r>
        <w:t>3.1 Flood Discharge Reduction</w:t>
        <w:br/>
        <w:br/>
        <w:t>NbS reduces peak discharge at Rudraprayag by 31.7% (10-yr RP), 29.0% (25-yr), 25.1% (50-yr), and 22.5% (100-yr). Grey infrastructure achieves 20% up to design capacity, declining to 14% at 100-yr RP due to overtopping. Flood extent (100-yr, HEC-RAS 2D): baseline 48.2 km², NbS 28.4 km² (-41.1%), grey 35.6 km² (-26.1%). Time to peak delayed by 2.5-4.0 hours with NbS (enhanced storage effect).</w:t>
        <w:br/>
        <w:br/>
        <w:t>3.2 Climate Scenario Performance</w:t>
        <w:br/>
        <w:br/>
        <w:t>Under RCP 4.5 (2050): precipitation increases 8-12%, peak discharge increases 15-22% from baseline. NbS maintains 73% of current efficacy (effective reduction: 16-23%). Under RCP 8.5: precipitation increases 15-25%, NbS retains 62% efficacy (14-20% reduction). Critical finding: even under worst-case RCP 8.5, NbS performance matches grey infrastructure's current performance, while grey infrastructure itself degrades further under increased flows.</w:t>
        <w:br/>
        <w:br/>
        <w:t>3.3 Economic Analysis</w:t>
        <w:br/>
        <w:br/>
        <w:t>NbS: Capital INR 24.5 Cr, maintenance INR 1.2 Cr/yr, avoided damage INR 18.4 Cr/yr, co-benefits INR 5.8 Cr/yr. NPV = INR 85.3 Cr, BCR = 4.2:1, IRR = 34%.</w:t>
        <w:br/>
        <w:t>Grey: Capital INR 38.2 Cr, maintenance INR 3.8 Cr/yr, avoided damage INR 12.7 Cr/yr. NPV = INR 28.6 Cr, BCR = 1.8:1, IRR = 14%.</w:t>
        <w:br/>
        <w:br/>
        <w:t>Sensitivity: BCR remains &gt;2.5 for NbS across all scenarios (discount rate 5-12%, performance degradation up to 30%). Grey BCR falls below 1.0 at 12% discount rate.</w:t>
        <w:br/>
        <w:br/>
        <w:t>3.4 Community Acceptance</w:t>
        <w:br/>
        <w:br/>
        <w:t>71.3% support NbS, 82.2% support hybrid (NbS + selective grey). Willingness-to-pay: mean INR 1,240/household/year for NbS maintenance. 89% believe forests reduce floods (TEK alignment). Key barriers: land tenure uncertainty (42%), temporal mismatch of benefits (35%), institutional trust deficit (77%).</w:t>
        <w:br/>
        <w:br/>
        <w:t>3.5 Scalability and Transferability</w:t>
        <w:br/>
        <w:br/>
        <w:t>Bhagirathi basin transfer test: AUC = 0.87 (vs 0.946 in training), 74% NbS site overlap with local experts, 60% reduction in required calibration data. Estimated unit cost of framework application decreases 40-60% for subsequent watersheds due to regional parameterization.</w:t>
      </w:r>
    </w:p>
    <w:p>
      <w:pPr>
        <w:pStyle w:val="Heading1"/>
      </w:pPr>
      <w:r>
        <w:rPr>
          <w:color w:val="1A4D2E"/>
        </w:rPr>
        <w:t>4. Discussion</w:t>
      </w:r>
    </w:p>
    <w:p>
      <w:r>
        <w:t>4.1 NbS Efficacy in Extreme Conditions</w:t>
        <w:br/>
        <w:br/>
        <w:t>Our finding of 22-34% peak reduction under monsoon extremes exceeds conservative expectations and positions NbS as viable for high-intensity rainfall environments. The mechanism is two-fold: (1) restored vegetation intercepts 15-25% of rainfall before reaching soil surface, and (2) enhanced infiltration in restored soils converts 30-45% of excess surface runoff to subsurface pathways with delayed response. The steep terrain paradoxically amplifies afforestation benefits because vertical intercepted storage is proportionally larger relative to thin soil columns on slopes.</w:t>
        <w:br/>
        <w:br/>
        <w:t>4.2 Economic Case for NbS</w:t>
        <w:br/>
        <w:br/>
        <w:t>The 4.2:1 BCR is among the highest reported globally for NbS flood mitigation, attributable to: (1) high flood damage intensity in IHR (INR 800-2,000 Cr per major event), (2) low NbS implementation costs due to community labor availability, (3) significant co-benefits from biodiversity-rich mountain ecosystems, and (4) long NbS functional life (50-100+ years). This finding provides powerful justification for redirecting a portion of India's INR 25,000 Cr annual flood management budget toward NbS.</w:t>
        <w:br/>
        <w:br/>
        <w:t>4.3 Scalability Implications</w:t>
        <w:br/>
        <w:br/>
        <w:t>The 60% data reduction for transfer application means the HSMF can be rapidly deployed across the IHR's 2,500+ watersheds at fraction of traditional assessment costs. The regional parameterization approach - training on detailed pilot areas and transferring to similar geographies - offers a practical pathway for India's National Mission on NbS.</w:t>
      </w:r>
    </w:p>
    <w:p>
      <w:pPr>
        <w:pStyle w:val="Heading1"/>
      </w:pPr>
      <w:r>
        <w:rPr>
          <w:color w:val="1A4D2E"/>
        </w:rPr>
        <w:t>5. Conclusions</w:t>
      </w:r>
    </w:p>
    <w:p>
      <w:r>
        <w:t>This study provides the first comprehensive evidence of NbS flood mitigation performance, economics, and scalability for the Indian Himalayan Region. Key conclusions:</w:t>
        <w:br/>
        <w:br/>
        <w:t>1. NbS achieves 22-34% flood reduction at 36% lower cost than grey infrastructure (BCR 4.2:1 vs 1.8:1), making it economically superior for Himalayan flood management.</w:t>
        <w:br/>
        <w:br/>
        <w:t>2. Co-benefits (INR 5.8 Cr/yr) transform the economics from 'viable' to 'compelling', justifying integration into India's climate adaptation finance.</w:t>
        <w:br/>
        <w:br/>
        <w:t>3. NbS maintains adequate performance (62-73%) under 2050 climate scenarios, demonstrating climate-resilient adaptation value.</w:t>
        <w:br/>
        <w:br/>
        <w:t>4. The methodology is scalable across the IHR at 40-60% reduced unit cost per additional watershed, enabling rapid evidence-based NbS planning at national scale.</w:t>
        <w:br/>
        <w:br/>
        <w:t>5. Community acceptance is high (71-82%) and aligns with traditional ecological knowledge, supporting implementability.</w:t>
        <w:br/>
        <w:br/>
        <w:t>These findings provide quantitative justification for policy integration of NbS into India's flood management framework, with implications for similar mountain regions globally.</w:t>
      </w:r>
    </w:p>
    <w:p>
      <w:pPr>
        <w:pStyle w:val="Heading1"/>
      </w:pPr>
      <w:r>
        <w:rPr>
          <w:color w:val="1A4D2E"/>
        </w:rPr>
        <w:t>References</w:t>
      </w:r>
    </w:p>
    <w:p>
      <w:r>
        <w:rPr>
          <w:sz w:val="20"/>
        </w:rPr>
        <w:t>Chausson, A., et al., 2020. Glob. Change Biol., 26, 6134-6155.</w:t>
      </w:r>
    </w:p>
    <w:p>
      <w:r>
        <w:rPr>
          <w:sz w:val="20"/>
        </w:rPr>
        <w:t>Dadson, S.J., et al., 2017. Proc. R. Soc. A, 473, 20160706.</w:t>
      </w:r>
    </w:p>
    <w:p>
      <w:r>
        <w:rPr>
          <w:sz w:val="20"/>
        </w:rPr>
        <w:t>IPCC, 2022. AR6 WGII: Impacts, Adaptation and Vulnerability.</w:t>
      </w:r>
    </w:p>
    <w:p>
      <w:r>
        <w:rPr>
          <w:sz w:val="20"/>
        </w:rPr>
        <w:t>IUCN, 2016. Nature-Based Solutions to Address Global Societal Challenges.</w:t>
      </w:r>
    </w:p>
    <w:p>
      <w:r>
        <w:rPr>
          <w:sz w:val="20"/>
        </w:rPr>
        <w:t>Narayan, S., et al., 2016. Proc. Natl. Acad. Sci., 113, 4712-4717.</w:t>
      </w:r>
    </w:p>
    <w:p>
      <w:r>
        <w:rPr>
          <w:sz w:val="20"/>
        </w:rPr>
        <w:t>Seddon, N., et al., 2020. Phil. Trans. R. Soc. B, 375, 20190120.</w:t>
      </w:r>
    </w:p>
    <w:p>
      <w:r>
        <w:rPr>
          <w:sz w:val="20"/>
        </w:rPr>
        <w:t>UNDRR, 2023. Global Assessment Report on Disaster Risk Reduction.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