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AI-Generated Operational Performance Report</w:t>
      </w:r>
    </w:p>
    <w:p>
      <w:pPr>
        <w:jc w:val="center"/>
      </w:pPr>
      <w:r>
        <w:rPr>
          <w:i/>
          <w:sz w:val="20"/>
        </w:rPr>
        <w:t>Synthetic document created entirely by AI for TrustGraph testing</w:t>
      </w:r>
    </w:p>
    <w:p>
      <w:pPr>
        <w:pStyle w:val="Heading1"/>
      </w:pPr>
      <w:r>
        <w:t>1. Executive Summary</w:t>
      </w:r>
    </w:p>
    <w:p>
      <w:r>
        <w:t>This report presents a fictional operational performance review for Northstar Digital Services, a completely synthetic organization created for demonstration and document-analysis testing. The report evaluates service reliability, process efficiency, customer response performance, and operational risks during a fictional four-week review period.</w:t>
      </w:r>
    </w:p>
    <w:p>
      <w:pPr>
        <w:pStyle w:val="Heading1"/>
      </w:pPr>
      <w:r>
        <w:t>2. Organization Overview</w:t>
      </w:r>
    </w:p>
    <w:p>
      <w:r>
        <w:t>Northstar Digital Services is a fictional technology services organization that provides cloud administration, application support, data processing, and internal automation services. The organization operates through three fictional service teams: Platform Operations, Application Support, and Data Services.</w:t>
      </w:r>
    </w:p>
    <w:p>
      <w:pPr>
        <w:pStyle w:val="Heading1"/>
      </w:pPr>
      <w:r>
        <w:t>3. Performance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Observed</w:t>
            </w:r>
          </w:p>
        </w:tc>
        <w:tc>
          <w:tcPr>
            <w:tcW w:type="dxa" w:w="2160"/>
          </w:tcPr>
          <w:p>
            <w:r>
              <w:t>Status</w:t>
            </w:r>
          </w:p>
        </w:tc>
      </w:tr>
      <w:tr>
        <w:tc>
          <w:tcPr>
            <w:tcW w:type="dxa" w:w="2160"/>
          </w:tcPr>
          <w:p>
            <w:r>
              <w:t>Service Availability</w:t>
            </w:r>
          </w:p>
        </w:tc>
        <w:tc>
          <w:tcPr>
            <w:tcW w:type="dxa" w:w="2160"/>
          </w:tcPr>
          <w:p>
            <w:r>
              <w:t>99.0%</w:t>
            </w:r>
          </w:p>
        </w:tc>
        <w:tc>
          <w:tcPr>
            <w:tcW w:type="dxa" w:w="2160"/>
          </w:tcPr>
          <w:p>
            <w:r>
              <w:t>99.4%</w:t>
            </w:r>
          </w:p>
        </w:tc>
        <w:tc>
          <w:tcPr>
            <w:tcW w:type="dxa" w:w="2160"/>
          </w:tcPr>
          <w:p>
            <w:r>
              <w:t>Above Target</w:t>
            </w:r>
          </w:p>
        </w:tc>
      </w:tr>
      <w:tr>
        <w:tc>
          <w:tcPr>
            <w:tcW w:type="dxa" w:w="2160"/>
          </w:tcPr>
          <w:p>
            <w:r>
              <w:t>Average Response Time</w:t>
            </w:r>
          </w:p>
        </w:tc>
        <w:tc>
          <w:tcPr>
            <w:tcW w:type="dxa" w:w="2160"/>
          </w:tcPr>
          <w:p>
            <w:r>
              <w:t>&lt; 30 min</w:t>
            </w:r>
          </w:p>
        </w:tc>
        <w:tc>
          <w:tcPr>
            <w:tcW w:type="dxa" w:w="2160"/>
          </w:tcPr>
          <w:p>
            <w:r>
              <w:t>24 min</w:t>
            </w:r>
          </w:p>
        </w:tc>
        <w:tc>
          <w:tcPr>
            <w:tcW w:type="dxa" w:w="2160"/>
          </w:tcPr>
          <w:p>
            <w:r>
              <w:t>Above Target</w:t>
            </w:r>
          </w:p>
        </w:tc>
      </w:tr>
      <w:tr>
        <w:tc>
          <w:tcPr>
            <w:tcW w:type="dxa" w:w="2160"/>
          </w:tcPr>
          <w:p>
            <w:r>
              <w:t>Issue Resolution Rate</w:t>
            </w:r>
          </w:p>
        </w:tc>
        <w:tc>
          <w:tcPr>
            <w:tcW w:type="dxa" w:w="2160"/>
          </w:tcPr>
          <w:p>
            <w:r>
              <w:t>&gt; 90%</w:t>
            </w:r>
          </w:p>
        </w:tc>
        <w:tc>
          <w:tcPr>
            <w:tcW w:type="dxa" w:w="2160"/>
          </w:tcPr>
          <w:p>
            <w:r>
              <w:t>93%</w:t>
            </w:r>
          </w:p>
        </w:tc>
        <w:tc>
          <w:tcPr>
            <w:tcW w:type="dxa" w:w="2160"/>
          </w:tcPr>
          <w:p>
            <w:r>
              <w:t>Above Target</w:t>
            </w:r>
          </w:p>
        </w:tc>
      </w:tr>
      <w:tr>
        <w:tc>
          <w:tcPr>
            <w:tcW w:type="dxa" w:w="2160"/>
          </w:tcPr>
          <w:p>
            <w:r>
              <w:t>Process Completion</w:t>
            </w:r>
          </w:p>
        </w:tc>
        <w:tc>
          <w:tcPr>
            <w:tcW w:type="dxa" w:w="2160"/>
          </w:tcPr>
          <w:p>
            <w:r>
              <w:t>&gt; 95%</w:t>
            </w:r>
          </w:p>
        </w:tc>
        <w:tc>
          <w:tcPr>
            <w:tcW w:type="dxa" w:w="2160"/>
          </w:tcPr>
          <w:p>
            <w:r>
              <w:t>91%</w:t>
            </w:r>
          </w:p>
        </w:tc>
        <w:tc>
          <w:tcPr>
            <w:tcW w:type="dxa" w:w="2160"/>
          </w:tcPr>
          <w:p>
            <w:r>
              <w:t>Needs Attention</w:t>
            </w:r>
          </w:p>
        </w:tc>
      </w:tr>
      <w:tr>
        <w:tc>
          <w:tcPr>
            <w:tcW w:type="dxa" w:w="2160"/>
          </w:tcPr>
          <w:p>
            <w:r>
              <w:t>Customer Satisfaction</w:t>
            </w:r>
          </w:p>
        </w:tc>
        <w:tc>
          <w:tcPr>
            <w:tcW w:type="dxa" w:w="2160"/>
          </w:tcPr>
          <w:p>
            <w:r>
              <w:t>&gt; 4.0 / 5</w:t>
            </w:r>
          </w:p>
        </w:tc>
        <w:tc>
          <w:tcPr>
            <w:tcW w:type="dxa" w:w="2160"/>
          </w:tcPr>
          <w:p>
            <w:r>
              <w:t>4.2 / 5</w:t>
            </w:r>
          </w:p>
        </w:tc>
        <w:tc>
          <w:tcPr>
            <w:tcW w:type="dxa" w:w="2160"/>
          </w:tcPr>
          <w:p>
            <w:r>
              <w:t>Above Target</w:t>
            </w:r>
          </w:p>
        </w:tc>
      </w:tr>
    </w:tbl>
    <w:p>
      <w:pPr>
        <w:pStyle w:val="Heading1"/>
      </w:pPr>
      <w:r>
        <w:t>4. Operational Observations</w:t>
      </w:r>
    </w:p>
    <w:p>
      <w:pPr>
        <w:pStyle w:val="ListBullet"/>
      </w:pPr>
      <w:r>
        <w:t>Platform Operations maintained stable service availability throughout the fictional review period.</w:t>
      </w:r>
    </w:p>
    <w:p>
      <w:pPr>
        <w:pStyle w:val="ListBullet"/>
      </w:pPr>
      <w:r>
        <w:t>Application Support reduced the average response time by improving ticket prioritization and internal escalation procedures.</w:t>
      </w:r>
    </w:p>
    <w:p>
      <w:pPr>
        <w:pStyle w:val="ListBullet"/>
      </w:pPr>
      <w:r>
        <w:t>Data Services experienced occasional processing delays during periods of increased workload.</w:t>
      </w:r>
    </w:p>
    <w:p>
      <w:pPr>
        <w:pStyle w:val="ListBullet"/>
      </w:pPr>
      <w:r>
        <w:t>Several routine tasks remained dependent on manual verification, increasing the possibility of inconsistent completion times.</w:t>
      </w:r>
    </w:p>
    <w:p>
      <w:pPr>
        <w:pStyle w:val="Heading1"/>
      </w:pPr>
      <w:r>
        <w:t>5. Risk Assessment</w:t>
      </w:r>
    </w:p>
    <w:p>
      <w:r>
        <w:t>The fictional assessment identifies moderate operational risk associated with manual workflow dependencies and uneven workload distribution. No critical security event is represented in this synthetic report.</w:t>
      </w:r>
    </w:p>
    <w:tbl>
      <w:tblPr>
        <w:tblStyle w:val="TableGrid"/>
        <w:tblW w:type="auto" w:w="0"/>
        <w:tblLook w:firstColumn="1" w:firstRow="1" w:lastColumn="0" w:lastRow="0" w:noHBand="0" w:noVBand="1" w:val="04A0"/>
      </w:tblPr>
      <w:tblGrid>
        <w:gridCol w:w="2880"/>
        <w:gridCol w:w="2880"/>
        <w:gridCol w:w="2880"/>
      </w:tblGrid>
      <w:tr>
        <w:tc>
          <w:tcPr>
            <w:tcW w:type="dxa" w:w="2880"/>
          </w:tcPr>
          <w:p>
            <w:r>
              <w:t>Risk Area</w:t>
            </w:r>
          </w:p>
        </w:tc>
        <w:tc>
          <w:tcPr>
            <w:tcW w:type="dxa" w:w="2880"/>
          </w:tcPr>
          <w:p>
            <w:r>
              <w:t>Severity</w:t>
            </w:r>
          </w:p>
        </w:tc>
        <w:tc>
          <w:tcPr>
            <w:tcW w:type="dxa" w:w="2880"/>
          </w:tcPr>
          <w:p>
            <w:r>
              <w:t>Recommended Action</w:t>
            </w:r>
          </w:p>
        </w:tc>
      </w:tr>
      <w:tr>
        <w:tc>
          <w:tcPr>
            <w:tcW w:type="dxa" w:w="2880"/>
          </w:tcPr>
          <w:p>
            <w:r>
              <w:t>Manual Workflow Dependency</w:t>
            </w:r>
          </w:p>
        </w:tc>
        <w:tc>
          <w:tcPr>
            <w:tcW w:type="dxa" w:w="2880"/>
          </w:tcPr>
          <w:p>
            <w:r>
              <w:t>Medium</w:t>
            </w:r>
          </w:p>
        </w:tc>
        <w:tc>
          <w:tcPr>
            <w:tcW w:type="dxa" w:w="2880"/>
          </w:tcPr>
          <w:p>
            <w:r>
              <w:t>Introduce additional workflow automation.</w:t>
            </w:r>
          </w:p>
        </w:tc>
      </w:tr>
      <w:tr>
        <w:tc>
          <w:tcPr>
            <w:tcW w:type="dxa" w:w="2880"/>
          </w:tcPr>
          <w:p>
            <w:r>
              <w:t>Workload Concentration</w:t>
            </w:r>
          </w:p>
        </w:tc>
        <w:tc>
          <w:tcPr>
            <w:tcW w:type="dxa" w:w="2880"/>
          </w:tcPr>
          <w:p>
            <w:r>
              <w:t>Medium</w:t>
            </w:r>
          </w:p>
        </w:tc>
        <w:tc>
          <w:tcPr>
            <w:tcW w:type="dxa" w:w="2880"/>
          </w:tcPr>
          <w:p>
            <w:r>
              <w:t>Review workload allocation across teams.</w:t>
            </w:r>
          </w:p>
        </w:tc>
      </w:tr>
      <w:tr>
        <w:tc>
          <w:tcPr>
            <w:tcW w:type="dxa" w:w="2880"/>
          </w:tcPr>
          <w:p>
            <w:r>
              <w:t>Documentation Consistency</w:t>
            </w:r>
          </w:p>
        </w:tc>
        <w:tc>
          <w:tcPr>
            <w:tcW w:type="dxa" w:w="2880"/>
          </w:tcPr>
          <w:p>
            <w:r>
              <w:t>Low</w:t>
            </w:r>
          </w:p>
        </w:tc>
        <w:tc>
          <w:tcPr>
            <w:tcW w:type="dxa" w:w="2880"/>
          </w:tcPr>
          <w:p>
            <w:r>
              <w:t>Standardize operational documentation.</w:t>
            </w:r>
          </w:p>
        </w:tc>
      </w:tr>
      <w:tr>
        <w:tc>
          <w:tcPr>
            <w:tcW w:type="dxa" w:w="2880"/>
          </w:tcPr>
          <w:p>
            <w:r>
              <w:t>Monitoring Coverage</w:t>
            </w:r>
          </w:p>
        </w:tc>
        <w:tc>
          <w:tcPr>
            <w:tcW w:type="dxa" w:w="2880"/>
          </w:tcPr>
          <w:p>
            <w:r>
              <w:t>Low</w:t>
            </w:r>
          </w:p>
        </w:tc>
        <w:tc>
          <w:tcPr>
            <w:tcW w:type="dxa" w:w="2880"/>
          </w:tcPr>
          <w:p>
            <w:r>
              <w:t>Expand monitoring for non-critical processes.</w:t>
            </w:r>
          </w:p>
        </w:tc>
      </w:tr>
    </w:tbl>
    <w:p>
      <w:pPr>
        <w:pStyle w:val="Heading1"/>
      </w:pPr>
      <w:r>
        <w:t>6. Recommendations</w:t>
      </w:r>
    </w:p>
    <w:p>
      <w:pPr>
        <w:pStyle w:val="ListNumber"/>
      </w:pPr>
      <w:r>
        <w:t>Automate repetitive operational verification tasks where practical.</w:t>
      </w:r>
    </w:p>
    <w:p>
      <w:pPr>
        <w:pStyle w:val="ListNumber"/>
      </w:pPr>
      <w:r>
        <w:t>Introduce a weekly workload-balancing review across service teams.</w:t>
      </w:r>
    </w:p>
    <w:p>
      <w:pPr>
        <w:pStyle w:val="ListNumber"/>
      </w:pPr>
      <w:r>
        <w:t>Maintain a standardized format for operational procedures and incident records.</w:t>
      </w:r>
    </w:p>
    <w:p>
      <w:pPr>
        <w:pStyle w:val="ListNumber"/>
      </w:pPr>
      <w:r>
        <w:t>Expand performance monitoring to include process completion time and queue age.</w:t>
      </w:r>
    </w:p>
    <w:p>
      <w:pPr>
        <w:pStyle w:val="ListNumber"/>
      </w:pPr>
      <w:r>
        <w:t>Review the effectiveness of implemented changes after the next fictional reporting cycle.</w:t>
      </w:r>
    </w:p>
    <w:p>
      <w:pPr>
        <w:pStyle w:val="Heading1"/>
      </w:pPr>
      <w:r>
        <w:t>7. Conclusion</w:t>
      </w:r>
    </w:p>
    <w:p>
      <w:r>
        <w:t>Based on the fictional observations presented in this document, Northstar Digital Services demonstrates generally stable operational performance while retaining several opportunities for process improvement. The recommendations focus on automation, workload balancing, documentation quality, and monitoring coverage.</w:t>
      </w:r>
    </w:p>
    <w:p>
      <w:pPr>
        <w:pStyle w:val="Heading1"/>
      </w:pPr>
      <w:r>
        <w:t>8. Synthetic Data Notice</w:t>
      </w:r>
    </w:p>
    <w:p>
      <w:r>
        <w:rPr>
          <w:b/>
        </w:rPr>
        <w:t>IMPORTANT: Every organization name, metric, observation, risk, recommendation, and statement in this document is fictional and was generated by AI. This document does not describe a real organization, real event, real person, or real operational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