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NovaTech Remote Work and Cloud AI Guidelines</w:t>
      </w:r>
    </w:p>
    <w:p>
      <w:r>
        <w:t>Employees must ensure all proprietary code is reviewed before submitting to external LLMs.</w:t>
      </w:r>
    </w:p>
    <w:p>
      <w:r>
        <w:t>All Tier 2 internal documentation can only be processed on dedicated tenant cloud instances.</w:t>
      </w:r>
    </w:p>
  </w:body>
</w:document>
</file>