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MEERA Business Dashboard</w:t>
      </w:r>
    </w:p>
    <w:p>
      <w:pPr>
        <w:pStyle w:val="Subtitle"/>
      </w:pPr>
      <w:r>
        <w:t>Product requirements for programme evaluation and manufacturer performance</w:t>
      </w:r>
    </w:p>
    <w:p>
      <w:r>
        <w:t>Version 2.0  |  2 October 2026  |  Audience Meesho business leaders, category managers, analysts and dashboard builders</w:t>
      </w:r>
    </w:p>
    <w:p>
      <w:pPr>
        <w:pStyle w:val="Heading2"/>
      </w:pPr>
      <w:r>
        <w:t>Purpose and recommendation</w:t>
      </w:r>
    </w:p>
    <w:p>
      <w:r>
        <w:t>Build a read-only business dashboard that shows whether MEERA attracts manufacturers, helps them establish viable selling on Meesho, and sustains that performance after free support ends. Users must be able to move from an overall result to the cohort, category, manufacturer and recorded reason behind it, then export the evidence for decisions outside the dashboard.</w:t>
      </w:r>
    </w:p>
    <w:p>
      <w:r>
        <w:t>The detailed economics scope is manufacturer contribution and cash realisation. Programme economics remains a future extension because its financial model is under development. No contribution rate, fee, payback month or performance threshold is approved by this PRD.</w:t>
      </w:r>
    </w:p>
    <w:p>
      <w:pPr>
        <w:pStyle w:val="Heading2"/>
      </w:pPr>
      <w:r>
        <w:t>Confirmed business decisions</w:t>
      </w:r>
    </w:p>
    <w:tbl>
      <w:tblPr>
        <w:tblW w:type="auto" w:w="0"/>
        <w:tblLayout w:type="fixed"/>
        <w:tblLook w:firstColumn="1" w:firstRow="1" w:lastColumn="0" w:lastRow="0" w:noHBand="0" w:noVBand="1" w:val="04A0"/>
      </w:tblPr>
      <w:tblGrid>
        <w:gridCol w:w="2160"/>
        <w:gridCol w:w="8064"/>
      </w:tblGrid>
      <w:tr>
        <w:trPr>
          <w:cantSplit/>
          <w:tblHeader/>
        </w:trPr>
        <w:tc>
          <w:tcPr>
            <w:tcW w:type="dxa" w:w="2160"/>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Requirement</w:t>
            </w:r>
          </w:p>
        </w:tc>
        <w:tc>
          <w:tcPr>
            <w:tcW w:type="dxa" w:w="8064"/>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Rule</w:t>
            </w:r>
          </w:p>
        </w:tc>
      </w:tr>
      <w:tr>
        <w:trPr>
          <w:cantSplit/>
        </w:trPr>
        <w:tc>
          <w:tcPr>
            <w:tcW w:type="dxa" w:w="216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Operating cohorts</w:t>
            </w:r>
          </w:p>
        </w:tc>
        <w:tc>
          <w:tcPr>
            <w:tcW w:type="dxa" w:w="806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Yet-to-Try, Dormant, Churned, Not Interested and Not Informed. Remove Large and Emerging.</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Programme clock</w:t>
            </w:r>
          </w:p>
        </w:tc>
        <w:tc>
          <w:tcPr>
            <w:tcW w:type="dxa" w:w="80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Day 0 is seller registration on Meesho. All free MEERA access ends at the Day-90 boundary.</w:t>
            </w:r>
          </w:p>
        </w:tc>
      </w:tr>
      <w:tr>
        <w:trPr>
          <w:cantSplit/>
        </w:trPr>
        <w:tc>
          <w:tcPr>
            <w:tcW w:type="dxa" w:w="216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Post-support comparison</w:t>
            </w:r>
          </w:p>
        </w:tc>
        <w:tc>
          <w:tcPr>
            <w:tcW w:type="dxa" w:w="806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Compare the final 30 days of free support with successive 30-day periods after it ends.</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Support paths</w:t>
            </w:r>
          </w:p>
        </w:tc>
        <w:tc>
          <w:tcPr>
            <w:tcW w:type="dxa" w:w="80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Analyse self-serve and continued MEERA support separately. MEERA departure and Meesho departure are different events.</w:t>
            </w:r>
          </w:p>
        </w:tc>
      </w:tr>
      <w:tr>
        <w:trPr>
          <w:cantSplit/>
        </w:trPr>
        <w:tc>
          <w:tcPr>
            <w:tcW w:type="dxa" w:w="216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Permitted actions</w:t>
            </w:r>
          </w:p>
        </w:tc>
        <w:tc>
          <w:tcPr>
            <w:tcW w:type="dxa" w:w="806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Analyse, filter, drill down, search, sort and export. No assignment, reason editing, follow-up scheduling or plan changes.</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Financial targets</w:t>
            </w:r>
          </w:p>
        </w:tc>
        <w:tc>
          <w:tcPr>
            <w:tcW w:type="dxa" w:w="80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Remain unapproved and configurable. Missing costs must never be treated as zero.</w:t>
            </w:r>
          </w:p>
        </w:tc>
      </w:tr>
    </w:tbl>
    <w:p>
      <w:pPr>
        <w:spacing w:after="0"/>
      </w:pPr>
    </w:p>
    <w:p>
      <w:pPr>
        <w:pStyle w:val="Heading2"/>
      </w:pPr>
      <w:r>
        <w:t>Evidence and document status</w:t>
      </w:r>
    </w:p>
    <w:p>
      <w:r>
        <w:t>This draft updates MEERA Business Dashboard PRD v1.0, the supplied dashboard review and the live prototype reviewed on 2 October 2026. It follows the DICE objective of growing the C2M seller base and its lasting contribution to price competitiveness. The current master solution document and final financial workbook were not supplied for this revision; claims from earlier reviews are not treated as approved targets.</w:t>
      </w:r>
    </w:p>
    <w:p>
      <w:r>
        <w:br w:type="page"/>
      </w:r>
    </w:p>
    <w:p>
      <w:pPr>
        <w:pStyle w:val="Heading1"/>
      </w:pPr>
      <w:r>
        <w:t>1 Business decisions and scope</w:t>
      </w:r>
    </w:p>
    <w:p>
      <w:pPr>
        <w:pStyle w:val="Heading2"/>
      </w:pPr>
      <w:r>
        <w:t>Questions the dashboard must answer</w:t>
      </w:r>
    </w:p>
    <w:p>
      <w:pPr>
        <w:pStyle w:val="ListBullet"/>
      </w:pPr>
      <w:r>
        <w:t>Is MEERA growing a base of manufacturers who successfully sell and continue selling on Meesho?</w:t>
      </w:r>
    </w:p>
    <w:p>
      <w:pPr>
        <w:pStyle w:val="ListBullet"/>
      </w:pPr>
      <w:r>
        <w:t>Which operating cohorts and categories are progressing, and where are manufacturers delayed, rejected or lost?</w:t>
      </w:r>
    </w:p>
    <w:p>
      <w:pPr>
        <w:pStyle w:val="ListBullet"/>
      </w:pPr>
      <w:r>
        <w:t>Does manufacturer contribution remain viable when free support ends?</w:t>
      </w:r>
    </w:p>
    <w:p>
      <w:pPr>
        <w:pStyle w:val="ListBullet"/>
      </w:pPr>
      <w:r>
        <w:t>How do self-serve and continued-support manufacturers perform at equivalent programme ages?</w:t>
      </w:r>
    </w:p>
    <w:p>
      <w:pPr>
        <w:pStyle w:val="ListBullet"/>
      </w:pPr>
      <w:r>
        <w:t>Are returns, fulfilment problems, weak demand or price competitiveness preventing sustainable growth?</w:t>
      </w:r>
    </w:p>
    <w:p>
      <w:pPr>
        <w:pStyle w:val="Heading2"/>
      </w:pPr>
      <w:r>
        <w:t>Users and decision cadence</w:t>
      </w:r>
    </w:p>
    <w:tbl>
      <w:tblPr>
        <w:tblW w:type="auto" w:w="0"/>
        <w:tblLayout w:type="fixed"/>
        <w:tblLook w:firstColumn="1" w:firstRow="1" w:lastColumn="0" w:lastRow="0" w:noHBand="0" w:noVBand="1" w:val="04A0"/>
      </w:tblPr>
      <w:tblGrid>
        <w:gridCol w:w="1872"/>
        <w:gridCol w:w="3456"/>
        <w:gridCol w:w="4896"/>
      </w:tblGrid>
      <w:tr>
        <w:trPr>
          <w:cantSplit/>
          <w:tblHeader/>
        </w:trPr>
        <w:tc>
          <w:tcPr>
            <w:tcW w:type="dxa" w:w="1872"/>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User</w:t>
            </w:r>
          </w:p>
        </w:tc>
        <w:tc>
          <w:tcPr>
            <w:tcW w:type="dxa" w:w="3456"/>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Decision supported</w:t>
            </w:r>
          </w:p>
        </w:tc>
        <w:tc>
          <w:tcPr>
            <w:tcW w:type="dxa" w:w="4896"/>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Evidence</w:t>
            </w:r>
          </w:p>
        </w:tc>
      </w:tr>
      <w:tr>
        <w:trPr>
          <w:cantSplit/>
        </w:trPr>
        <w:tc>
          <w:tcPr>
            <w:tcW w:type="dxa" w:w="187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Programme leadership</w:t>
            </w:r>
          </w:p>
        </w:tc>
        <w:tc>
          <w:tcPr>
            <w:tcW w:type="dxa" w:w="345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Review pilot direction and readiness to expand</w:t>
            </w:r>
          </w:p>
        </w:tc>
        <w:tc>
          <w:tcPr>
            <w:tcW w:type="dxa" w:w="489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Activation, retention, contribution, price advantage and evidence coverage</w:t>
            </w:r>
          </w:p>
        </w:tc>
      </w:tr>
      <w:tr>
        <w:trPr>
          <w:cantSplit/>
        </w:trPr>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Category manager</w:t>
            </w:r>
          </w:p>
        </w:tc>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Identify category or cohort barriers</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Stage conversion, reason mix, sales, returns and contribution</w:t>
            </w:r>
          </w:p>
        </w:tc>
      </w:tr>
      <w:tr>
        <w:trPr>
          <w:cantSplit/>
        </w:trPr>
        <w:tc>
          <w:tcPr>
            <w:tcW w:type="dxa" w:w="187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Business analyst</w:t>
            </w:r>
          </w:p>
        </w:tc>
        <w:tc>
          <w:tcPr>
            <w:tcW w:type="dxa" w:w="345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Validate patterns and comparisons</w:t>
            </w:r>
          </w:p>
        </w:tc>
        <w:tc>
          <w:tcPr>
            <w:tcW w:type="dxa" w:w="489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Mature denominators, dated events, comparable periods and exports</w:t>
            </w:r>
          </w:p>
        </w:tc>
      </w:tr>
    </w:tbl>
    <w:p>
      <w:pPr>
        <w:spacing w:after="0"/>
      </w:pPr>
    </w:p>
    <w:p>
      <w:pPr>
        <w:pStyle w:val="Heading2"/>
      </w:pPr>
      <w:r>
        <w:t>Release scope</w:t>
      </w:r>
    </w:p>
    <w:p>
      <w:r>
        <w:t>The core release includes an executive overview, acquisition and launch analysis, cohort comparison, post-Day-90 performance, sales and operational diagnostics, manufacturer economics and manufacturer detail. Operational indicators support business evaluation; this is not a warehouse task execution system.</w:t>
      </w:r>
    </w:p>
    <w:p>
      <w:r>
        <w:t>Programme cost efficiency, programme contribution and forecast payback may appear in a clearly labelled future-scope specification. They must not appear as measured results until the accounting boundary, sources and allocation rules are approved. The earlier request for programme economics is retained in the roadmap rather than populated with invented assumptions.</w:t>
      </w:r>
    </w:p>
    <w:p>
      <w:pPr>
        <w:pStyle w:val="Heading2"/>
      </w:pPr>
      <w:r>
        <w:t>Decision discipline</w:t>
      </w:r>
    </w:p>
    <w:p>
      <w:r>
        <w:t>Use actual results and comparable historical baselines before numerical targets are approved. An increase or decline is a descriptive change, not an automatic success or failure verdict. SCALE, ITERATE and STOP remain management decisions outside the product until an approved decision policy exists.</w:t>
      </w:r>
    </w:p>
    <w:p>
      <w:r>
        <w:t>Path comparisons are observational: manufacturers selecting continued support may differ from self-serve manufacturers. Show category, operating cohort, baseline sales and programme age alongside the comparison. Do not describe a difference as the causal effect of MEERA without an approved evaluation design.</w:t>
      </w:r>
    </w:p>
    <w:p>
      <w:r>
        <w:br w:type="page"/>
      </w:r>
    </w:p>
    <w:p>
      <w:pPr>
        <w:pStyle w:val="Heading1"/>
      </w:pPr>
      <w:r>
        <w:t>2 Programme clock and cohort rules</w:t>
      </w:r>
    </w:p>
    <w:p>
      <w:pPr>
        <w:pStyle w:val="Heading2"/>
      </w:pPr>
      <w:r>
        <w:t>One registration clock</w:t>
      </w:r>
    </w:p>
    <w:p>
      <w:r>
        <w:t>Let T0 be the seller registration timestamp, T90 = T0 + 90 days, and T180 = T90 + 90 days. The proposed technical convention uses elapsed 24-hour periods with stored timestamps; display dates in Asia/Kolkata. Confirm this convention with the business owner before production. The 90-day requirement replaces three calendar months and the assistance-start anchor in v1.0.</w:t>
      </w:r>
    </w:p>
    <w:tbl>
      <w:tblPr>
        <w:tblW w:type="auto" w:w="0"/>
        <w:tblLayout w:type="fixed"/>
        <w:tblLook w:firstColumn="1" w:firstRow="1" w:lastColumn="0" w:lastRow="0" w:noHBand="0" w:noVBand="1" w:val="04A0"/>
      </w:tblPr>
      <w:tblGrid>
        <w:gridCol w:w="2160"/>
        <w:gridCol w:w="4896"/>
        <w:gridCol w:w="3168"/>
      </w:tblGrid>
      <w:tr>
        <w:trPr>
          <w:cantSplit/>
          <w:tblHeader/>
        </w:trPr>
        <w:tc>
          <w:tcPr>
            <w:tcW w:type="dxa" w:w="2160"/>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Window</w:t>
            </w:r>
          </w:p>
        </w:tc>
        <w:tc>
          <w:tcPr>
            <w:tcW w:type="dxa" w:w="4896"/>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Timestamp interval</w:t>
            </w:r>
          </w:p>
        </w:tc>
        <w:tc>
          <w:tcPr>
            <w:tcW w:type="dxa" w:w="3168"/>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Purpose</w:t>
            </w:r>
          </w:p>
        </w:tc>
      </w:tr>
      <w:tr>
        <w:trPr>
          <w:cantSplit/>
        </w:trPr>
        <w:tc>
          <w:tcPr>
            <w:tcW w:type="dxa" w:w="216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Free access</w:t>
            </w:r>
          </w:p>
        </w:tc>
        <w:tc>
          <w:tcPr>
            <w:tcW w:type="dxa" w:w="489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T0 inclusive to T90 exclusive</w:t>
            </w:r>
          </w:p>
        </w:tc>
        <w:tc>
          <w:tcPr>
            <w:tcW w:type="dxa" w:w="316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Measure activation and sales during free support</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Final free month</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T0 + 60 days inclusive to T90 exclusive</w:t>
            </w:r>
          </w:p>
        </w:tc>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Common baseline for post-support comparisons</w:t>
            </w:r>
          </w:p>
        </w:tc>
      </w:tr>
      <w:tr>
        <w:trPr>
          <w:cantSplit/>
        </w:trPr>
        <w:tc>
          <w:tcPr>
            <w:tcW w:type="dxa" w:w="216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First post-support month</w:t>
            </w:r>
          </w:p>
        </w:tc>
        <w:tc>
          <w:tcPr>
            <w:tcW w:type="dxa" w:w="489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T90 inclusive to T90 + 30 days exclusive</w:t>
            </w:r>
          </w:p>
        </w:tc>
        <w:tc>
          <w:tcPr>
            <w:tcW w:type="dxa" w:w="316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First 30-day outcome</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Second post-support month</w:t>
            </w:r>
          </w:p>
        </w:tc>
        <w:tc>
          <w:tcPr>
            <w:tcW w:type="dxa" w:w="48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T90 + 30 days inclusive to T90 + 60 days exclusive</w:t>
            </w:r>
          </w:p>
        </w:tc>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Second 30-day outcome</w:t>
            </w:r>
          </w:p>
        </w:tc>
      </w:tr>
      <w:tr>
        <w:trPr>
          <w:cantSplit/>
        </w:trPr>
        <w:tc>
          <w:tcPr>
            <w:tcW w:type="dxa" w:w="216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Third post-support month</w:t>
            </w:r>
          </w:p>
        </w:tc>
        <w:tc>
          <w:tcPr>
            <w:tcW w:type="dxa" w:w="489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T90 + 60 days inclusive to T180 exclusive</w:t>
            </w:r>
          </w:p>
        </w:tc>
        <w:tc>
          <w:tcPr>
            <w:tcW w:type="dxa" w:w="316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90-day post-support outcome</w:t>
            </w:r>
          </w:p>
        </w:tc>
      </w:tr>
    </w:tbl>
    <w:p>
      <w:pPr>
        <w:spacing w:after="0"/>
      </w:pPr>
    </w:p>
    <w:p>
      <w:r>
        <w:t>Launch delays and first delivery do not restart the clock. Early exits retain their original registration and scheduled support-end dates. Returning manufacturers retain historical episodes; a repeat MEERA episode needs an explicit approved policy and must not silently reset registration.</w:t>
      </w:r>
    </w:p>
    <w:p>
      <w:pPr>
        <w:pStyle w:val="Heading2"/>
      </w:pPr>
      <w:r>
        <w:t>Operating cohorts and temporal cohorts</w:t>
      </w:r>
    </w:p>
    <w:p>
      <w:r>
        <w:t>Keep the five operating cohorts separate from registration-month and support-end-month cohorts. Preserve the source-assigned entry cohort for comparisons; historical Churned is an entry characteristic, whereas post-support churn is an outcome.</w:t>
      </w:r>
    </w:p>
    <w:p>
      <w:r>
        <w:t>Dormant and Churned require approved sales-history thresholds. Not Interested and Not Informed can overlap trading-history categories, so the business must approve a mutually exclusive assignment rule. Until then, retain the recorded entry cohort, expose Unknown or Conflicting assignments, and do not infer precedence. Store interest and awareness separately where supplied.</w:t>
      </w:r>
    </w:p>
    <w:p>
      <w:pPr>
        <w:pStyle w:val="Heading2"/>
      </w:pPr>
      <w:r>
        <w:t>Time matched comparisons</w:t>
      </w:r>
    </w:p>
    <w:p>
      <w:r>
        <w:t>Compare only manufacturers with complete follow-up for the displayed window. For before-and-after comparisons, use the same manufacturers in both periods. Publish the paired sample size and exclude unmatched records transparently. A positive baseline is required for percentage growth; report zero-baseline manufacturers separately.</w:t>
      </w:r>
    </w:p>
    <w:p>
      <w:r>
        <w:t>At programme Day 90, the 90-day post-support outcome is not measurable. It becomes available around Day 180, subject to order settlement completeness. Show activation, recent selling and baseline contribution at the Day-90 review.</w:t>
      </w:r>
    </w:p>
    <w:p>
      <w:r>
        <w:br w:type="page"/>
      </w:r>
    </w:p>
    <w:p>
      <w:pPr>
        <w:pStyle w:val="Heading1"/>
      </w:pPr>
      <w:r>
        <w:t>3 Navigation filters and interactions</w:t>
      </w:r>
    </w:p>
    <w:tbl>
      <w:tblPr>
        <w:tblW w:type="auto" w:w="0"/>
        <w:tblLayout w:type="fixed"/>
        <w:tblLook w:firstColumn="1" w:firstRow="1" w:lastColumn="0" w:lastRow="0" w:noHBand="0" w:noVBand="1" w:val="04A0"/>
      </w:tblPr>
      <w:tblGrid>
        <w:gridCol w:w="2232"/>
        <w:gridCol w:w="7992"/>
      </w:tblGrid>
      <w:tr>
        <w:trPr>
          <w:cantSplit/>
          <w:tblHeader/>
        </w:trPr>
        <w:tc>
          <w:tcPr>
            <w:tcW w:type="dxa" w:w="2232"/>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View</w:t>
            </w:r>
          </w:p>
        </w:tc>
        <w:tc>
          <w:tcPr>
            <w:tcW w:type="dxa" w:w="7992"/>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Primary content and visuals</w:t>
            </w:r>
          </w:p>
        </w:tc>
      </w:tr>
      <w:tr>
        <w:trPr>
          <w:cantSplit/>
        </w:trPr>
        <w:tc>
          <w:tcPr>
            <w:tcW w:type="dxa" w:w="223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Programme overview</w:t>
            </w:r>
          </w:p>
        </w:tc>
        <w:tc>
          <w:tcPr>
            <w:tcW w:type="dxa" w:w="799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Compact KPI row; activation and retention beside each other; orders and NMV trends; leading barriers; manufacturer contribution coverage.</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Acquisition and launch</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Event funnel; stage conversion; waiting-time distribution; stage-by-reason heatmap; ranked loss reasons; seller lists.</w:t>
            </w:r>
          </w:p>
        </w:tc>
      </w:tr>
      <w:tr>
        <w:trPr>
          <w:cantSplit/>
        </w:trPr>
        <w:tc>
          <w:tcPr>
            <w:tcW w:type="dxa" w:w="223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Cohort performance</w:t>
            </w:r>
          </w:p>
        </w:tc>
        <w:tc>
          <w:tcPr>
            <w:tcW w:type="dxa" w:w="799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Operating cohort and category matrix; registration-cohort trends; same-age comparisons; counts beside rates.</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After Day 90</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Post-support heatmap; self-serve and continued-support small multiples; before-and-after orders, NMV and contribution; path movement.</w:t>
            </w:r>
          </w:p>
        </w:tc>
      </w:tr>
      <w:tr>
        <w:trPr>
          <w:cantSplit/>
        </w:trPr>
        <w:tc>
          <w:tcPr>
            <w:tcW w:type="dxa" w:w="223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Sales and operations</w:t>
            </w:r>
          </w:p>
        </w:tc>
        <w:tc>
          <w:tcPr>
            <w:tcW w:type="dxa" w:w="799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Sales trends; final order-outcome mix; return causes; fulfilment, inventory and quality diagnostics where data exists.</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Manufacturer economics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Contribution bridge; costs by component; contribution per successful order; margin trends; cash receipts and pending settlement.</w:t>
            </w:r>
          </w:p>
        </w:tc>
      </w:tr>
      <w:tr>
        <w:trPr>
          <w:cantSplit/>
        </w:trPr>
        <w:tc>
          <w:tcPr>
            <w:tcW w:type="dxa" w:w="223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Manufacturer detail</w:t>
            </w:r>
          </w:p>
        </w:tc>
        <w:tc>
          <w:tcPr>
            <w:tcW w:type="dxa" w:w="799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Seller timeline, entry cohort, categories, path history, monthly results, recorded barriers and financial coverage.</w:t>
            </w:r>
          </w:p>
        </w:tc>
      </w:tr>
    </w:tbl>
    <w:p>
      <w:pPr>
        <w:spacing w:after="0"/>
      </w:pPr>
    </w:p>
    <w:p>
      <w:pPr>
        <w:pStyle w:val="Heading2"/>
      </w:pPr>
      <w:r>
        <w:t>Filters</w:t>
      </w:r>
    </w:p>
    <w:p>
      <w:r>
        <w:t>Provide a custom date range and presets, operating cohort, category, registration cohort, scheduled support-end cohort, geography or hub where available, and support path. Add manufacturer ID search in detail views. Categories must come from the approved category master; do not hard-code Beauty or broad Fashion labels from the prototype.</w:t>
      </w:r>
    </w:p>
    <w:p>
      <w:r>
        <w:t>Each view declares its primary date anchor. Acquisition uses identification dates; enrolment uses registration; post-support uses scheduled support end; sales uses order placement for settled order cohorts; cash uses receipt date. A reporting-period selector must not silently apply one date field to every metric. Show the relevant anchor beside charts and in exports.</w:t>
      </w:r>
    </w:p>
    <w:p>
      <w:pPr>
        <w:pStyle w:val="Heading2"/>
      </w:pPr>
      <w:r>
        <w:t>Drill-down behaviour</w:t>
      </w:r>
    </w:p>
    <w:p>
      <w:r>
        <w:t>Clicking a funnel transition opens a modal or dedicated detail view listing manufacturers lost or waiting at that transition. Include seller ID, reason, status, relevant timestamps and age in stage. Offer separate tabs for Progressed, Pending, Overdue, Rejected and Exited. Clicking a chart cell or metric opens its contributing records while retaining all filters.</w:t>
      </w:r>
    </w:p>
    <w:p>
      <w:r>
        <w:t>Definition popovers open below the information icon within the relevant card area, remain keyboard accessible and avoid covering the entire card. Use business phrasing such as “7 of 38 manufacturers”; technical numerator and denominator labels belong in the dictionary.</w:t>
      </w:r>
    </w:p>
    <w:p>
      <w:r>
        <w:br w:type="page"/>
      </w:r>
    </w:p>
    <w:p>
      <w:pPr>
        <w:pStyle w:val="Heading1"/>
      </w:pPr>
      <w:r>
        <w:t>4 Funnel and drop off requirements</w:t>
      </w:r>
    </w:p>
    <w:p>
      <w:pPr>
        <w:pStyle w:val="Heading2"/>
      </w:pPr>
      <w:r>
        <w:t>Acquisition milestones</w:t>
      </w:r>
    </w:p>
    <w:p>
      <w:r>
        <w:t>Use Identify → Approached → Agreed → Eligibility passed → Registered → Live catalogue → First successful delivery. Keep registration and launch distinct because the free-access clock starts at registration. Later growth and retention are outcomes; reaching Day 90 is a time event, not a conversion hurdle.</w:t>
      </w:r>
    </w:p>
    <w:tbl>
      <w:tblPr>
        <w:tblW w:type="auto" w:w="0"/>
        <w:tblLayout w:type="fixed"/>
        <w:tblLook w:firstColumn="1" w:firstRow="1" w:lastColumn="0" w:lastRow="0" w:noHBand="0" w:noVBand="1" w:val="04A0"/>
      </w:tblPr>
      <w:tblGrid>
        <w:gridCol w:w="2304"/>
        <w:gridCol w:w="7920"/>
      </w:tblGrid>
      <w:tr>
        <w:trPr>
          <w:cantSplit/>
          <w:tblHeader/>
        </w:trPr>
        <w:tc>
          <w:tcPr>
            <w:tcW w:type="dxa" w:w="2304"/>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Metric</w:t>
            </w:r>
          </w:p>
        </w:tc>
        <w:tc>
          <w:tcPr>
            <w:tcW w:type="dxa" w:w="7920"/>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Calculation and required context</w:t>
            </w:r>
          </w:p>
        </w:tc>
      </w:tr>
      <w:tr>
        <w:trPr>
          <w:cantSplit/>
        </w:trPr>
        <w:tc>
          <w:tcPr>
            <w:tcW w:type="dxa" w:w="230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Agreement rate</w:t>
            </w:r>
          </w:p>
        </w:tc>
        <w:tc>
          <w:tcPr>
            <w:tcW w:type="dxa" w:w="792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Agreed / approached manufacturers with a recorded response. Show awaiting responses separately.</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Eligibility pass rate</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Passed / completed eligibility decisions among agreed manufacturers. Pending reviews are separate.</w:t>
            </w:r>
          </w:p>
        </w:tc>
      </w:tr>
      <w:tr>
        <w:trPr>
          <w:cantSplit/>
        </w:trPr>
        <w:tc>
          <w:tcPr>
            <w:tcW w:type="dxa" w:w="230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Registration rate</w:t>
            </w:r>
          </w:p>
        </w:tc>
        <w:tc>
          <w:tcPr>
            <w:tcW w:type="dxa" w:w="792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Registered / eligibility-passed manufacturers. Show follow-up age and unresolved cases.</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Launch rate</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At least one live listing and selling enabled / registered manufacturers. Declare observation window.</w:t>
            </w:r>
          </w:p>
        </w:tc>
      </w:tr>
      <w:tr>
        <w:trPr>
          <w:cantSplit/>
        </w:trPr>
        <w:tc>
          <w:tcPr>
            <w:tcW w:type="dxa" w:w="230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30-day activation</w:t>
            </w:r>
          </w:p>
        </w:tc>
        <w:tc>
          <w:tcPr>
            <w:tcW w:type="dxa" w:w="792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First successful delivery within 30 days of launch / launched manufacturers with 30 days elapsed. Show provisional outcomes where return settlement is pending.</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Activation by Day 90</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At least one successful sale during free access / registered participants whose free period ended and outcomes are complete.</w:t>
            </w:r>
          </w:p>
        </w:tc>
      </w:tr>
      <w:tr>
        <w:trPr>
          <w:cantSplit/>
        </w:trPr>
        <w:tc>
          <w:tcPr>
            <w:tcW w:type="dxa" w:w="230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Time to progress</w:t>
            </w:r>
          </w:p>
        </w:tc>
        <w:tc>
          <w:tcPr>
            <w:tcW w:type="dxa" w:w="792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Median and 75th percentile stage duration among converters, with converters and still-waiting counts shown.</w:t>
            </w:r>
          </w:p>
        </w:tc>
      </w:tr>
    </w:tbl>
    <w:p>
      <w:pPr>
        <w:spacing w:after="0"/>
      </w:pPr>
    </w:p>
    <w:p>
      <w:pPr>
        <w:pStyle w:val="Heading2"/>
      </w:pPr>
      <w:r>
        <w:t>Quantifying drop off</w:t>
      </w:r>
    </w:p>
    <w:p>
      <w:r>
        <w:t>For every transition, reconcile the eligible starting population into progressed, rejected, explicitly exited, overdue and pending. Overdue requires an approved stage time limit. Without that limit, display waiting age instead of calling a manufacturer overdue or dropped. A manufacturer who has not yet progressed is not automatically lost.</w:t>
      </w:r>
    </w:p>
    <w:p>
      <w:r>
        <w:t>Show confirmed loss count, loss rate using the stated assessed population, and share of all confirmed losses. Rank “largest loss” by absolute count and “highest loss rate” separately. Completed eligibility rejection is a qualification outcome, not necessarily an onboarding failure.</w:t>
      </w:r>
    </w:p>
    <w:p>
      <w:pPr>
        <w:pStyle w:val="Heading2"/>
      </w:pPr>
      <w:r>
        <w:t>Reason evidence</w:t>
      </w:r>
    </w:p>
    <w:p>
      <w:r>
        <w:t>Preserve the primary recorded reason, optional secondary reasons, source, recorded date and verification state. Proposed reason groups are willingness or trust, B2B conflict, eligibility or quality, registration, catalogue readiness, inventory risk, weak demand, poor economics, fulfilment or returns, and unknown. The business must approve codes before production.</w:t>
      </w:r>
    </w:p>
    <w:p>
      <w:r>
        <w:t>Primary-reason shares sum to 100%, including Unknown. Secondary-reason charts are labelled multiple response and may exceed 100%. Show unrecorded-reason coverage. Suspected fraud or inferred low demand must not be presented as a verified cause.</w:t>
      </w:r>
    </w:p>
    <w:p>
      <w:r>
        <w:br w:type="page"/>
      </w:r>
    </w:p>
    <w:p>
      <w:pPr>
        <w:pStyle w:val="Heading1"/>
      </w:pPr>
      <w:r>
        <w:t>5 Retention and support paths</w:t>
      </w:r>
    </w:p>
    <w:p>
      <w:pPr>
        <w:pStyle w:val="Heading2"/>
      </w:pPr>
      <w:r>
        <w:t>Meesho selling retention</w:t>
      </w:r>
    </w:p>
    <w:p>
      <w:r>
        <w:t>Retain the v1.0 30-day block concept. For each post-support block, a manufacturer is retained when they have at least one successful order in that block and have not formally left Meesho without a recorded rejoin and resumed selling. A MEERA-only cancellation never counts as Meesho exit.</w:t>
      </w:r>
    </w:p>
    <w:tbl>
      <w:tblPr>
        <w:tblW w:type="auto" w:w="0"/>
        <w:tblLayout w:type="fixed"/>
        <w:tblLook w:firstColumn="1" w:firstRow="1" w:lastColumn="0" w:lastRow="0" w:noHBand="0" w:noVBand="1" w:val="04A0"/>
      </w:tblPr>
      <w:tblGrid>
        <w:gridCol w:w="2448"/>
        <w:gridCol w:w="7776"/>
      </w:tblGrid>
      <w:tr>
        <w:trPr>
          <w:cantSplit/>
          <w:tblHeader/>
        </w:trPr>
        <w:tc>
          <w:tcPr>
            <w:tcW w:type="dxa" w:w="2448"/>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Metric</w:t>
            </w:r>
          </w:p>
        </w:tc>
        <w:tc>
          <w:tcPr>
            <w:tcW w:type="dxa" w:w="7776"/>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Definition</w:t>
            </w:r>
          </w:p>
        </w:tc>
      </w:tr>
      <w:tr>
        <w:trPr>
          <w:cantSplit/>
        </w:trPr>
        <w:tc>
          <w:tcPr>
            <w:tcW w:type="dxa" w:w="244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30 60 and 90 day churn</w:t>
            </w:r>
          </w:p>
        </w:tc>
        <w:tc>
          <w:tcPr>
            <w:tcW w:type="dxa" w:w="777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Activated-by-T90 manufacturers who formally left Meesho or have no successful order in the relevant 30-day block / activated-by-T90 manufacturers with complete follow-up and settled outcomes.</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Activation failure</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No successful sale during free access / registered participants with completed free access and complete order outcomes. Display beside churn.</w:t>
            </w:r>
          </w:p>
        </w:tc>
      </w:tr>
      <w:tr>
        <w:trPr>
          <w:cantSplit/>
        </w:trPr>
        <w:tc>
          <w:tcPr>
            <w:tcW w:type="dxa" w:w="244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Current active manufacturers</w:t>
            </w:r>
          </w:p>
        </w:tc>
        <w:tc>
          <w:tcPr>
            <w:tcW w:type="dxa" w:w="777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At least one successful order in the trailing 30 days. Split into free access, self-serve and continued MEERA support.</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Post-support orders and NMV</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Successful order lines and their NMV in each post-support block, compared with the final free month for the same sellers.</w:t>
            </w:r>
          </w:p>
        </w:tc>
      </w:tr>
      <w:tr>
        <w:trPr>
          <w:cantSplit/>
        </w:trPr>
        <w:tc>
          <w:tcPr>
            <w:tcW w:type="dxa" w:w="244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Contribution change</w:t>
            </w:r>
          </w:p>
        </w:tc>
        <w:tc>
          <w:tcPr>
            <w:tcW w:type="dxa" w:w="777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Post-support manufacturer contribution minus contribution in the final free month. Show rupee change and matched data coverage.</w:t>
            </w:r>
          </w:p>
        </w:tc>
      </w:tr>
      <w:tr>
        <w:trPr>
          <w:cantSplit/>
        </w:trPr>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Reactivation</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Previously inactive or churned manufacturers resuming successful selling. Show counts; an outreach-based rate needs a recorded approached base.</w:t>
            </w:r>
          </w:p>
        </w:tc>
      </w:tr>
      <w:tr>
        <w:trPr>
          <w:cantSplit/>
        </w:trPr>
        <w:tc>
          <w:tcPr>
            <w:tcW w:type="dxa" w:w="244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MEERA adoption</w:t>
            </w:r>
          </w:p>
        </w:tc>
        <w:tc>
          <w:tcPr>
            <w:tcW w:type="dxa" w:w="777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Manufacturers taking continued MEERA support / all registered participants whose free access ended. Paid conversion requires a paid-plan record and a separately approved commercial definition.</w:t>
            </w:r>
          </w:p>
        </w:tc>
      </w:tr>
    </w:tbl>
    <w:p>
      <w:pPr>
        <w:spacing w:after="0"/>
      </w:pPr>
    </w:p>
    <w:p>
      <w:pPr>
        <w:pStyle w:val="Heading2"/>
      </w:pPr>
      <w:r>
        <w:t>Keep choice and outcome separate</w:t>
      </w:r>
    </w:p>
    <w:p>
      <w:r>
        <w:t>Show self-serve, continued MEERA support, left Meesho and undecided as distinct transition states. Someone leaving MEERA who continues independently is self-serve for selling analysis. Unknown path is not evidence of exit. Preserve choice at T90 and later path history rather than overwriting it.</w:t>
      </w:r>
    </w:p>
    <w:p>
      <w:r>
        <w:t>Compare outcomes by path at the support-end boundary to avoid grouping sellers by a choice made after their outcome. If no choice exists at that boundary, retain Undecided. A current-path view may also be available, explicitly labelled as current. Continued support does not automatically mean paid support.</w:t>
      </w:r>
    </w:p>
    <w:p>
      <w:r>
        <w:t>Heatmaps show support-end cohorts in rows and successive 30-day blocks in columns. Incomplete time windows show “Not yet available”; elapsed windows with unsettled orders show “Pending settlement”; an empty mature base shows “N/A”. Rates aggregate by total counts, not an average of cohort percentages. Reactivation means block retention need not decline monotonically.</w:t>
      </w:r>
    </w:p>
    <w:p>
      <w:r>
        <w:br w:type="page"/>
      </w:r>
    </w:p>
    <w:p>
      <w:pPr>
        <w:pStyle w:val="Heading1"/>
      </w:pPr>
      <w:r>
        <w:t>6 Sales and operational diagnostics</w:t>
      </w:r>
    </w:p>
    <w:p>
      <w:pPr>
        <w:pStyle w:val="Heading2"/>
      </w:pPr>
      <w:r>
        <w:t>Order grain and settlement</w:t>
      </w:r>
    </w:p>
    <w:p>
      <w:r>
        <w:t>Use one manufacturer order-line ID for order outcomes, NMV and average order value. A customer checkout can contain multiple manufacturer lines. Count a successful line only once after delivery and the applicable return window; otherwise label it provisional. State both observation cut-off and return-outcome completeness.</w:t>
      </w:r>
    </w:p>
    <w:tbl>
      <w:tblPr>
        <w:tblW w:type="auto" w:w="0"/>
        <w:tblLayout w:type="fixed"/>
        <w:tblLook w:firstColumn="1" w:firstRow="1" w:lastColumn="0" w:lastRow="0" w:noHBand="0" w:noVBand="1" w:val="04A0"/>
      </w:tblPr>
      <w:tblGrid>
        <w:gridCol w:w="2304"/>
        <w:gridCol w:w="7920"/>
      </w:tblGrid>
      <w:tr>
        <w:trPr>
          <w:cantSplit/>
          <w:tblHeader/>
        </w:trPr>
        <w:tc>
          <w:tcPr>
            <w:tcW w:type="dxa" w:w="2304"/>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Metric</w:t>
            </w:r>
          </w:p>
        </w:tc>
        <w:tc>
          <w:tcPr>
            <w:tcW w:type="dxa" w:w="7920"/>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Definition or display rule</w:t>
            </w:r>
          </w:p>
        </w:tc>
      </w:tr>
      <w:tr>
        <w:trPr>
          <w:cantSplit/>
        </w:trPr>
        <w:tc>
          <w:tcPr>
            <w:tcW w:type="dxa" w:w="230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Successful orders</w:t>
            </w:r>
          </w:p>
        </w:tc>
        <w:tc>
          <w:tcPr>
            <w:tcW w:type="dxa" w:w="792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Delivered manufacturer order lines not subsequently returned in the applicable return window.</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NMV</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Successful lines’ customer-paid merchandise value net of returns and refunds, excluding shipping and taxes, following the inherited PRD definition.</w:t>
            </w:r>
          </w:p>
        </w:tc>
      </w:tr>
      <w:tr>
        <w:trPr>
          <w:cantSplit/>
        </w:trPr>
        <w:tc>
          <w:tcPr>
            <w:tcW w:type="dxa" w:w="230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Average order value</w:t>
            </w:r>
          </w:p>
        </w:tc>
        <w:tc>
          <w:tcPr>
            <w:tcW w:type="dxa" w:w="792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NMV / successful lines in the identical settled order cohort.</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Broad unsuccessful rate</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Unique lines ending unaccepted, rejected, not collected or returned / placed lines in the same mature cohort. Preserve the label “RTO / unsuccessful orders”.</w:t>
            </w:r>
          </w:p>
        </w:tc>
      </w:tr>
      <w:tr>
        <w:trPr>
          <w:cantSplit/>
        </w:trPr>
        <w:tc>
          <w:tcPr>
            <w:tcW w:type="dxa" w:w="230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Shipment RTO</w:t>
            </w:r>
          </w:p>
        </w:tc>
        <w:tc>
          <w:tcPr>
            <w:tcW w:type="dxa" w:w="792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Separate logistics diagnostic using shipped orders and an approved status mapping. Never substitute it for the broad business measure.</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Quality and fulfilment</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Defect-related return rate, dispatch SLA compliance and ratings with rated-order counts. SLA and defect taxonomy await confirmation.</w:t>
            </w:r>
          </w:p>
        </w:tc>
      </w:tr>
      <w:tr>
        <w:trPr>
          <w:cantSplit/>
        </w:trPr>
        <w:tc>
          <w:tcPr>
            <w:tcW w:type="dxa" w:w="230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Inventory diagnostics</w:t>
            </w:r>
          </w:p>
        </w:tc>
        <w:tc>
          <w:tcPr>
            <w:tcW w:type="dxa" w:w="792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Stock-out days, units ageing and days of cover where inventory feeds exist. No unapproved replenishment threshold.</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Price competitiveness</w:t>
            </w:r>
          </w:p>
        </w:tc>
        <w:tc>
          <w:tcPr>
            <w:tcW w:type="dxa" w:w="79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Matched comparable merchandise-price gap by category and SKU. Display matching method, quality comparability, subsidy treatment and match coverage.</w:t>
            </w:r>
          </w:p>
        </w:tc>
      </w:tr>
    </w:tbl>
    <w:p>
      <w:pPr>
        <w:spacing w:after="0"/>
      </w:pPr>
    </w:p>
    <w:p>
      <w:pPr>
        <w:pStyle w:val="Heading2"/>
      </w:pPr>
      <w:r>
        <w:t>Outcomes and causes</w:t>
      </w:r>
    </w:p>
    <w:p>
      <w:r>
        <w:t>Final statuses describe what happened; recorded causes describe why. Maintain both. The proposed cause groups reflect the project research: multiple-item trial and selection, quality versus price, impulse purchase, wrong or defective product, suspected customer misuse, delivery attempt failure, and address or other information issues. Add Other and Unknown. These are proposed codes, not verified reasons for every return.</w:t>
      </w:r>
    </w:p>
    <w:p>
      <w:r>
        <w:t>An order with several events has one final outcome and a documented event history. The status precedence and treatment of cancellation, partial refunds and damaged returns require source mapping before production. Do not force unmapped lines into the broad rate; disclose their counts and impact on coverage.</w:t>
      </w:r>
    </w:p>
    <w:p>
      <w:r>
        <w:t>Charts use trends for time, ranked bars for causes and a category-by-outcome heatmap for concentration. Show rates with counts and settled bases. Missing operational data appears as unavailable, never as a clean performance result.</w:t>
      </w:r>
    </w:p>
    <w:p>
      <w:r>
        <w:br w:type="page"/>
      </w:r>
    </w:p>
    <w:p>
      <w:pPr>
        <w:pStyle w:val="Heading1"/>
      </w:pPr>
      <w:r>
        <w:t>7 Manufacturer economics requirements</w:t>
      </w:r>
    </w:p>
    <w:p>
      <w:pPr>
        <w:pStyle w:val="Heading2"/>
      </w:pPr>
      <w:r>
        <w:t>Two financial views</w:t>
      </w:r>
    </w:p>
    <w:p>
      <w:r>
        <w:t>The contribution view measures the economics of selling. The cash view measures money actually received and paid. Sales contribution can be positive while inventory and unsettled receivables consume cash; the dashboard must show that distinction.</w:t>
      </w:r>
    </w:p>
    <w:tbl>
      <w:tblPr>
        <w:tblW w:type="auto" w:w="0"/>
        <w:tblLayout w:type="fixed"/>
        <w:tblLook w:firstColumn="1" w:firstRow="1" w:lastColumn="0" w:lastRow="0" w:noHBand="0" w:noVBand="1" w:val="04A0"/>
      </w:tblPr>
      <w:tblGrid>
        <w:gridCol w:w="2376"/>
        <w:gridCol w:w="7848"/>
      </w:tblGrid>
      <w:tr>
        <w:trPr>
          <w:cantSplit/>
          <w:tblHeader/>
        </w:trPr>
        <w:tc>
          <w:tcPr>
            <w:tcW w:type="dxa" w:w="2376"/>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Measure</w:t>
            </w:r>
          </w:p>
        </w:tc>
        <w:tc>
          <w:tcPr>
            <w:tcW w:type="dxa" w:w="7848"/>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Calculation and boundary</w:t>
            </w:r>
          </w:p>
        </w:tc>
      </w:tr>
      <w:tr>
        <w:trPr>
          <w:cantSplit/>
        </w:trPr>
        <w:tc>
          <w:tcPr>
            <w:tcW w:type="dxa" w:w="237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Net merchandise sales</w:t>
            </w:r>
          </w:p>
        </w:tc>
        <w:tc>
          <w:tcPr>
            <w:tcW w:type="dxa" w:w="784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Manufacturer economic sales basis reconciled to order-level NMV, with discounts and tax treatment disclosed. Do not assume platform NMV equals seller payout.</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Selling contribution</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Net merchandise sales minus product cost for sold units, unrecovered return-related product losses, packaging, manufacturer-borne forward and reverse logistics, applicable selling charges, advertising and MEERA fees.</w:t>
            </w:r>
          </w:p>
        </w:tc>
      </w:tr>
      <w:tr>
        <w:trPr>
          <w:cantSplit/>
        </w:trPr>
        <w:tc>
          <w:tcPr>
            <w:tcW w:type="dxa" w:w="237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Contribution per successful order</w:t>
            </w:r>
          </w:p>
        </w:tc>
        <w:tc>
          <w:tcPr>
            <w:tcW w:type="dxa" w:w="784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Selling contribution / settled successful order lines in the same cohort. Includes attributable costs of unsuccessful lines; show their cost separately.</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Contribution margin</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Selling contribution / net merchandise sales, where sales are positive and all required cost components are available.</w:t>
            </w:r>
          </w:p>
        </w:tc>
      </w:tr>
      <w:tr>
        <w:trPr>
          <w:cantSplit/>
        </w:trPr>
        <w:tc>
          <w:tcPr>
            <w:tcW w:type="dxa" w:w="237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Cash receipts</w:t>
            </w:r>
          </w:p>
        </w:tc>
        <w:tc>
          <w:tcPr>
            <w:tcW w:type="dxa" w:w="784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Actual settled payouts received, dated by receipt. Show pending payouts and deductions separately.</w:t>
            </w:r>
          </w:p>
        </w:tc>
      </w:tr>
      <w:tr>
        <w:trPr>
          <w:cantSplit/>
        </w:trP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Channel cash movement</w:t>
            </w:r>
          </w:p>
        </w:tc>
        <w:tc>
          <w:tcPr>
            <w:tcW w:type="dxa" w:w="78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Attributed cash receipts minus recorded channel cash payments, including inventory purchases. If cash feeds are incomplete, label partial movement; do not call it net cash flow.</w:t>
            </w:r>
          </w:p>
        </w:tc>
      </w:tr>
      <w:tr>
        <w:trPr>
          <w:cantSplit/>
        </w:trPr>
        <w:tc>
          <w:tcPr>
            <w:tcW w:type="dxa" w:w="2376"/>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Inventory exposure</w:t>
            </w:r>
          </w:p>
        </w:tc>
        <w:tc>
          <w:tcPr>
            <w:tcW w:type="dxa" w:w="7848"/>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Units and recorded cost value in stock, ageing and write-offs where supported. Inventory purchase is not automatically the product cost of the current month’s sold units.</w:t>
            </w:r>
          </w:p>
        </w:tc>
      </w:tr>
    </w:tbl>
    <w:p>
      <w:pPr>
        <w:spacing w:after="0"/>
      </w:pPr>
    </w:p>
    <w:p>
      <w:pPr>
        <w:pStyle w:val="Heading2"/>
      </w:pPr>
      <w:r>
        <w:t>Subsidies and post support fees</w:t>
      </w:r>
    </w:p>
    <w:p>
      <w:r>
        <w:t>Record the economic cost, payer and manufacturer-borne amount separately. During free access, display which costs MEERA bears. After Day 90, use actual charges and costs from the source. A cost that becomes payable must not be inferred from a fee schedule still under development.</w:t>
      </w:r>
    </w:p>
    <w:p>
      <w:r>
        <w:t>A counterfactual contribution “without free support” is permitted only as a clearly labelled scenario with user-approved assumptions. It must never overwrite observed manufacturer contribution.</w:t>
      </w:r>
    </w:p>
    <w:p>
      <w:pPr>
        <w:pStyle w:val="Heading2"/>
      </w:pPr>
      <w:r>
        <w:t>Coverage and visual specification</w:t>
      </w:r>
    </w:p>
    <w:p>
      <w:r>
        <w:t>Use a contribution bridge from sales through product, logistics, returns, advertising and MEERA fees to contribution; show final-free-month and post-support-month comparisons. Each manufacturer displays cost-source coverage, Actual or Estimated labels and the period. Suppress a complete-contribution headline when a required component is missing; show available components and explain what is missing.</w:t>
      </w:r>
    </w:p>
    <w:p>
      <w:r>
        <w:t>Cash and contribution charts use different date anchors. Refunds and write-offs reconcile to source records without counting the same product or logistics loss twice. Finance must confirm allocation and period recognition rules before production.</w:t>
      </w:r>
    </w:p>
    <w:p>
      <w:r>
        <w:br w:type="page"/>
      </w:r>
    </w:p>
    <w:p>
      <w:pPr>
        <w:pStyle w:val="Heading1"/>
      </w:pPr>
      <w:r>
        <w:t>8 Design and manufacturer detail</w:t>
      </w:r>
    </w:p>
    <w:p>
      <w:pPr>
        <w:pStyle w:val="Heading2"/>
      </w:pPr>
      <w:r>
        <w:t>Meesho visual treatment</w:t>
      </w:r>
    </w:p>
    <w:p>
      <w:r>
        <w:t>Follow the established MEERA deck palette rather than claim these are official corporate brand specifications. Use white surfaces, strong headings, restrained plum emphasis and soft accents. Montserrat headings with a readable sans serif body are preferred. Tables and chart labels remain legible at normal desktop viewing size.</w:t>
      </w:r>
    </w:p>
    <w:tbl>
      <w:tblPr>
        <w:tblW w:type="auto" w:w="0"/>
        <w:tblLayout w:type="fixed"/>
        <w:tblLook w:firstColumn="1" w:firstRow="1" w:lastColumn="0" w:lastRow="0" w:noHBand="0" w:noVBand="1" w:val="04A0"/>
      </w:tblPr>
      <w:tblGrid>
        <w:gridCol w:w="2880"/>
        <w:gridCol w:w="7344"/>
      </w:tblGrid>
      <w:tr>
        <w:trPr>
          <w:cantSplit/>
          <w:tblHeader/>
        </w:trPr>
        <w:tc>
          <w:tcPr>
            <w:tcW w:type="dxa" w:w="2880"/>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Colour</w:t>
            </w:r>
          </w:p>
        </w:tc>
        <w:tc>
          <w:tcPr>
            <w:tcW w:type="dxa" w:w="7344"/>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Role</w:t>
            </w:r>
          </w:p>
        </w:tc>
      </w:tr>
      <w:tr>
        <w:trPr>
          <w:cantSplit/>
        </w:trPr>
        <w:tc>
          <w:tcPr>
            <w:tcW w:type="dxa" w:w="288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#62124f Plum</w:t>
            </w:r>
          </w:p>
        </w:tc>
        <w:tc>
          <w:tcPr>
            <w:tcW w:type="dxa" w:w="734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Primary actions, selected navigation and main data series</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#e4ddfb Lavender</w:t>
            </w:r>
          </w:p>
        </w:tc>
        <w:tc>
          <w:tcPr>
            <w:tcW w:type="dxa" w:w="73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Cohort and secondary series accents</w:t>
            </w:r>
          </w:p>
        </w:tc>
      </w:tr>
      <w:tr>
        <w:trPr>
          <w:cantSplit/>
        </w:trPr>
        <w:tc>
          <w:tcPr>
            <w:tcW w:type="dxa" w:w="288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#ffc3e8 Pink</w:t>
            </w:r>
          </w:p>
        </w:tc>
        <w:tc>
          <w:tcPr>
            <w:tcW w:type="dxa" w:w="734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Programme accents and selected emphasis</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#ffd8ab Peach</w:t>
            </w:r>
          </w:p>
        </w:tc>
        <w:tc>
          <w:tcPr>
            <w:tcW w:type="dxa" w:w="73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Support-transition and comparative series accents</w:t>
            </w:r>
          </w:p>
        </w:tc>
      </w:tr>
      <w:tr>
        <w:trPr>
          <w:cantSplit/>
        </w:trPr>
        <w:tc>
          <w:tcPr>
            <w:tcW w:type="dxa" w:w="2880"/>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#ffffff White</w:t>
            </w:r>
          </w:p>
        </w:tc>
        <w:tc>
          <w:tcPr>
            <w:tcW w:type="dxa" w:w="7344"/>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Page and chart background</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Dark neutral text</w:t>
            </w:r>
          </w:p>
        </w:tc>
        <w:tc>
          <w:tcPr>
            <w:tcW w:type="dxa" w:w="73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Body copy, axes and essential labels; test contrast</w:t>
            </w:r>
          </w:p>
        </w:tc>
      </w:tr>
    </w:tbl>
    <w:p>
      <w:pPr>
        <w:spacing w:after="0"/>
      </w:pPr>
    </w:p>
    <w:p>
      <w:pPr>
        <w:pStyle w:val="Heading2"/>
      </w:pPr>
      <w:r>
        <w:t>Chart hierarchy</w:t>
      </w:r>
    </w:p>
    <w:p>
      <w:r>
        <w:t>The overview prioritises a small set of decision metrics, then trends and reasons. Detailed tabs carry the deeper analysis. Use direct units, readable legends, aligned time axes and consistent series colours. Avoid 3D charts, decorative gauges and oversized infographic tiles that hide the evidence. Counts and denominators remain visible.</w:t>
      </w:r>
    </w:p>
    <w:p>
      <w:r>
        <w:t>Use text labels or symbols with colour for every status. An unapproved threshold cannot produce a red or green business verdict. Support-path colours remain identical across pages. Missing and immature cells look distinct from a measured zero. Charts have a table alternative and keyboard-accessible drill-downs.</w:t>
      </w:r>
    </w:p>
    <w:p>
      <w:pPr>
        <w:pStyle w:val="Heading2"/>
      </w:pPr>
      <w:r>
        <w:t>Manufacturer detail and exports</w:t>
      </w:r>
    </w:p>
    <w:p>
      <w:r>
        <w:t>Display stable manufacturer ID and linked seller IDs, entry cohort, categories, registration date, support-end boundary, first delivery, latest successful order, historical support choices and recorded reasons. Add the monthly sales, contribution and cash view plus operational diagnostics where available. A high-level watchlist is a filtered evidence table, not an editable workflow.</w:t>
      </w:r>
    </w:p>
    <w:p>
      <w:r>
        <w:t>Exports contain the filtered records, selected date range, metric date anchors, time zone, data cut-off, metric definition version, settlement status, selected filters and coverage. CSV uses stable field names and readable units; protect against spreadsheet formula injection. Aggregate and manufacturer-level exports respect the same access scope as the screen. No customer personal data, KYC files or identity images appear.</w:t>
      </w:r>
    </w:p>
    <w:p>
      <w:pPr>
        <w:pStyle w:val="Heading2"/>
      </w:pPr>
      <w:r>
        <w:t>Performance and reliability</w:t>
      </w:r>
    </w:p>
    <w:p>
      <w:r>
        <w:t>Desktop first and tablet usable. Loading, no data, failed refresh and partial-source states must be explicit. Filters must update charts and tables consistently and preserve state across drill-downs. Establish a measured performance budget after expected dataset size is known; do not promise an unvalidated load-time SLA.</w:t>
      </w:r>
    </w:p>
    <w:p>
      <w:r>
        <w:br w:type="page"/>
      </w:r>
    </w:p>
    <w:p>
      <w:pPr>
        <w:pStyle w:val="Heading1"/>
      </w:pPr>
      <w:r>
        <w:t>9 Data model and validation</w:t>
      </w:r>
    </w:p>
    <w:tbl>
      <w:tblPr>
        <w:tblW w:type="auto" w:w="0"/>
        <w:tblLayout w:type="fixed"/>
        <w:tblLook w:firstColumn="1" w:firstRow="1" w:lastColumn="0" w:lastRow="0" w:noHBand="0" w:noVBand="1" w:val="04A0"/>
      </w:tblPr>
      <w:tblGrid>
        <w:gridCol w:w="2232"/>
        <w:gridCol w:w="7992"/>
      </w:tblGrid>
      <w:tr>
        <w:trPr>
          <w:cantSplit/>
          <w:tblHeader/>
        </w:trPr>
        <w:tc>
          <w:tcPr>
            <w:tcW w:type="dxa" w:w="2232"/>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Dataset</w:t>
            </w:r>
          </w:p>
        </w:tc>
        <w:tc>
          <w:tcPr>
            <w:tcW w:type="dxa" w:w="7992"/>
            <w:shd w:fill="62124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color w:val="FFFFFF"/>
                <w:sz w:val="18"/>
              </w:rPr>
              <w:t>Minimum fields</w:t>
            </w:r>
          </w:p>
        </w:tc>
      </w:tr>
      <w:tr>
        <w:trPr>
          <w:cantSplit/>
        </w:trPr>
        <w:tc>
          <w:tcPr>
            <w:tcW w:type="dxa" w:w="223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Manufacturers</w:t>
            </w:r>
          </w:p>
        </w:tc>
        <w:tc>
          <w:tcPr>
            <w:tcW w:type="dxa" w:w="799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Stable business ID, seller IDs, entry cohort and assignment source, categories, geography, registration timestamp, eligibility decision and source.</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Stage events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Manufacturer ID, milestone, timestamp, status, source, primary and secondary reasons, verification state.</w:t>
            </w:r>
          </w:p>
        </w:tc>
      </w:tr>
      <w:tr>
        <w:trPr>
          <w:cantSplit/>
        </w:trPr>
        <w:tc>
          <w:tcPr>
            <w:tcW w:type="dxa" w:w="223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Support history</w:t>
            </w:r>
          </w:p>
        </w:tc>
        <w:tc>
          <w:tcPr>
            <w:tcW w:type="dxa" w:w="799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Registration-linked episode, scheduled support-end boundary, path choices and effective dates, MEERA exit, Meesho exit and rejoin events.</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Order lines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Line ID, manufacturer ID, category, placement and delivery times, final status, return and refund events, merchandise value, settlement completeness.</w:t>
            </w:r>
          </w:p>
        </w:tc>
      </w:tr>
      <w:tr>
        <w:trPr>
          <w:cantSplit/>
        </w:trPr>
        <w:tc>
          <w:tcPr>
            <w:tcW w:type="dxa" w:w="223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Cost and payout records</w:t>
            </w:r>
          </w:p>
        </w:tc>
        <w:tc>
          <w:tcPr>
            <w:tcW w:type="dxa" w:w="799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Manufacturer and order or period link, cost type, amount, tax basis, payer, actual or estimate, allocation rule, payout receipt date.</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Optional diagnostic feeds</w:t>
            </w:r>
          </w:p>
        </w:tc>
        <w:tc>
          <w:tcPr>
            <w:tcW w:type="dxa" w:w="79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Inventory, dispatch, quality, price matches and externally recorded interventions with their source timestamps.</w:t>
            </w:r>
          </w:p>
        </w:tc>
      </w:tr>
      <w:tr>
        <w:trPr>
          <w:cantSplit/>
        </w:trPr>
        <w:tc>
          <w:tcPr>
            <w:tcW w:type="dxa" w:w="223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Metric configuration</w:t>
            </w:r>
          </w:p>
        </w:tc>
        <w:tc>
          <w:tcPr>
            <w:tcW w:type="dxa" w:w="7992"/>
            <w:shd w:fill="F4EF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5" w:lineRule="auto"/>
            </w:pPr>
            <w:r>
              <w:rPr>
                <w:b w:val="0"/>
                <w:color w:val="000000"/>
                <w:sz w:val="18"/>
              </w:rPr>
              <w:t>Definitions, approved thresholds, effective dates, source mappings, business owners and approval state.</w:t>
            </w:r>
          </w:p>
        </w:tc>
      </w:tr>
    </w:tbl>
    <w:p>
      <w:pPr>
        <w:spacing w:after="0"/>
      </w:pPr>
    </w:p>
    <w:p>
      <w:pPr>
        <w:pStyle w:val="Heading2"/>
      </w:pPr>
      <w:r>
        <w:t>Validation rules</w:t>
      </w:r>
    </w:p>
    <w:p>
      <w:pPr>
        <w:pStyle w:val="ListBullet"/>
      </w:pPr>
      <w:r>
        <w:t>Deduplicate businesses and order lines. Multiple seller IDs for one business must not inflate manufacturer counts.</w:t>
      </w:r>
    </w:p>
    <w:p>
      <w:pPr>
        <w:pStyle w:val="ListBullet"/>
      </w:pPr>
      <w:r>
        <w:t>Reconcile funnel transitions to their source population; preserve rejected, waiting and exited cases.</w:t>
      </w:r>
    </w:p>
    <w:p>
      <w:pPr>
        <w:pStyle w:val="ListBullet"/>
      </w:pPr>
      <w:r>
        <w:t>Reconcile NMV, successful-order count and average order value within the same cohort. Reconcile financial bridges and source payouts.</w:t>
      </w:r>
    </w:p>
    <w:p>
      <w:pPr>
        <w:pStyle w:val="ListBullet"/>
      </w:pPr>
      <w:r>
        <w:t>Show source refresh times and an as-of date. Retention maturity is based on that cut-off, not the computer’s current date.</w:t>
      </w:r>
    </w:p>
    <w:p>
      <w:pPr>
        <w:pStyle w:val="ListBullet"/>
      </w:pPr>
      <w:r>
        <w:t>Use Unknown for missing cohort or reason, N/A for zero bases and explicit missing-data states. Do not silently drop incomplete cases.</w:t>
      </w:r>
    </w:p>
    <w:p>
      <w:pPr>
        <w:pStyle w:val="ListBullet"/>
      </w:pPr>
      <w:r>
        <w:t>For manufacturers spanning categories, category rows may overlap; disclose this and deduplicate the total. Order metrics use order-line category.</w:t>
      </w:r>
    </w:p>
    <w:p>
      <w:pPr>
        <w:pStyle w:val="ListBullet"/>
      </w:pPr>
      <w:r>
        <w:t>Retain history and distinguish status at the outcome window from current status. Do not rewrite past support choices.</w:t>
      </w:r>
    </w:p>
    <w:p>
      <w:pPr>
        <w:pStyle w:val="Heading2"/>
      </w:pPr>
      <w:r>
        <w:t>Small samples and comparability</w:t>
      </w:r>
    </w:p>
    <w:p>
      <w:r>
        <w:t>Show n on every rate. Suppress statistical claims when the sample does not support them; do not invent a numeric small-sample threshold. Filtered pilot results remain descriptive until an approved analysis policy exists. Use comparable programme ages and disclose mix differences, price-match coverage and missing-cost coverage.</w:t>
      </w:r>
    </w:p>
    <w:p>
      <w:pPr>
        <w:pStyle w:val="Heading2"/>
      </w:pPr>
      <w:r>
        <w:t>Access and refresh</w:t>
      </w:r>
    </w:p>
    <w:p>
      <w:r>
        <w:t>Production authentication, role scopes, export permissions, retention policy and refresh cadence remain to be confirmed. Source-level checks should block stale or failed datasets from masquerading as a successful refresh. Display partial availability by metric.</w:t>
      </w:r>
    </w:p>
    <w:p>
      <w:r>
        <w:br w:type="page"/>
      </w:r>
    </w:p>
    <w:p>
      <w:pPr>
        <w:pStyle w:val="Heading1"/>
      </w:pPr>
      <w:r>
        <w:t>10 Delivery acceptance and open decisions</w:t>
      </w:r>
    </w:p>
    <w:p>
      <w:pPr>
        <w:pStyle w:val="Heading2"/>
      </w:pPr>
      <w:r>
        <w:t>Release sequence</w:t>
      </w:r>
    </w:p>
    <w:p>
      <w:r>
        <w:t>First implement the confirmed clock, cohort filters, corrected funnel, path history and mature retention logic. Then connect manufacturer costs and payouts and validate contribution. Add operations and price diagnostics when their source mappings are ready. Programme economics follows the approved financial model and cost-allocation boundary.</w:t>
      </w:r>
    </w:p>
    <w:p>
      <w:pPr>
        <w:pStyle w:val="Heading2"/>
      </w:pPr>
      <w:r>
        <w:t>Acceptance checks</w:t>
      </w:r>
    </w:p>
    <w:p>
      <w:pPr>
        <w:pStyle w:val="ListBullet"/>
      </w:pPr>
      <w:r>
        <w:t>Registration fixes Day 0 and the Day-90 support-end boundary; delayed launch and early exit do not change it.</w:t>
      </w:r>
    </w:p>
    <w:p>
      <w:pPr>
        <w:pStyle w:val="ListBullet"/>
      </w:pPr>
      <w:r>
        <w:t>A MEERA cancellation with continued Meesho sales is retained selling and visible as self-serve; a Meesho exit is recorded separately.</w:t>
      </w:r>
    </w:p>
    <w:p>
      <w:pPr>
        <w:pStyle w:val="ListBullet"/>
      </w:pPr>
      <w:r>
        <w:t>The funnel includes registration before live catalogue. Waiting manufacturers are not automatically drop-offs; stage detail lists seller IDs and reasons.</w:t>
      </w:r>
    </w:p>
    <w:p>
      <w:pPr>
        <w:pStyle w:val="ListBullet"/>
      </w:pPr>
      <w:r>
        <w:t>Retention excludes incomplete follow-up, uses correct block windows and shows activation failure next to churn. Known exits and undecided cases do not disappear.</w:t>
      </w:r>
    </w:p>
    <w:p>
      <w:pPr>
        <w:pStyle w:val="ListBullet"/>
      </w:pPr>
      <w:r>
        <w:t>Post-support comparisons use the same manufacturers and complete 30-day blocks; zero-baseline percentage growth is not fabricated.</w:t>
      </w:r>
    </w:p>
    <w:p>
      <w:pPr>
        <w:pStyle w:val="ListBullet"/>
      </w:pPr>
      <w:r>
        <w:t>The five operating cohorts replace Large and Emerging. Category and date filters consistently update relevant evidence with visible date anchors.</w:t>
      </w:r>
    </w:p>
    <w:p>
      <w:pPr>
        <w:pStyle w:val="ListBullet"/>
      </w:pPr>
      <w:r>
        <w:t>Every rate reveals its base, time window and definition. Synthetic examples reconcile arithmetically and carry DEMO DATA labels.</w:t>
      </w:r>
    </w:p>
    <w:p>
      <w:pPr>
        <w:pStyle w:val="ListBullet"/>
      </w:pPr>
      <w:r>
        <w:t>Contribution includes manufacturer-borne costs and unsuccessful-order costs without double counting. Missing required costs suppress complete-contribution claims.</w:t>
      </w:r>
    </w:p>
    <w:p>
      <w:pPr>
        <w:pStyle w:val="ListBullet"/>
      </w:pPr>
      <w:r>
        <w:t>Read-only access includes drill-downs and permitted exports but no business-state updates. Exports preserve filters and metric metadata.</w:t>
      </w:r>
    </w:p>
    <w:p>
      <w:pPr>
        <w:pStyle w:val="ListBullet"/>
      </w:pPr>
      <w:r>
        <w:t>Definition popovers stay near their icons. Charts have readable units, count labels, accessible alternatives and explicit missing-data states.</w:t>
      </w:r>
    </w:p>
    <w:p>
      <w:pPr>
        <w:pStyle w:val="Heading2"/>
      </w:pPr>
      <w:r>
        <w:t>Production decisions still outstanding</w:t>
      </w:r>
    </w:p>
    <w:p>
      <w:r>
        <w:t>Confirm timestamp versus calendar-day boundary convention; eligibility criteria; cohort assignment precedence and sales-history thresholds; category master; stage waiting limits; return windows and final-status mapping; financial recognition and cost allocation; price-match method; data sources; access scopes; refresh cadence and performance budget. These are configuration decisions, not permission to invent business rules.</w:t>
      </w:r>
    </w:p>
    <w:p>
      <w:r>
        <w:t>No numerical targets are approved. Store target value, metric definition, scope, owner, effective date and approval state outside the read-only dashboard. Until approved, compare actuals with clearly named historical baselines and show “Target not approved”.</w:t>
      </w:r>
    </w:p>
    <w:p>
      <w:pPr>
        <w:pStyle w:val="Heading2"/>
      </w:pPr>
      <w:r>
        <w:t>References</w:t>
      </w:r>
    </w:p>
    <w:p>
      <w:r>
        <w:t>Internal: MEERA Business Dashboard PRD v1.0; supplied Pasted text review; DICE Challenge S3 SG Case studies; live prototype https://null-three-sable.vercel.app/ reviewed 2 October 2026; user decisions in this conversation.</w:t>
      </w:r>
    </w:p>
    <w:p>
      <w:r>
        <w:t>Design reference: Microsoft Learn, Tips for designing a great Power BI dashboard — https://learn.microsoft.com/en-us/power-bi/create-reports/service-dashboards-design-tips. Retention reference: Amplitude, How the Retention Analysis chart calculates retention — https://www.amplitude.com/docs/analytics/charts/retention-analysis/retention-analysis-calculation. These support presentation and maturity handling, not MEERA targets.</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Business Dashboard PRD v2.0   •   Internal planning draft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8"/>
      </w:rPr>
      <w:t>MEESHO  /  PROJECT MEERA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Montserrat" w:hAnsi="Montserrat"/>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Montserrat" w:hAnsi="Montserrat"/>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Montserrat" w:hAnsi="Montserrat"/>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Montserrat" w:hAnsi="Montserrat"/>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