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9B6CBC" w14:textId="10434AE9" w:rsidR="00775AD1" w:rsidRPr="00C13197" w:rsidRDefault="008F3E52" w:rsidP="008F3E52">
      <w:pPr>
        <w:jc w:val="both"/>
        <w:rPr>
          <w:rFonts w:ascii="Calibri" w:hAnsi="Calibri" w:cs="Calibri"/>
        </w:rPr>
      </w:pPr>
      <w:r w:rsidRPr="008F3E52">
        <w:rPr>
          <w:rFonts w:ascii="Calibri" w:hAnsi="Calibri" w:cs="Calibri"/>
          <w:b/>
          <w:bCs/>
          <w:u w:val="single"/>
        </w:rPr>
        <w:t>Research</w:t>
      </w:r>
      <w:r w:rsidR="00775AD1">
        <w:rPr>
          <w:rFonts w:ascii="Calibri" w:hAnsi="Calibri" w:cs="Calibri"/>
          <w:b/>
          <w:bCs/>
          <w:u w:val="single"/>
        </w:rPr>
        <w:t xml:space="preserve"> </w:t>
      </w:r>
      <w:r w:rsidRPr="008F3E52">
        <w:rPr>
          <w:rFonts w:ascii="Calibri" w:hAnsi="Calibri" w:cs="Calibri"/>
          <w:b/>
          <w:bCs/>
          <w:u w:val="single"/>
        </w:rPr>
        <w:t>question:</w:t>
      </w:r>
      <w:r>
        <w:rPr>
          <w:rFonts w:ascii="Calibri" w:hAnsi="Calibri" w:cs="Calibri"/>
        </w:rPr>
        <w:t xml:space="preserve"> </w:t>
      </w:r>
      <w:r w:rsidR="00612951">
        <w:rPr>
          <w:rFonts w:ascii="Calibri" w:hAnsi="Calibri" w:cs="Calibri"/>
        </w:rPr>
        <w:t>I</w:t>
      </w:r>
      <w:r w:rsidR="002D275F">
        <w:rPr>
          <w:rFonts w:ascii="Calibri" w:hAnsi="Calibri" w:cs="Calibri"/>
        </w:rPr>
        <w:t>ndia experienced national changes to tariff barriers and non-tariff protection</w:t>
      </w:r>
      <w:r w:rsidR="00A74312">
        <w:rPr>
          <w:rFonts w:ascii="Calibri" w:hAnsi="Calibri" w:cs="Calibri"/>
        </w:rPr>
        <w:t xml:space="preserve"> </w:t>
      </w:r>
      <w:r w:rsidR="002D275F">
        <w:rPr>
          <w:rFonts w:ascii="Calibri" w:hAnsi="Calibri" w:cs="Calibri"/>
        </w:rPr>
        <w:t xml:space="preserve">measures in 1991, </w:t>
      </w:r>
      <w:proofErr w:type="gramStart"/>
      <w:r w:rsidR="002D275F">
        <w:rPr>
          <w:rFonts w:ascii="Calibri" w:hAnsi="Calibri" w:cs="Calibri"/>
        </w:rPr>
        <w:t>as a result of</w:t>
      </w:r>
      <w:proofErr w:type="gramEnd"/>
      <w:r w:rsidR="002D275F">
        <w:rPr>
          <w:rFonts w:ascii="Calibri" w:hAnsi="Calibri" w:cs="Calibri"/>
        </w:rPr>
        <w:t xml:space="preserve"> externally imposed IMF conditions. As such</w:t>
      </w:r>
      <w:r w:rsidR="0060260E">
        <w:rPr>
          <w:rFonts w:ascii="Calibri" w:hAnsi="Calibri" w:cs="Calibri"/>
        </w:rPr>
        <w:t>, trade liberalisation</w:t>
      </w:r>
      <w:r w:rsidR="002D275F">
        <w:rPr>
          <w:rFonts w:ascii="Calibri" w:hAnsi="Calibri" w:cs="Calibri"/>
        </w:rPr>
        <w:t xml:space="preserve"> </w:t>
      </w:r>
      <w:r w:rsidR="0060260E">
        <w:rPr>
          <w:rFonts w:ascii="Calibri" w:hAnsi="Calibri" w:cs="Calibri"/>
        </w:rPr>
        <w:t xml:space="preserve">by industry group </w:t>
      </w:r>
      <w:r w:rsidR="00A74312">
        <w:rPr>
          <w:rFonts w:ascii="Calibri" w:hAnsi="Calibri" w:cs="Calibri"/>
        </w:rPr>
        <w:t>is strongly argued</w:t>
      </w:r>
      <w:r w:rsidR="0060260E">
        <w:rPr>
          <w:rFonts w:ascii="Calibri" w:hAnsi="Calibri" w:cs="Calibri"/>
        </w:rPr>
        <w:t xml:space="preserve"> to be exogenous until 1997</w:t>
      </w:r>
      <w:r w:rsidR="00C13197">
        <w:rPr>
          <w:rFonts w:ascii="Calibri" w:hAnsi="Calibri" w:cs="Calibri"/>
        </w:rPr>
        <w:t xml:space="preserve">. </w:t>
      </w:r>
      <w:r w:rsidR="0088603E">
        <w:rPr>
          <w:rFonts w:ascii="Calibri" w:hAnsi="Calibri" w:cs="Calibri"/>
        </w:rPr>
        <w:t xml:space="preserve">I </w:t>
      </w:r>
      <w:r w:rsidR="00612951">
        <w:rPr>
          <w:rFonts w:ascii="Calibri" w:hAnsi="Calibri" w:cs="Calibri"/>
        </w:rPr>
        <w:t>seek to investigate</w:t>
      </w:r>
      <w:r>
        <w:rPr>
          <w:rFonts w:ascii="Calibri" w:hAnsi="Calibri" w:cs="Calibri"/>
        </w:rPr>
        <w:t xml:space="preserve"> </w:t>
      </w:r>
      <w:r w:rsidRPr="00612951">
        <w:rPr>
          <w:rFonts w:ascii="Calibri" w:hAnsi="Calibri" w:cs="Calibri"/>
          <w:b/>
          <w:bCs/>
        </w:rPr>
        <w:t>the effe</w:t>
      </w:r>
      <w:r w:rsidR="00073ED1" w:rsidRPr="00612951">
        <w:rPr>
          <w:rFonts w:ascii="Calibri" w:hAnsi="Calibri" w:cs="Calibri"/>
          <w:b/>
          <w:bCs/>
        </w:rPr>
        <w:t>cts of trade liberalisation on district</w:t>
      </w:r>
      <w:r w:rsidR="00775AD1">
        <w:rPr>
          <w:rFonts w:ascii="Calibri" w:hAnsi="Calibri" w:cs="Calibri"/>
          <w:b/>
          <w:bCs/>
        </w:rPr>
        <w:t>-level</w:t>
      </w:r>
      <w:r w:rsidR="00073ED1" w:rsidRPr="00612951">
        <w:rPr>
          <w:rFonts w:ascii="Calibri" w:hAnsi="Calibri" w:cs="Calibri"/>
          <w:b/>
          <w:bCs/>
        </w:rPr>
        <w:t xml:space="preserve"> employment outcomes in India, from 1991 – 2011</w:t>
      </w:r>
      <w:r w:rsidR="00612951" w:rsidRPr="00612951">
        <w:rPr>
          <w:rFonts w:ascii="Calibri" w:hAnsi="Calibri" w:cs="Calibri"/>
          <w:b/>
          <w:bCs/>
        </w:rPr>
        <w:t>.</w:t>
      </w:r>
    </w:p>
    <w:p w14:paraId="4B401823" w14:textId="5253E62E" w:rsidR="00147FAC" w:rsidRPr="007908A1" w:rsidRDefault="008F3E52" w:rsidP="00DD5553">
      <w:pPr>
        <w:jc w:val="both"/>
        <w:rPr>
          <w:rFonts w:ascii="Calibri" w:hAnsi="Calibri" w:cs="Calibri"/>
          <w:b/>
          <w:bCs/>
          <w:u w:val="single"/>
        </w:rPr>
      </w:pPr>
      <w:r w:rsidRPr="008F3E52">
        <w:rPr>
          <w:rFonts w:ascii="Calibri" w:hAnsi="Calibri" w:cs="Calibri"/>
          <w:b/>
          <w:bCs/>
          <w:u w:val="single"/>
        </w:rPr>
        <w:t>Identification strategy</w:t>
      </w:r>
      <w:r w:rsidR="00775AD1">
        <w:rPr>
          <w:rFonts w:ascii="Calibri" w:hAnsi="Calibri" w:cs="Calibri"/>
          <w:b/>
          <w:bCs/>
          <w:u w:val="single"/>
        </w:rPr>
        <w:t xml:space="preserve"> and empirical specification</w:t>
      </w:r>
      <w:r w:rsidRPr="008F3E52">
        <w:rPr>
          <w:rFonts w:ascii="Calibri" w:hAnsi="Calibri" w:cs="Calibri"/>
          <w:b/>
          <w:bCs/>
          <w:u w:val="single"/>
        </w:rPr>
        <w:t>:</w:t>
      </w:r>
      <w:r w:rsidR="00C203D3">
        <w:rPr>
          <w:rFonts w:ascii="Calibri" w:hAnsi="Calibri" w:cs="Calibri"/>
          <w:b/>
          <w:bCs/>
        </w:rPr>
        <w:t xml:space="preserve"> </w:t>
      </w:r>
      <w:r w:rsidR="00C203D3">
        <w:rPr>
          <w:rFonts w:ascii="Calibri" w:hAnsi="Calibri" w:cs="Calibri"/>
        </w:rPr>
        <w:t xml:space="preserve">I anticipate </w:t>
      </w:r>
      <w:r w:rsidR="00CE2B74">
        <w:rPr>
          <w:rFonts w:ascii="Calibri" w:hAnsi="Calibri" w:cs="Calibri"/>
        </w:rPr>
        <w:t>identification</w:t>
      </w:r>
      <w:r w:rsidR="00DD5553">
        <w:rPr>
          <w:rFonts w:ascii="Calibri" w:hAnsi="Calibri" w:cs="Calibri"/>
        </w:rPr>
        <w:t xml:space="preserve"> of employment outcomes until 1997</w:t>
      </w:r>
      <w:r w:rsidR="00C203D3">
        <w:rPr>
          <w:rFonts w:ascii="Calibri" w:hAnsi="Calibri" w:cs="Calibri"/>
        </w:rPr>
        <w:t xml:space="preserve"> </w:t>
      </w:r>
      <w:r w:rsidR="00DD5553">
        <w:rPr>
          <w:rFonts w:ascii="Calibri" w:hAnsi="Calibri" w:cs="Calibri"/>
        </w:rPr>
        <w:t>would be relatively straightforward and</w:t>
      </w:r>
      <w:r w:rsidR="00F83641">
        <w:rPr>
          <w:rFonts w:ascii="Calibri" w:hAnsi="Calibri" w:cs="Calibri"/>
        </w:rPr>
        <w:t xml:space="preserve"> utilise similar methods to</w:t>
      </w:r>
      <w:r w:rsidR="009C4E0C">
        <w:rPr>
          <w:rFonts w:ascii="Calibri" w:hAnsi="Calibri" w:cs="Calibri"/>
        </w:rPr>
        <w:t xml:space="preserve"> a selection of</w:t>
      </w:r>
      <w:r w:rsidR="00DD5553">
        <w:rPr>
          <w:rFonts w:ascii="Calibri" w:hAnsi="Calibri" w:cs="Calibri"/>
        </w:rPr>
        <w:t xml:space="preserve"> existing literature</w:t>
      </w:r>
      <w:r w:rsidR="006F7DA5">
        <w:rPr>
          <w:rFonts w:ascii="Calibri" w:hAnsi="Calibri" w:cs="Calibri"/>
        </w:rPr>
        <w:t xml:space="preserve"> </w:t>
      </w:r>
      <w:r w:rsidR="006F7DA5" w:rsidRPr="00CC5B8B">
        <w:rPr>
          <w:rFonts w:ascii="Calibri" w:hAnsi="Calibri" w:cs="Calibri"/>
        </w:rPr>
        <w:t>(</w:t>
      </w:r>
      <w:proofErr w:type="spellStart"/>
      <w:r w:rsidR="006F7DA5" w:rsidRPr="00CC5B8B">
        <w:rPr>
          <w:rFonts w:ascii="Calibri" w:hAnsi="Calibri" w:cs="Calibri"/>
        </w:rPr>
        <w:t>Topalova</w:t>
      </w:r>
      <w:proofErr w:type="spellEnd"/>
      <w:r w:rsidR="006F7DA5" w:rsidRPr="00CC5B8B">
        <w:rPr>
          <w:rFonts w:ascii="Calibri" w:hAnsi="Calibri" w:cs="Calibri"/>
        </w:rPr>
        <w:t>, 2010;</w:t>
      </w:r>
      <w:r w:rsidR="002658F4" w:rsidRPr="00CC5B8B">
        <w:rPr>
          <w:rFonts w:ascii="Calibri" w:hAnsi="Calibri" w:cs="Calibri"/>
        </w:rPr>
        <w:t xml:space="preserve"> Hasan et al, 2007</w:t>
      </w:r>
      <w:r w:rsidR="006F7DA5" w:rsidRPr="00CC5B8B">
        <w:rPr>
          <w:rFonts w:ascii="Calibri" w:hAnsi="Calibri" w:cs="Calibri"/>
        </w:rPr>
        <w:t>)</w:t>
      </w:r>
      <w:r w:rsidR="00DD5553" w:rsidRPr="00CC5B8B">
        <w:rPr>
          <w:rFonts w:ascii="Calibri" w:hAnsi="Calibri" w:cs="Calibri"/>
        </w:rPr>
        <w:t>.</w:t>
      </w:r>
      <w:r w:rsidR="00147FAC" w:rsidRPr="00CC5B8B">
        <w:rPr>
          <w:rFonts w:ascii="Calibri" w:hAnsi="Calibri" w:cs="Calibri"/>
        </w:rPr>
        <w:t xml:space="preserve"> </w:t>
      </w:r>
      <w:r w:rsidR="00147FAC" w:rsidRPr="00147FAC">
        <w:rPr>
          <w:rFonts w:ascii="Calibri" w:hAnsi="Calibri" w:cs="Calibri"/>
        </w:rPr>
        <w:t>Until</w:t>
      </w:r>
      <w:r w:rsidR="00147FAC">
        <w:rPr>
          <w:rFonts w:ascii="Calibri" w:hAnsi="Calibri" w:cs="Calibri"/>
        </w:rPr>
        <w:t xml:space="preserve"> 1997, given the exogenous nature of policy implementation regarding trade liberalisation, I would exploit</w:t>
      </w:r>
      <w:r w:rsidR="0022019F">
        <w:rPr>
          <w:rFonts w:ascii="Calibri" w:hAnsi="Calibri" w:cs="Calibri"/>
        </w:rPr>
        <w:t xml:space="preserve"> differences in</w:t>
      </w:r>
      <w:r w:rsidR="00540514">
        <w:rPr>
          <w:rFonts w:ascii="Calibri" w:hAnsi="Calibri" w:cs="Calibri"/>
        </w:rPr>
        <w:t xml:space="preserve"> 1991</w:t>
      </w:r>
      <w:r w:rsidR="0022019F">
        <w:rPr>
          <w:rFonts w:ascii="Calibri" w:hAnsi="Calibri" w:cs="Calibri"/>
        </w:rPr>
        <w:t xml:space="preserve"> tariff variation</w:t>
      </w:r>
      <w:r w:rsidR="003055B2">
        <w:rPr>
          <w:rFonts w:ascii="Calibri" w:hAnsi="Calibri" w:cs="Calibri"/>
        </w:rPr>
        <w:t xml:space="preserve"> (and</w:t>
      </w:r>
      <w:r w:rsidR="00524ADD">
        <w:rPr>
          <w:rFonts w:ascii="Calibri" w:hAnsi="Calibri" w:cs="Calibri"/>
        </w:rPr>
        <w:t xml:space="preserve"> </w:t>
      </w:r>
      <w:r w:rsidR="003055B2">
        <w:rPr>
          <w:rFonts w:ascii="Calibri" w:hAnsi="Calibri" w:cs="Calibri"/>
        </w:rPr>
        <w:t>non-tariff barriers)</w:t>
      </w:r>
      <w:r w:rsidR="0022019F">
        <w:rPr>
          <w:rFonts w:ascii="Calibri" w:hAnsi="Calibri" w:cs="Calibri"/>
        </w:rPr>
        <w:t xml:space="preserve"> by industry and the industry </w:t>
      </w:r>
      <w:r w:rsidR="00524ADD">
        <w:rPr>
          <w:rFonts w:ascii="Calibri" w:hAnsi="Calibri" w:cs="Calibri"/>
        </w:rPr>
        <w:t xml:space="preserve">employment </w:t>
      </w:r>
      <w:r w:rsidR="0022019F">
        <w:rPr>
          <w:rFonts w:ascii="Calibri" w:hAnsi="Calibri" w:cs="Calibri"/>
        </w:rPr>
        <w:t>composition</w:t>
      </w:r>
      <w:r w:rsidR="00524ADD">
        <w:rPr>
          <w:rFonts w:ascii="Calibri" w:hAnsi="Calibri" w:cs="Calibri"/>
        </w:rPr>
        <w:t>s</w:t>
      </w:r>
      <w:r w:rsidR="0022019F">
        <w:rPr>
          <w:rFonts w:ascii="Calibri" w:hAnsi="Calibri" w:cs="Calibri"/>
        </w:rPr>
        <w:t xml:space="preserve"> of district</w:t>
      </w:r>
      <w:r w:rsidR="00524ADD">
        <w:rPr>
          <w:rFonts w:ascii="Calibri" w:hAnsi="Calibri" w:cs="Calibri"/>
        </w:rPr>
        <w:t>s.</w:t>
      </w:r>
      <w:r w:rsidR="009C49C5">
        <w:rPr>
          <w:rFonts w:ascii="Calibri" w:hAnsi="Calibri" w:cs="Calibri"/>
        </w:rPr>
        <w:t xml:space="preserve"> </w:t>
      </w:r>
      <m:oMath>
        <m:sSub>
          <m:sSubPr>
            <m:ctrlPr>
              <w:rPr>
                <w:rFonts w:ascii="Cambria Math" w:hAnsi="Cambria Math" w:cs="Calibri"/>
                <w:i/>
              </w:rPr>
            </m:ctrlPr>
          </m:sSubPr>
          <m:e>
            <m:r>
              <w:rPr>
                <w:rFonts w:ascii="Cambria Math" w:hAnsi="Cambria Math" w:cs="Calibri"/>
              </w:rPr>
              <m:t>Protection</m:t>
            </m:r>
          </m:e>
          <m:sub>
            <m:r>
              <w:rPr>
                <w:rFonts w:ascii="Cambria Math" w:hAnsi="Cambria Math" w:cs="Calibri"/>
              </w:rPr>
              <m:t>dt</m:t>
            </m:r>
          </m:sub>
        </m:sSub>
      </m:oMath>
      <w:r w:rsidR="009C49C5">
        <w:rPr>
          <w:rFonts w:ascii="Calibri" w:eastAsiaTheme="minorEastAsia" w:hAnsi="Calibri" w:cs="Calibri"/>
        </w:rPr>
        <w:t xml:space="preserve"> is an average measure for the district</w:t>
      </w:r>
      <w:r w:rsidR="009D7AA3">
        <w:rPr>
          <w:rFonts w:ascii="Calibri" w:eastAsiaTheme="minorEastAsia" w:hAnsi="Calibri" w:cs="Calibri"/>
        </w:rPr>
        <w:t xml:space="preserve"> </w:t>
      </w:r>
      <w:r w:rsidR="009D7AA3">
        <w:rPr>
          <w:rFonts w:ascii="Calibri" w:hAnsi="Calibri" w:cs="Calibri"/>
        </w:rPr>
        <w:t>(accounting for tariffs and non-tariff barriers)</w:t>
      </w:r>
      <w:r w:rsidR="009C49C5">
        <w:rPr>
          <w:rFonts w:ascii="Calibri" w:eastAsiaTheme="minorEastAsia" w:hAnsi="Calibri" w:cs="Calibri"/>
        </w:rPr>
        <w:t>, weighted by industry</w:t>
      </w:r>
      <w:r w:rsidR="0022019F">
        <w:rPr>
          <w:rFonts w:ascii="Calibri" w:hAnsi="Calibri" w:cs="Calibri"/>
        </w:rPr>
        <w:t>:</w:t>
      </w:r>
    </w:p>
    <w:p w14:paraId="22EE0AB9" w14:textId="42A65BA7" w:rsidR="005548B8" w:rsidRPr="00F73B84" w:rsidRDefault="00000000" w:rsidP="00DD5553">
      <w:pPr>
        <w:jc w:val="both"/>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y</m:t>
              </m:r>
            </m:e>
            <m:sub>
              <m:r>
                <w:rPr>
                  <w:rFonts w:ascii="Cambria Math" w:hAnsi="Cambria Math" w:cs="Calibri"/>
                </w:rPr>
                <m:t>dt</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α</m:t>
              </m:r>
            </m:e>
            <m:sub>
              <m:r>
                <w:rPr>
                  <w:rFonts w:ascii="Cambria Math" w:hAnsi="Cambria Math" w:cs="Calibri"/>
                </w:rPr>
                <m:t>d</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γ</m:t>
              </m:r>
            </m:e>
            <m:sub>
              <m:r>
                <w:rPr>
                  <w:rFonts w:ascii="Cambria Math" w:hAnsi="Cambria Math" w:cs="Calibri"/>
                </w:rPr>
                <m:t>t</m:t>
              </m:r>
            </m:sub>
          </m:sSub>
          <m:r>
            <w:rPr>
              <w:rFonts w:ascii="Cambria Math" w:hAnsi="Cambria Math" w:cs="Calibri"/>
            </w:rPr>
            <m:t>+ β</m:t>
          </m:r>
          <m:sSub>
            <m:sSubPr>
              <m:ctrlPr>
                <w:rPr>
                  <w:rFonts w:ascii="Cambria Math" w:hAnsi="Cambria Math" w:cs="Calibri"/>
                  <w:i/>
                </w:rPr>
              </m:ctrlPr>
            </m:sSubPr>
            <m:e>
              <m:r>
                <w:rPr>
                  <w:rFonts w:ascii="Cambria Math" w:hAnsi="Cambria Math" w:cs="Calibri"/>
                </w:rPr>
                <m:t>Protection</m:t>
              </m:r>
            </m:e>
            <m:sub>
              <m:r>
                <w:rPr>
                  <w:rFonts w:ascii="Cambria Math" w:hAnsi="Cambria Math" w:cs="Calibri"/>
                </w:rPr>
                <m:t>dt</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ε</m:t>
              </m:r>
            </m:e>
            <m:sub>
              <m:r>
                <w:rPr>
                  <w:rFonts w:ascii="Cambria Math" w:hAnsi="Cambria Math" w:cs="Calibri"/>
                </w:rPr>
                <m:t>dt</m:t>
              </m:r>
            </m:sub>
          </m:sSub>
        </m:oMath>
      </m:oMathPara>
    </w:p>
    <w:p w14:paraId="65E0EC71" w14:textId="4F5D7E8C" w:rsidR="00140904" w:rsidRPr="00523812" w:rsidRDefault="00000000" w:rsidP="00140904">
      <w:pPr>
        <w:jc w:val="both"/>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Protection</m:t>
              </m:r>
            </m:e>
            <m:sub>
              <m:r>
                <w:rPr>
                  <w:rFonts w:ascii="Cambria Math" w:hAnsi="Cambria Math" w:cs="Calibri"/>
                </w:rPr>
                <m:t>dt</m:t>
              </m:r>
            </m:sub>
          </m:sSub>
          <m:r>
            <w:rPr>
              <w:rFonts w:ascii="Cambria Math" w:hAnsi="Cambria Math" w:cs="Calibri"/>
            </w:rPr>
            <m:t xml:space="preserve">= </m:t>
          </m:r>
          <m:nary>
            <m:naryPr>
              <m:chr m:val="∑"/>
              <m:limLoc m:val="undOvr"/>
              <m:supHide m:val="1"/>
              <m:ctrlPr>
                <w:rPr>
                  <w:rFonts w:ascii="Cambria Math" w:hAnsi="Cambria Math" w:cs="Calibri"/>
                  <w:i/>
                </w:rPr>
              </m:ctrlPr>
            </m:naryPr>
            <m:sub>
              <m:r>
                <w:rPr>
                  <w:rFonts w:ascii="Cambria Math" w:hAnsi="Cambria Math" w:cs="Calibri"/>
                </w:rPr>
                <m:t>k</m:t>
              </m:r>
            </m:sub>
            <m:sup/>
            <m:e>
              <m:sSub>
                <m:sSubPr>
                  <m:ctrlPr>
                    <w:rPr>
                      <w:rFonts w:ascii="Cambria Math" w:hAnsi="Cambria Math" w:cs="Calibri"/>
                      <w:i/>
                    </w:rPr>
                  </m:ctrlPr>
                </m:sSubPr>
                <m:e>
                  <m:r>
                    <w:rPr>
                      <w:rFonts w:ascii="Cambria Math" w:hAnsi="Cambria Math" w:cs="Calibri"/>
                    </w:rPr>
                    <m:t>w</m:t>
                  </m:r>
                </m:e>
                <m:sub>
                  <m:r>
                    <w:rPr>
                      <w:rFonts w:ascii="Cambria Math" w:hAnsi="Cambria Math" w:cs="Calibri"/>
                    </w:rPr>
                    <m:t>dk,1991</m:t>
                  </m:r>
                </m:sub>
              </m:sSub>
            </m:e>
          </m:nary>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Protection</m:t>
              </m:r>
            </m:e>
            <m:sub>
              <m:r>
                <w:rPr>
                  <w:rFonts w:ascii="Cambria Math" w:hAnsi="Cambria Math" w:cs="Calibri"/>
                </w:rPr>
                <m:t>tk</m:t>
              </m:r>
            </m:sub>
          </m:sSub>
        </m:oMath>
      </m:oMathPara>
    </w:p>
    <w:p w14:paraId="09626BFD" w14:textId="4B8363D8" w:rsidR="00523812" w:rsidRDefault="00523812" w:rsidP="00140904">
      <w:pPr>
        <w:jc w:val="both"/>
        <w:rPr>
          <w:rFonts w:ascii="Calibri" w:eastAsiaTheme="minorEastAsia" w:hAnsi="Calibri" w:cs="Calibri"/>
        </w:rPr>
      </w:pPr>
      <m:oMath>
        <m:r>
          <w:rPr>
            <w:rFonts w:ascii="Cambria Math" w:hAnsi="Cambria Math" w:cs="Calibri"/>
          </w:rPr>
          <m:t>k</m:t>
        </m:r>
      </m:oMath>
      <w:r>
        <w:rPr>
          <w:rFonts w:ascii="Calibri" w:eastAsiaTheme="minorEastAsia" w:hAnsi="Calibri" w:cs="Calibri"/>
        </w:rPr>
        <w:t xml:space="preserve"> represents industry group, </w:t>
      </w:r>
      <m:oMath>
        <m:r>
          <w:rPr>
            <w:rFonts w:ascii="Cambria Math" w:eastAsiaTheme="minorEastAsia" w:hAnsi="Cambria Math" w:cs="Calibri"/>
          </w:rPr>
          <m:t>w</m:t>
        </m:r>
      </m:oMath>
      <w:r>
        <w:rPr>
          <w:rFonts w:ascii="Calibri" w:eastAsiaTheme="minorEastAsia" w:hAnsi="Calibri" w:cs="Calibri"/>
        </w:rPr>
        <w:t xml:space="preserve"> refers to industry shares (here, predetermined by using 1991 shares).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d</m:t>
            </m:r>
          </m:sub>
        </m:sSub>
      </m:oMath>
      <w:r>
        <w:rPr>
          <w:rFonts w:ascii="Calibri" w:eastAsiaTheme="minorEastAsia" w:hAnsi="Calibri" w:cs="Calibri"/>
        </w:rPr>
        <w:t xml:space="preserve"> and </w:t>
      </w:r>
      <m:oMath>
        <m:sSub>
          <m:sSubPr>
            <m:ctrlPr>
              <w:rPr>
                <w:rFonts w:ascii="Cambria Math" w:hAnsi="Cambria Math" w:cs="Calibri"/>
                <w:i/>
              </w:rPr>
            </m:ctrlPr>
          </m:sSubPr>
          <m:e>
            <m:r>
              <w:rPr>
                <w:rFonts w:ascii="Cambria Math" w:hAnsi="Cambria Math" w:cs="Calibri"/>
              </w:rPr>
              <m:t>γ</m:t>
            </m:r>
          </m:e>
          <m:sub>
            <m:r>
              <w:rPr>
                <w:rFonts w:ascii="Cambria Math" w:hAnsi="Cambria Math" w:cs="Calibri"/>
              </w:rPr>
              <m:t>t</m:t>
            </m:r>
          </m:sub>
        </m:sSub>
      </m:oMath>
      <w:r>
        <w:rPr>
          <w:rFonts w:ascii="Calibri" w:eastAsiaTheme="minorEastAsia" w:hAnsi="Calibri" w:cs="Calibri"/>
        </w:rPr>
        <w:t xml:space="preserve"> are district and time fixed effects. </w:t>
      </w:r>
      <m:oMath>
        <m:sSub>
          <m:sSubPr>
            <m:ctrlPr>
              <w:rPr>
                <w:rFonts w:ascii="Cambria Math" w:hAnsi="Cambria Math" w:cs="Calibri"/>
                <w:i/>
              </w:rPr>
            </m:ctrlPr>
          </m:sSubPr>
          <m:e>
            <m:r>
              <w:rPr>
                <w:rFonts w:ascii="Cambria Math" w:hAnsi="Cambria Math" w:cs="Calibri"/>
              </w:rPr>
              <m:t>Protection</m:t>
            </m:r>
          </m:e>
          <m:sub>
            <m:r>
              <w:rPr>
                <w:rFonts w:ascii="Cambria Math" w:hAnsi="Cambria Math" w:cs="Calibri"/>
              </w:rPr>
              <m:t>tk</m:t>
            </m:r>
          </m:sub>
        </m:sSub>
      </m:oMath>
      <w:r>
        <w:rPr>
          <w:rFonts w:ascii="Calibri" w:eastAsiaTheme="minorEastAsia" w:hAnsi="Calibri" w:cs="Calibri"/>
        </w:rPr>
        <w:t xml:space="preserve"> represents the national industry level trend.</w:t>
      </w:r>
      <w:r>
        <w:rPr>
          <w:rFonts w:ascii="Calibri" w:hAnsi="Calibri" w:cs="Calibri"/>
        </w:rPr>
        <w:t xml:space="preserve"> </w:t>
      </w:r>
      <m:oMath>
        <m:sSub>
          <m:sSubPr>
            <m:ctrlPr>
              <w:rPr>
                <w:rFonts w:ascii="Cambria Math" w:hAnsi="Cambria Math" w:cs="Calibri"/>
                <w:i/>
              </w:rPr>
            </m:ctrlPr>
          </m:sSubPr>
          <m:e>
            <m:r>
              <w:rPr>
                <w:rFonts w:ascii="Cambria Math" w:hAnsi="Cambria Math" w:cs="Calibri"/>
              </w:rPr>
              <m:t>y</m:t>
            </m:r>
          </m:e>
          <m:sub>
            <m:r>
              <w:rPr>
                <w:rFonts w:ascii="Cambria Math" w:hAnsi="Cambria Math" w:cs="Calibri"/>
              </w:rPr>
              <m:t>dt</m:t>
            </m:r>
          </m:sub>
        </m:sSub>
      </m:oMath>
      <w:r>
        <w:rPr>
          <w:rFonts w:ascii="Calibri" w:eastAsiaTheme="minorEastAsia" w:hAnsi="Calibri" w:cs="Calibri"/>
        </w:rPr>
        <w:t>, as my main outcome of interest, would refer to overall employment in the district, employment by gender and education groups, in addition to considering how employment changes for marginal workers and people out of work.</w:t>
      </w:r>
    </w:p>
    <w:p w14:paraId="154F15D1" w14:textId="1FE92C84" w:rsidR="00140904" w:rsidRDefault="00140904" w:rsidP="00140904">
      <w:pPr>
        <w:jc w:val="both"/>
        <w:rPr>
          <w:rFonts w:ascii="Calibri" w:eastAsiaTheme="minorEastAsia" w:hAnsi="Calibri" w:cs="Calibri"/>
        </w:rPr>
      </w:pPr>
      <w:r>
        <w:rPr>
          <w:rFonts w:ascii="Calibri" w:eastAsiaTheme="minorEastAsia" w:hAnsi="Calibri" w:cs="Calibri"/>
        </w:rPr>
        <w:t>First difference</w:t>
      </w:r>
      <w:r w:rsidR="008E3BE8">
        <w:rPr>
          <w:rFonts w:ascii="Calibri" w:eastAsiaTheme="minorEastAsia" w:hAnsi="Calibri" w:cs="Calibri"/>
        </w:rPr>
        <w:t xml:space="preserve">d version of </w:t>
      </w:r>
      <w:r w:rsidR="00FE3E44">
        <w:rPr>
          <w:rFonts w:ascii="Calibri" w:eastAsiaTheme="minorEastAsia" w:hAnsi="Calibri" w:cs="Calibri"/>
        </w:rPr>
        <w:t>regression</w:t>
      </w:r>
      <w:r w:rsidR="008E3BE8">
        <w:rPr>
          <w:rFonts w:ascii="Calibri" w:eastAsiaTheme="minorEastAsia" w:hAnsi="Calibri" w:cs="Calibri"/>
        </w:rPr>
        <w:t>, eliminating time-invariant differences across districts</w:t>
      </w:r>
      <w:r>
        <w:rPr>
          <w:rFonts w:ascii="Calibri" w:eastAsiaTheme="minorEastAsia" w:hAnsi="Calibri" w:cs="Calibri"/>
        </w:rPr>
        <w:t>:</w:t>
      </w:r>
    </w:p>
    <w:p w14:paraId="2F02B10D" w14:textId="1D574BA2" w:rsidR="00140904" w:rsidRPr="00DD5553" w:rsidRDefault="00140904" w:rsidP="00DD5553">
      <w:pPr>
        <w:jc w:val="both"/>
        <w:rPr>
          <w:rFonts w:ascii="Calibri" w:hAnsi="Calibri" w:cs="Calibri"/>
        </w:rPr>
      </w:pPr>
      <m:oMathPara>
        <m:oMath>
          <m:r>
            <w:rPr>
              <w:rFonts w:ascii="Cambria Math" w:hAnsi="Cambria Math" w:cs="Calibri"/>
            </w:rPr>
            <m:t>∆</m:t>
          </m:r>
          <m:sSub>
            <m:sSubPr>
              <m:ctrlPr>
                <w:rPr>
                  <w:rFonts w:ascii="Cambria Math" w:hAnsi="Cambria Math" w:cs="Calibri"/>
                  <w:i/>
                </w:rPr>
              </m:ctrlPr>
            </m:sSubPr>
            <m:e>
              <m:r>
                <w:rPr>
                  <w:rFonts w:ascii="Cambria Math" w:hAnsi="Cambria Math" w:cs="Calibri"/>
                </w:rPr>
                <m:t>y</m:t>
              </m:r>
            </m:e>
            <m:sub>
              <m:r>
                <w:rPr>
                  <w:rFonts w:ascii="Cambria Math" w:hAnsi="Cambria Math" w:cs="Calibri"/>
                </w:rPr>
                <m:t>dt</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γ</m:t>
              </m:r>
            </m:e>
            <m:sub>
              <m:r>
                <w:rPr>
                  <w:rFonts w:ascii="Cambria Math" w:hAnsi="Cambria Math" w:cs="Calibri"/>
                </w:rPr>
                <m:t>t</m:t>
              </m:r>
            </m:sub>
          </m:sSub>
          <m:r>
            <w:rPr>
              <w:rFonts w:ascii="Cambria Math" w:hAnsi="Cambria Math" w:cs="Calibri"/>
            </w:rPr>
            <m:t>+ β∆</m:t>
          </m:r>
          <m:sSub>
            <m:sSubPr>
              <m:ctrlPr>
                <w:rPr>
                  <w:rFonts w:ascii="Cambria Math" w:hAnsi="Cambria Math" w:cs="Calibri"/>
                  <w:i/>
                </w:rPr>
              </m:ctrlPr>
            </m:sSubPr>
            <m:e>
              <m:r>
                <w:rPr>
                  <w:rFonts w:ascii="Cambria Math" w:hAnsi="Cambria Math" w:cs="Calibri"/>
                </w:rPr>
                <m:t>Protection</m:t>
              </m:r>
            </m:e>
            <m:sub>
              <m:r>
                <w:rPr>
                  <w:rFonts w:ascii="Cambria Math" w:hAnsi="Cambria Math" w:cs="Calibri"/>
                </w:rPr>
                <m:t>dt</m:t>
              </m:r>
            </m:sub>
          </m:sSub>
          <m:r>
            <w:rPr>
              <w:rFonts w:ascii="Cambria Math" w:hAnsi="Cambria Math" w:cs="Calibri"/>
            </w:rPr>
            <m:t>+ ∆</m:t>
          </m:r>
          <m:sSub>
            <m:sSubPr>
              <m:ctrlPr>
                <w:rPr>
                  <w:rFonts w:ascii="Cambria Math" w:hAnsi="Cambria Math" w:cs="Calibri"/>
                  <w:i/>
                </w:rPr>
              </m:ctrlPr>
            </m:sSubPr>
            <m:e>
              <m:r>
                <w:rPr>
                  <w:rFonts w:ascii="Cambria Math" w:hAnsi="Cambria Math" w:cs="Calibri"/>
                </w:rPr>
                <m:t>ε</m:t>
              </m:r>
            </m:e>
            <m:sub>
              <m:r>
                <w:rPr>
                  <w:rFonts w:ascii="Cambria Math" w:hAnsi="Cambria Math" w:cs="Calibri"/>
                </w:rPr>
                <m:t>dt</m:t>
              </m:r>
            </m:sub>
          </m:sSub>
        </m:oMath>
      </m:oMathPara>
    </w:p>
    <w:p w14:paraId="06E81410" w14:textId="28DBE4B9" w:rsidR="00404BF7" w:rsidRDefault="00B80C30" w:rsidP="00404BF7">
      <w:pPr>
        <w:jc w:val="both"/>
        <w:rPr>
          <w:rFonts w:ascii="Calibri" w:hAnsi="Calibri" w:cs="Calibri"/>
        </w:rPr>
      </w:pPr>
      <w:r>
        <w:rPr>
          <w:rFonts w:ascii="Calibri" w:hAnsi="Calibri" w:cs="Calibri"/>
        </w:rPr>
        <w:t>The necessary assumption behind using a shift-share instrument would be conditional shock exogeneity; the change in tariff is exogenous to local conditions which is likely satisfied for the 1991 tariff.</w:t>
      </w:r>
      <w:r w:rsidR="00E55F78">
        <w:rPr>
          <w:rFonts w:ascii="Calibri" w:hAnsi="Calibri" w:cs="Calibri"/>
        </w:rPr>
        <w:t xml:space="preserve"> </w:t>
      </w:r>
      <w:r w:rsidR="00AA7CBD">
        <w:rPr>
          <w:rFonts w:ascii="Calibri" w:hAnsi="Calibri" w:cs="Calibri"/>
        </w:rPr>
        <w:t>However, a</w:t>
      </w:r>
      <w:r w:rsidR="00CC5B8B">
        <w:rPr>
          <w:rFonts w:ascii="Calibri" w:hAnsi="Calibri" w:cs="Calibri"/>
        </w:rPr>
        <w:t>nalysis</w:t>
      </w:r>
      <w:r w:rsidR="006F52BC">
        <w:rPr>
          <w:rFonts w:ascii="Calibri" w:hAnsi="Calibri" w:cs="Calibri"/>
        </w:rPr>
        <w:t xml:space="preserve"> of the impacts</w:t>
      </w:r>
      <w:r w:rsidR="00CC5B8B">
        <w:rPr>
          <w:rFonts w:ascii="Calibri" w:hAnsi="Calibri" w:cs="Calibri"/>
        </w:rPr>
        <w:t xml:space="preserve"> </w:t>
      </w:r>
      <w:r w:rsidR="006F52BC">
        <w:rPr>
          <w:rFonts w:ascii="Calibri" w:hAnsi="Calibri" w:cs="Calibri"/>
        </w:rPr>
        <w:t>of tariff</w:t>
      </w:r>
      <w:r w:rsidR="00633B3E">
        <w:rPr>
          <w:rFonts w:ascii="Calibri" w:hAnsi="Calibri" w:cs="Calibri"/>
        </w:rPr>
        <w:t xml:space="preserve"> changes </w:t>
      </w:r>
      <w:r w:rsidR="007857F2">
        <w:rPr>
          <w:rFonts w:ascii="Calibri" w:hAnsi="Calibri" w:cs="Calibri"/>
        </w:rPr>
        <w:t xml:space="preserve">made </w:t>
      </w:r>
      <w:r w:rsidR="00CC5B8B">
        <w:rPr>
          <w:rFonts w:ascii="Calibri" w:hAnsi="Calibri" w:cs="Calibri"/>
        </w:rPr>
        <w:t xml:space="preserve">after </w:t>
      </w:r>
      <w:r w:rsidR="00620B0C">
        <w:rPr>
          <w:rFonts w:ascii="Calibri" w:hAnsi="Calibri" w:cs="Calibri"/>
        </w:rPr>
        <w:t>1997</w:t>
      </w:r>
      <w:r w:rsidR="00AC75A4">
        <w:rPr>
          <w:rFonts w:ascii="Calibri" w:hAnsi="Calibri" w:cs="Calibri"/>
        </w:rPr>
        <w:t xml:space="preserve"> (i.e. in 2001)</w:t>
      </w:r>
      <w:r w:rsidR="00620B0C">
        <w:rPr>
          <w:rFonts w:ascii="Calibri" w:hAnsi="Calibri" w:cs="Calibri"/>
        </w:rPr>
        <w:t xml:space="preserve"> </w:t>
      </w:r>
      <w:r w:rsidR="006F52BC">
        <w:rPr>
          <w:rFonts w:ascii="Calibri" w:hAnsi="Calibri" w:cs="Calibri"/>
        </w:rPr>
        <w:t xml:space="preserve">may </w:t>
      </w:r>
      <w:r w:rsidR="00620B0C">
        <w:rPr>
          <w:rFonts w:ascii="Calibri" w:hAnsi="Calibri" w:cs="Calibri"/>
        </w:rPr>
        <w:t xml:space="preserve">be more complicated, given that changes to trade protection by industry has been argued to be endogenously linked to </w:t>
      </w:r>
      <w:r w:rsidR="00A127BE">
        <w:rPr>
          <w:rFonts w:ascii="Calibri" w:hAnsi="Calibri" w:cs="Calibri"/>
        </w:rPr>
        <w:t>productivity within the industries</w:t>
      </w:r>
      <w:r w:rsidR="00C510AE">
        <w:rPr>
          <w:rFonts w:ascii="Calibri" w:hAnsi="Calibri" w:cs="Calibri"/>
        </w:rPr>
        <w:t xml:space="preserve"> </w:t>
      </w:r>
      <w:r w:rsidR="00C510AE" w:rsidRPr="009A3B5B">
        <w:rPr>
          <w:rFonts w:ascii="Calibri" w:hAnsi="Calibri" w:cs="Calibri"/>
        </w:rPr>
        <w:t>(</w:t>
      </w:r>
      <w:proofErr w:type="spellStart"/>
      <w:r w:rsidR="009A3B5B">
        <w:rPr>
          <w:rFonts w:ascii="Calibri" w:hAnsi="Calibri" w:cs="Calibri"/>
        </w:rPr>
        <w:t>Topalova</w:t>
      </w:r>
      <w:proofErr w:type="spellEnd"/>
      <w:r w:rsidR="009A3B5B">
        <w:rPr>
          <w:rFonts w:ascii="Calibri" w:hAnsi="Calibri" w:cs="Calibri"/>
        </w:rPr>
        <w:t>, 2010</w:t>
      </w:r>
      <w:r w:rsidR="00C510AE" w:rsidRPr="009A3B5B">
        <w:rPr>
          <w:rFonts w:ascii="Calibri" w:hAnsi="Calibri" w:cs="Calibri"/>
        </w:rPr>
        <w:t>)</w:t>
      </w:r>
      <w:r w:rsidR="00D760B5">
        <w:rPr>
          <w:rFonts w:ascii="Calibri" w:hAnsi="Calibri" w:cs="Calibri"/>
        </w:rPr>
        <w:t>, which would also likely affect employment</w:t>
      </w:r>
      <w:r w:rsidR="00610659" w:rsidRPr="009A3B5B">
        <w:rPr>
          <w:rFonts w:ascii="Calibri" w:hAnsi="Calibri" w:cs="Calibri"/>
        </w:rPr>
        <w:t xml:space="preserve">. </w:t>
      </w:r>
      <w:r w:rsidR="0020204B" w:rsidRPr="00CD4DD8">
        <w:rPr>
          <w:rFonts w:ascii="Calibri" w:hAnsi="Calibri" w:cs="Calibri"/>
        </w:rPr>
        <w:t>I will continue to explore w</w:t>
      </w:r>
      <w:r w:rsidR="009F7B89" w:rsidRPr="00CD4DD8">
        <w:rPr>
          <w:rFonts w:ascii="Calibri" w:hAnsi="Calibri" w:cs="Calibri"/>
        </w:rPr>
        <w:t xml:space="preserve">hether utilising pre-determined industry shares </w:t>
      </w:r>
      <w:r w:rsidR="00D760B5" w:rsidRPr="00CD4DD8">
        <w:rPr>
          <w:rFonts w:ascii="Calibri" w:hAnsi="Calibri" w:cs="Calibri"/>
        </w:rPr>
        <w:t>(maybe multipl</w:t>
      </w:r>
      <w:r w:rsidR="00D760B5" w:rsidRPr="00CD4DD8">
        <w:rPr>
          <w:rFonts w:ascii="Calibri" w:hAnsi="Calibri" w:cs="Calibri"/>
        </w:rPr>
        <w:t xml:space="preserve">ied </w:t>
      </w:r>
      <w:r w:rsidR="00D760B5" w:rsidRPr="00CD4DD8">
        <w:rPr>
          <w:rFonts w:ascii="Calibri" w:hAnsi="Calibri" w:cs="Calibri"/>
        </w:rPr>
        <w:t>by national industry growth rates</w:t>
      </w:r>
      <w:r w:rsidR="00814DCB">
        <w:rPr>
          <w:rFonts w:ascii="Calibri" w:hAnsi="Calibri" w:cs="Calibri"/>
        </w:rPr>
        <w:t xml:space="preserve"> to calculate predicted employment for the district</w:t>
      </w:r>
      <w:r w:rsidR="00D760B5" w:rsidRPr="00CD4DD8">
        <w:rPr>
          <w:rFonts w:ascii="Calibri" w:hAnsi="Calibri" w:cs="Calibri"/>
        </w:rPr>
        <w:t xml:space="preserve">) </w:t>
      </w:r>
      <w:r w:rsidR="0077618B" w:rsidRPr="00CD4DD8">
        <w:rPr>
          <w:rFonts w:ascii="Calibri" w:hAnsi="Calibri" w:cs="Calibri"/>
        </w:rPr>
        <w:t xml:space="preserve">interacted </w:t>
      </w:r>
      <w:r w:rsidR="009F7B89" w:rsidRPr="00CD4DD8">
        <w:rPr>
          <w:rFonts w:ascii="Calibri" w:hAnsi="Calibri" w:cs="Calibri"/>
        </w:rPr>
        <w:t>with future</w:t>
      </w:r>
      <w:r w:rsidR="0077618B" w:rsidRPr="00CD4DD8">
        <w:rPr>
          <w:rFonts w:ascii="Calibri" w:hAnsi="Calibri" w:cs="Calibri"/>
        </w:rPr>
        <w:t xml:space="preserve"> tariff rates would provid</w:t>
      </w:r>
      <w:r w:rsidR="00814DCB">
        <w:rPr>
          <w:rFonts w:ascii="Calibri" w:hAnsi="Calibri" w:cs="Calibri"/>
        </w:rPr>
        <w:t>e</w:t>
      </w:r>
      <w:r w:rsidR="0077618B" w:rsidRPr="00CD4DD8">
        <w:rPr>
          <w:rFonts w:ascii="Calibri" w:hAnsi="Calibri" w:cs="Calibri"/>
        </w:rPr>
        <w:t xml:space="preserve"> </w:t>
      </w:r>
      <w:r w:rsidR="00E87BB4" w:rsidRPr="00CD4DD8">
        <w:rPr>
          <w:rFonts w:ascii="Calibri" w:hAnsi="Calibri" w:cs="Calibri"/>
        </w:rPr>
        <w:t>a</w:t>
      </w:r>
      <w:r w:rsidR="0020204B" w:rsidRPr="00CD4DD8">
        <w:rPr>
          <w:rFonts w:ascii="Calibri" w:hAnsi="Calibri" w:cs="Calibri"/>
        </w:rPr>
        <w:t>n unbiased estimate</w:t>
      </w:r>
      <w:r w:rsidR="00E17633" w:rsidRPr="00CD4DD8">
        <w:rPr>
          <w:rFonts w:ascii="Calibri" w:hAnsi="Calibri" w:cs="Calibri"/>
        </w:rPr>
        <w:t>, or whether additional controls or adaptations might be needed</w:t>
      </w:r>
      <w:r w:rsidR="0020204B" w:rsidRPr="00CD4DD8">
        <w:rPr>
          <w:rFonts w:ascii="Calibri" w:hAnsi="Calibri" w:cs="Calibri"/>
        </w:rPr>
        <w:t>.</w:t>
      </w:r>
    </w:p>
    <w:p w14:paraId="08834DA8" w14:textId="093ED01E" w:rsidR="008E60C5" w:rsidRPr="00B80C30" w:rsidRDefault="000F7566" w:rsidP="00B80C30">
      <w:pPr>
        <w:jc w:val="both"/>
        <w:rPr>
          <w:rFonts w:ascii="Calibri" w:hAnsi="Calibri" w:cs="Calibri"/>
        </w:rPr>
      </w:pPr>
      <w:r>
        <w:rPr>
          <w:rFonts w:ascii="Calibri" w:hAnsi="Calibri" w:cs="Calibri"/>
        </w:rPr>
        <w:t>I could consider fo</w:t>
      </w:r>
      <w:r w:rsidR="00893BA9">
        <w:rPr>
          <w:rFonts w:ascii="Calibri" w:hAnsi="Calibri" w:cs="Calibri"/>
        </w:rPr>
        <w:t>r</w:t>
      </w:r>
      <w:r>
        <w:rPr>
          <w:rFonts w:ascii="Calibri" w:hAnsi="Calibri" w:cs="Calibri"/>
        </w:rPr>
        <w:t xml:space="preserve"> 2011 outcomes </w:t>
      </w:r>
      <w:r w:rsidR="00EB0A0A">
        <w:rPr>
          <w:rFonts w:ascii="Calibri" w:hAnsi="Calibri" w:cs="Calibri"/>
        </w:rPr>
        <w:t xml:space="preserve">also including </w:t>
      </w:r>
      <w:r>
        <w:rPr>
          <w:rFonts w:ascii="Calibri" w:hAnsi="Calibri" w:cs="Calibri"/>
        </w:rPr>
        <w:t>lagged tariffs</w:t>
      </w:r>
      <w:r w:rsidR="00EB0A0A">
        <w:rPr>
          <w:rFonts w:ascii="Calibri" w:hAnsi="Calibri" w:cs="Calibri"/>
        </w:rPr>
        <w:t xml:space="preserve"> in the specification</w:t>
      </w:r>
      <w:r>
        <w:rPr>
          <w:rFonts w:ascii="Calibri" w:hAnsi="Calibri" w:cs="Calibri"/>
        </w:rPr>
        <w:t xml:space="preserve"> </w:t>
      </w:r>
      <w:r w:rsidR="00DD5A7A">
        <w:rPr>
          <w:rFonts w:ascii="Calibri" w:hAnsi="Calibri" w:cs="Calibri"/>
        </w:rPr>
        <w:t xml:space="preserve">– thus showing </w:t>
      </w:r>
      <w:r w:rsidR="006C1DC3">
        <w:rPr>
          <w:rFonts w:ascii="Calibri" w:hAnsi="Calibri" w:cs="Calibri"/>
        </w:rPr>
        <w:t>long-term impacts of reductions to trade barriers at two intervals</w:t>
      </w:r>
      <w:r w:rsidR="00814DCB">
        <w:rPr>
          <w:rFonts w:ascii="Calibri" w:hAnsi="Calibri" w:cs="Calibri"/>
        </w:rPr>
        <w:t xml:space="preserve"> (from 1991 and 2001)</w:t>
      </w:r>
      <w:r w:rsidR="00014BFB">
        <w:rPr>
          <w:rFonts w:ascii="Calibri" w:hAnsi="Calibri" w:cs="Calibri"/>
        </w:rPr>
        <w:t xml:space="preserve">. </w:t>
      </w:r>
      <w:r w:rsidR="00F75D95">
        <w:rPr>
          <w:rFonts w:ascii="Calibri" w:hAnsi="Calibri" w:cs="Calibri"/>
        </w:rPr>
        <w:t>However, I would need to consider the correlation between the two instruments and whether there would be enough variation to be able to separately identify dynamics</w:t>
      </w:r>
      <w:r w:rsidR="00014BFB">
        <w:rPr>
          <w:rFonts w:ascii="Calibri" w:hAnsi="Calibri" w:cs="Calibri"/>
        </w:rPr>
        <w:t xml:space="preserve"> </w:t>
      </w:r>
      <w:r w:rsidR="00014BFB">
        <w:rPr>
          <w:rFonts w:ascii="Calibri" w:hAnsi="Calibri" w:cs="Calibri"/>
        </w:rPr>
        <w:t>(Jaeger, 2018)</w:t>
      </w:r>
      <w:r w:rsidR="00F75D95">
        <w:rPr>
          <w:rFonts w:ascii="Calibri" w:hAnsi="Calibri" w:cs="Calibri"/>
        </w:rPr>
        <w:t>.</w:t>
      </w:r>
      <w:r w:rsidR="006C1DC3">
        <w:rPr>
          <w:rFonts w:ascii="Calibri" w:hAnsi="Calibri" w:cs="Calibri"/>
        </w:rPr>
        <w:t xml:space="preserve"> </w:t>
      </w:r>
    </w:p>
    <w:p w14:paraId="0B3130B6" w14:textId="14E4D33F" w:rsidR="00775AD1" w:rsidRDefault="008F3E52" w:rsidP="00F803FC">
      <w:pPr>
        <w:jc w:val="both"/>
        <w:rPr>
          <w:rFonts w:ascii="Calibri" w:hAnsi="Calibri" w:cs="Calibri"/>
        </w:rPr>
      </w:pPr>
      <w:r w:rsidRPr="008F3E52">
        <w:rPr>
          <w:rFonts w:ascii="Calibri" w:hAnsi="Calibri" w:cs="Calibri"/>
          <w:b/>
          <w:bCs/>
          <w:u w:val="single"/>
        </w:rPr>
        <w:t>Data:</w:t>
      </w:r>
      <w:r>
        <w:rPr>
          <w:rFonts w:ascii="Calibri" w:hAnsi="Calibri" w:cs="Calibri"/>
        </w:rPr>
        <w:t xml:space="preserve"> </w:t>
      </w:r>
      <w:r w:rsidR="00775AD1">
        <w:rPr>
          <w:rFonts w:ascii="Calibri" w:hAnsi="Calibri" w:cs="Calibri"/>
        </w:rPr>
        <w:t>Decennial Indian census data (1991, 2001 and 2011) – downloaded.</w:t>
      </w:r>
      <w:r w:rsidR="00F4662A">
        <w:rPr>
          <w:rFonts w:ascii="Calibri" w:hAnsi="Calibri" w:cs="Calibri"/>
        </w:rPr>
        <w:t xml:space="preserve"> Information on breakdown of workers in a district by industries</w:t>
      </w:r>
      <w:r w:rsidR="00F803FC">
        <w:rPr>
          <w:rFonts w:ascii="Calibri" w:hAnsi="Calibri" w:cs="Calibri"/>
        </w:rPr>
        <w:t>. Further decomposition available by gender, age, education and whether working in a rural or urban area. Similar data available for marginal and non-workers, also if they are happy to relocate.</w:t>
      </w:r>
    </w:p>
    <w:p w14:paraId="683BEF47" w14:textId="082693A1" w:rsidR="00800418" w:rsidRDefault="00DB70C7" w:rsidP="00F803FC">
      <w:pPr>
        <w:jc w:val="both"/>
        <w:rPr>
          <w:rFonts w:ascii="Calibri" w:hAnsi="Calibri" w:cs="Calibri"/>
        </w:rPr>
      </w:pPr>
      <w:r>
        <w:rPr>
          <w:rFonts w:ascii="Calibri" w:hAnsi="Calibri" w:cs="Calibri"/>
        </w:rPr>
        <w:t xml:space="preserve">A measure of trade protection </w:t>
      </w:r>
      <w:r w:rsidR="00800418">
        <w:rPr>
          <w:rFonts w:ascii="Calibri" w:hAnsi="Calibri" w:cs="Calibri"/>
        </w:rPr>
        <w:t>by industry group would rely on methodology and calculations from previous papers</w:t>
      </w:r>
      <w:r w:rsidR="00547971">
        <w:rPr>
          <w:rFonts w:ascii="Calibri" w:hAnsi="Calibri" w:cs="Calibri"/>
        </w:rPr>
        <w:t xml:space="preserve"> using the Indian Trade Classification (Harmonised system)</w:t>
      </w:r>
      <w:r w:rsidR="00800418">
        <w:rPr>
          <w:rFonts w:ascii="Calibri" w:hAnsi="Calibri" w:cs="Calibri"/>
        </w:rPr>
        <w:t xml:space="preserve"> </w:t>
      </w:r>
      <w:r w:rsidR="00800418" w:rsidRPr="00D509E4">
        <w:rPr>
          <w:rFonts w:ascii="Calibri" w:hAnsi="Calibri" w:cs="Calibri"/>
        </w:rPr>
        <w:t>(</w:t>
      </w:r>
      <w:r w:rsidR="00D509E4" w:rsidRPr="00D509E4">
        <w:rPr>
          <w:rFonts w:ascii="Calibri" w:hAnsi="Calibri" w:cs="Calibri"/>
        </w:rPr>
        <w:t>Gang and Pandey, 1997</w:t>
      </w:r>
      <w:r w:rsidR="00800418" w:rsidRPr="00D509E4">
        <w:rPr>
          <w:rFonts w:ascii="Calibri" w:hAnsi="Calibri" w:cs="Calibri"/>
        </w:rPr>
        <w:t>)</w:t>
      </w:r>
      <w:r w:rsidR="00547971" w:rsidRPr="00D509E4">
        <w:rPr>
          <w:rFonts w:ascii="Calibri" w:hAnsi="Calibri" w:cs="Calibri"/>
        </w:rPr>
        <w:t>.</w:t>
      </w:r>
    </w:p>
    <w:p w14:paraId="63FE2054" w14:textId="2DBA335C" w:rsidR="0020204B" w:rsidRPr="00140904" w:rsidRDefault="00775AD1" w:rsidP="000B2DA7">
      <w:pPr>
        <w:jc w:val="both"/>
        <w:rPr>
          <w:rFonts w:ascii="Calibri" w:hAnsi="Calibri" w:cs="Calibri"/>
        </w:rPr>
      </w:pPr>
      <w:r>
        <w:rPr>
          <w:rFonts w:ascii="Calibri" w:hAnsi="Calibri" w:cs="Calibri"/>
        </w:rPr>
        <w:lastRenderedPageBreak/>
        <w:t>Indian Annual Survey of Industries</w:t>
      </w:r>
      <w:r w:rsidR="00A310C4">
        <w:rPr>
          <w:rFonts w:ascii="Calibri" w:hAnsi="Calibri" w:cs="Calibri"/>
        </w:rPr>
        <w:t xml:space="preserve"> (ASI)</w:t>
      </w:r>
      <w:r w:rsidR="000C443E">
        <w:rPr>
          <w:rFonts w:ascii="Calibri" w:hAnsi="Calibri" w:cs="Calibri"/>
        </w:rPr>
        <w:t xml:space="preserve"> from 197</w:t>
      </w:r>
      <w:r w:rsidR="008B1DFB">
        <w:rPr>
          <w:rFonts w:ascii="Calibri" w:hAnsi="Calibri" w:cs="Calibri"/>
        </w:rPr>
        <w:t>4</w:t>
      </w:r>
      <w:r w:rsidR="00DA6DB9">
        <w:rPr>
          <w:rFonts w:ascii="Calibri" w:hAnsi="Calibri" w:cs="Calibri"/>
        </w:rPr>
        <w:t xml:space="preserve"> </w:t>
      </w:r>
      <w:r w:rsidR="00AB14E5">
        <w:rPr>
          <w:rFonts w:ascii="Calibri" w:hAnsi="Calibri" w:cs="Calibri"/>
        </w:rPr>
        <w:t>–</w:t>
      </w:r>
      <w:r w:rsidR="00DA6DB9">
        <w:rPr>
          <w:rFonts w:ascii="Calibri" w:hAnsi="Calibri" w:cs="Calibri"/>
        </w:rPr>
        <w:t xml:space="preserve"> 2022</w:t>
      </w:r>
      <w:r w:rsidR="00AB14E5">
        <w:rPr>
          <w:rFonts w:ascii="Calibri" w:hAnsi="Calibri" w:cs="Calibri"/>
        </w:rPr>
        <w:t xml:space="preserve"> could provide additional data </w:t>
      </w:r>
      <w:r w:rsidR="000B2DA7">
        <w:rPr>
          <w:rFonts w:ascii="Calibri" w:hAnsi="Calibri" w:cs="Calibri"/>
        </w:rPr>
        <w:t>to explore a wider range of outcomes</w:t>
      </w:r>
      <w:r w:rsidR="007E0E9E">
        <w:rPr>
          <w:rFonts w:ascii="Calibri" w:hAnsi="Calibri" w:cs="Calibri"/>
        </w:rPr>
        <w:t xml:space="preserve"> and utilise firm characteristics</w:t>
      </w:r>
      <w:r w:rsidR="00D13767">
        <w:rPr>
          <w:rFonts w:ascii="Calibri" w:hAnsi="Calibri" w:cs="Calibri"/>
        </w:rPr>
        <w:t xml:space="preserve">. Currently trying to see how to use </w:t>
      </w:r>
      <w:proofErr w:type="spellStart"/>
      <w:r w:rsidR="00D13767">
        <w:rPr>
          <w:rFonts w:ascii="Calibri" w:hAnsi="Calibri" w:cs="Calibri"/>
        </w:rPr>
        <w:t>Nesstar</w:t>
      </w:r>
      <w:proofErr w:type="spellEnd"/>
      <w:r w:rsidR="00D13767">
        <w:rPr>
          <w:rFonts w:ascii="Calibri" w:hAnsi="Calibri" w:cs="Calibri"/>
        </w:rPr>
        <w:t xml:space="preserve"> Explorer (format data is available in) to export datasets.</w:t>
      </w:r>
    </w:p>
    <w:p w14:paraId="7F80FDE1" w14:textId="3E00118D" w:rsidR="00D509E4" w:rsidRPr="00D509E4" w:rsidRDefault="00D509E4">
      <w:pPr>
        <w:rPr>
          <w:rFonts w:ascii="Calibri" w:hAnsi="Calibri" w:cs="Calibri"/>
          <w:b/>
          <w:bCs/>
          <w:u w:val="single"/>
        </w:rPr>
      </w:pPr>
      <w:r w:rsidRPr="00D509E4">
        <w:rPr>
          <w:rFonts w:ascii="Calibri" w:hAnsi="Calibri" w:cs="Calibri"/>
          <w:b/>
          <w:bCs/>
          <w:u w:val="single"/>
        </w:rPr>
        <w:t>References:</w:t>
      </w:r>
    </w:p>
    <w:p w14:paraId="02A7AEBC" w14:textId="77777777" w:rsidR="005A0789" w:rsidRPr="005A0789" w:rsidRDefault="005A0789" w:rsidP="005A0789">
      <w:pPr>
        <w:rPr>
          <w:rFonts w:ascii="Calibri" w:hAnsi="Calibri" w:cs="Calibri"/>
          <w:sz w:val="20"/>
          <w:szCs w:val="20"/>
        </w:rPr>
      </w:pPr>
      <w:r w:rsidRPr="005A0789">
        <w:rPr>
          <w:rFonts w:ascii="Calibri" w:hAnsi="Calibri" w:cs="Calibri"/>
          <w:sz w:val="20"/>
          <w:szCs w:val="20"/>
        </w:rPr>
        <w:t xml:space="preserve">Gang, I. N., &amp; Pandey, M. (1998). </w:t>
      </w:r>
      <w:r w:rsidRPr="005A0789">
        <w:rPr>
          <w:rFonts w:ascii="Calibri" w:hAnsi="Calibri" w:cs="Calibri"/>
          <w:i/>
          <w:iCs/>
          <w:sz w:val="20"/>
          <w:szCs w:val="20"/>
        </w:rPr>
        <w:t>What Was Protected? Measuring India’s Tariff Barriers 1968-1997.</w:t>
      </w:r>
      <w:r w:rsidRPr="005A0789">
        <w:rPr>
          <w:rFonts w:ascii="Calibri" w:hAnsi="Calibri" w:cs="Calibri"/>
          <w:sz w:val="20"/>
          <w:szCs w:val="20"/>
        </w:rPr>
        <w:t xml:space="preserve"> https://www.jstor.org/stable/29794165?casa_token=TqVMe9rf4fwAAAAA%3AhUsTFHhns0ahWVlIDV-kmH3VKj9QZtOLcxM6Xup4rbA4qhbltsAD37GXaQYsjTg_dxOP3_sc0K3avctm-KBfLSGdH2V1k49T6RLGas4ek3y7IbaX4Q </w:t>
      </w:r>
    </w:p>
    <w:p w14:paraId="75E704B0" w14:textId="29E46657" w:rsidR="005A0789" w:rsidRDefault="005A0789" w:rsidP="005A0789">
      <w:pPr>
        <w:rPr>
          <w:rFonts w:ascii="Calibri" w:hAnsi="Calibri" w:cs="Calibri"/>
          <w:sz w:val="20"/>
          <w:szCs w:val="20"/>
        </w:rPr>
      </w:pPr>
      <w:r w:rsidRPr="005A0789">
        <w:rPr>
          <w:rFonts w:ascii="Calibri" w:hAnsi="Calibri" w:cs="Calibri"/>
          <w:sz w:val="20"/>
          <w:szCs w:val="20"/>
        </w:rPr>
        <w:t xml:space="preserve">Hasan, R., Mitra, D., &amp; Ramaswamy, K. V. (2003, August 4). </w:t>
      </w:r>
      <w:r w:rsidRPr="005A0789">
        <w:rPr>
          <w:rFonts w:ascii="Calibri" w:hAnsi="Calibri" w:cs="Calibri"/>
          <w:i/>
          <w:iCs/>
          <w:sz w:val="20"/>
          <w:szCs w:val="20"/>
        </w:rPr>
        <w:t>Trade reforms, labo</w:t>
      </w:r>
      <w:r>
        <w:rPr>
          <w:rFonts w:ascii="Calibri" w:hAnsi="Calibri" w:cs="Calibri"/>
          <w:i/>
          <w:iCs/>
          <w:sz w:val="20"/>
          <w:szCs w:val="20"/>
        </w:rPr>
        <w:t>u</w:t>
      </w:r>
      <w:r w:rsidRPr="005A0789">
        <w:rPr>
          <w:rFonts w:ascii="Calibri" w:hAnsi="Calibri" w:cs="Calibri"/>
          <w:i/>
          <w:iCs/>
          <w:sz w:val="20"/>
          <w:szCs w:val="20"/>
        </w:rPr>
        <w:t>r regulations and labo</w:t>
      </w:r>
      <w:r>
        <w:rPr>
          <w:rFonts w:ascii="Calibri" w:hAnsi="Calibri" w:cs="Calibri"/>
          <w:i/>
          <w:iCs/>
          <w:sz w:val="20"/>
          <w:szCs w:val="20"/>
        </w:rPr>
        <w:t>u</w:t>
      </w:r>
      <w:r w:rsidRPr="005A0789">
        <w:rPr>
          <w:rFonts w:ascii="Calibri" w:hAnsi="Calibri" w:cs="Calibri"/>
          <w:i/>
          <w:iCs/>
          <w:sz w:val="20"/>
          <w:szCs w:val="20"/>
        </w:rPr>
        <w:t>r-demand elasticities: Empirical evidence from India</w:t>
      </w:r>
      <w:r w:rsidRPr="005A0789">
        <w:rPr>
          <w:rFonts w:ascii="Calibri" w:hAnsi="Calibri" w:cs="Calibri"/>
          <w:sz w:val="20"/>
          <w:szCs w:val="20"/>
        </w:rPr>
        <w:t xml:space="preserve">. NBER. https://www.nber.org/papers/w9879 </w:t>
      </w:r>
    </w:p>
    <w:p w14:paraId="55CA147C" w14:textId="2CA598E3" w:rsidR="001517E7" w:rsidRPr="005A0789" w:rsidRDefault="001517E7" w:rsidP="005A0789">
      <w:pPr>
        <w:rPr>
          <w:rFonts w:ascii="Calibri" w:hAnsi="Calibri" w:cs="Calibri"/>
          <w:sz w:val="20"/>
          <w:szCs w:val="20"/>
        </w:rPr>
      </w:pPr>
      <w:r w:rsidRPr="001517E7">
        <w:rPr>
          <w:rFonts w:ascii="Calibri" w:hAnsi="Calibri" w:cs="Calibri"/>
          <w:sz w:val="20"/>
          <w:szCs w:val="20"/>
        </w:rPr>
        <w:t xml:space="preserve">Jaeger, D. A., </w:t>
      </w:r>
      <w:proofErr w:type="spellStart"/>
      <w:r w:rsidRPr="001517E7">
        <w:rPr>
          <w:rFonts w:ascii="Calibri" w:hAnsi="Calibri" w:cs="Calibri"/>
          <w:sz w:val="20"/>
          <w:szCs w:val="20"/>
        </w:rPr>
        <w:t>Ruist</w:t>
      </w:r>
      <w:proofErr w:type="spellEnd"/>
      <w:r w:rsidRPr="001517E7">
        <w:rPr>
          <w:rFonts w:ascii="Calibri" w:hAnsi="Calibri" w:cs="Calibri"/>
          <w:sz w:val="20"/>
          <w:szCs w:val="20"/>
        </w:rPr>
        <w:t xml:space="preserve">, J., &amp; Stuhler, J. (2018, February 5). </w:t>
      </w:r>
      <w:r w:rsidRPr="001517E7">
        <w:rPr>
          <w:rFonts w:ascii="Calibri" w:hAnsi="Calibri" w:cs="Calibri"/>
          <w:i/>
          <w:iCs/>
          <w:sz w:val="20"/>
          <w:szCs w:val="20"/>
        </w:rPr>
        <w:t>Shift-share instruments and the impact of immigration</w:t>
      </w:r>
      <w:r w:rsidRPr="001517E7">
        <w:rPr>
          <w:rFonts w:ascii="Calibri" w:hAnsi="Calibri" w:cs="Calibri"/>
          <w:sz w:val="20"/>
          <w:szCs w:val="20"/>
        </w:rPr>
        <w:t xml:space="preserve">. NBER. https://www.nber.org/papers/w24285 </w:t>
      </w:r>
    </w:p>
    <w:p w14:paraId="3AABC796" w14:textId="77777777" w:rsidR="005A0789" w:rsidRPr="005A0789" w:rsidRDefault="005A0789" w:rsidP="005A0789">
      <w:pPr>
        <w:rPr>
          <w:rFonts w:ascii="Calibri" w:hAnsi="Calibri" w:cs="Calibri"/>
          <w:sz w:val="20"/>
          <w:szCs w:val="20"/>
        </w:rPr>
      </w:pPr>
      <w:proofErr w:type="spellStart"/>
      <w:r w:rsidRPr="005A0789">
        <w:rPr>
          <w:rFonts w:ascii="Calibri" w:hAnsi="Calibri" w:cs="Calibri"/>
          <w:sz w:val="20"/>
          <w:szCs w:val="20"/>
        </w:rPr>
        <w:t>Topalova</w:t>
      </w:r>
      <w:proofErr w:type="spellEnd"/>
      <w:r w:rsidRPr="005A0789">
        <w:rPr>
          <w:rFonts w:ascii="Calibri" w:hAnsi="Calibri" w:cs="Calibri"/>
          <w:sz w:val="20"/>
          <w:szCs w:val="20"/>
        </w:rPr>
        <w:t xml:space="preserve">, P. (2010). </w:t>
      </w:r>
      <w:r w:rsidRPr="005A0789">
        <w:rPr>
          <w:rFonts w:ascii="Calibri" w:hAnsi="Calibri" w:cs="Calibri"/>
          <w:i/>
          <w:iCs/>
          <w:sz w:val="20"/>
          <w:szCs w:val="20"/>
        </w:rPr>
        <w:t>Factor immobility and regional impacts of trade liberalization: Evidence on poverty from India</w:t>
      </w:r>
      <w:r w:rsidRPr="005A0789">
        <w:rPr>
          <w:rFonts w:ascii="Calibri" w:hAnsi="Calibri" w:cs="Calibri"/>
          <w:sz w:val="20"/>
          <w:szCs w:val="20"/>
        </w:rPr>
        <w:t xml:space="preserve">. American Economic Journal: Applied Economics. https://www.aeaweb.org/articles?id=10.1257%2Fapp.2.4.1 </w:t>
      </w:r>
    </w:p>
    <w:p w14:paraId="5A193077" w14:textId="77777777" w:rsidR="00D509E4" w:rsidRDefault="00D509E4">
      <w:pPr>
        <w:rPr>
          <w:rFonts w:ascii="Calibri" w:hAnsi="Calibri" w:cs="Calibri"/>
        </w:rPr>
      </w:pPr>
    </w:p>
    <w:p w14:paraId="2A825A69" w14:textId="77777777" w:rsidR="00D509E4" w:rsidRDefault="00D509E4">
      <w:pPr>
        <w:rPr>
          <w:rFonts w:ascii="Calibri" w:hAnsi="Calibri" w:cs="Calibri"/>
        </w:rPr>
      </w:pPr>
    </w:p>
    <w:p w14:paraId="054BE4C0" w14:textId="77777777" w:rsidR="00D509E4" w:rsidRPr="008F3E52" w:rsidRDefault="00D509E4">
      <w:pPr>
        <w:rPr>
          <w:rFonts w:ascii="Calibri" w:hAnsi="Calibri" w:cs="Calibri"/>
        </w:rPr>
      </w:pPr>
    </w:p>
    <w:sectPr w:rsidR="00D509E4" w:rsidRPr="008F3E5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B66062" w14:textId="77777777" w:rsidR="00121B0F" w:rsidRDefault="00121B0F" w:rsidP="00E55F78">
      <w:pPr>
        <w:spacing w:after="0" w:line="240" w:lineRule="auto"/>
      </w:pPr>
      <w:r>
        <w:separator/>
      </w:r>
    </w:p>
  </w:endnote>
  <w:endnote w:type="continuationSeparator" w:id="0">
    <w:p w14:paraId="76B3E3A7" w14:textId="77777777" w:rsidR="00121B0F" w:rsidRDefault="00121B0F" w:rsidP="00E55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ED0168" w14:textId="77777777" w:rsidR="00121B0F" w:rsidRDefault="00121B0F" w:rsidP="00E55F78">
      <w:pPr>
        <w:spacing w:after="0" w:line="240" w:lineRule="auto"/>
      </w:pPr>
      <w:r>
        <w:separator/>
      </w:r>
    </w:p>
  </w:footnote>
  <w:footnote w:type="continuationSeparator" w:id="0">
    <w:p w14:paraId="5F6C4E6C" w14:textId="77777777" w:rsidR="00121B0F" w:rsidRDefault="00121B0F" w:rsidP="00E55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B0215" w14:textId="3D77D0B5" w:rsidR="00E55F78" w:rsidRPr="00E55F78" w:rsidRDefault="00E55F78">
    <w:pPr>
      <w:pStyle w:val="Header"/>
      <w:rPr>
        <w:rFonts w:ascii="Calibri" w:hAnsi="Calibri" w:cs="Calibri"/>
      </w:rPr>
    </w:pPr>
    <w:r w:rsidRPr="00E55F78">
      <w:rPr>
        <w:rFonts w:ascii="Calibri" w:hAnsi="Calibri" w:cs="Calibri"/>
      </w:rPr>
      <w:t>EC331 – New 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CA45E6"/>
    <w:multiLevelType w:val="hybridMultilevel"/>
    <w:tmpl w:val="7C068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047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E52"/>
    <w:rsid w:val="00014BFB"/>
    <w:rsid w:val="00025BA4"/>
    <w:rsid w:val="000674C0"/>
    <w:rsid w:val="00073ED1"/>
    <w:rsid w:val="000B2906"/>
    <w:rsid w:val="000B2DA7"/>
    <w:rsid w:val="000C443E"/>
    <w:rsid w:val="000F7566"/>
    <w:rsid w:val="00121B0F"/>
    <w:rsid w:val="00140904"/>
    <w:rsid w:val="001469C9"/>
    <w:rsid w:val="00147FAC"/>
    <w:rsid w:val="001517E7"/>
    <w:rsid w:val="0016409B"/>
    <w:rsid w:val="001920C1"/>
    <w:rsid w:val="00197E18"/>
    <w:rsid w:val="001A6363"/>
    <w:rsid w:val="00201439"/>
    <w:rsid w:val="0020204B"/>
    <w:rsid w:val="0022019F"/>
    <w:rsid w:val="00245B74"/>
    <w:rsid w:val="002658F4"/>
    <w:rsid w:val="0029123E"/>
    <w:rsid w:val="0029180A"/>
    <w:rsid w:val="002977C7"/>
    <w:rsid w:val="002D275F"/>
    <w:rsid w:val="00300B0C"/>
    <w:rsid w:val="003055B2"/>
    <w:rsid w:val="00357FB8"/>
    <w:rsid w:val="003748A2"/>
    <w:rsid w:val="003E709A"/>
    <w:rsid w:val="003E7AEA"/>
    <w:rsid w:val="00404BF7"/>
    <w:rsid w:val="00436808"/>
    <w:rsid w:val="00442515"/>
    <w:rsid w:val="00452093"/>
    <w:rsid w:val="004C3F6A"/>
    <w:rsid w:val="00523812"/>
    <w:rsid w:val="00524ADD"/>
    <w:rsid w:val="00540514"/>
    <w:rsid w:val="00542B99"/>
    <w:rsid w:val="00547971"/>
    <w:rsid w:val="00553AE7"/>
    <w:rsid w:val="00553DF6"/>
    <w:rsid w:val="005548B8"/>
    <w:rsid w:val="005A0789"/>
    <w:rsid w:val="006016CD"/>
    <w:rsid w:val="0060260E"/>
    <w:rsid w:val="00610659"/>
    <w:rsid w:val="00612951"/>
    <w:rsid w:val="00620B0C"/>
    <w:rsid w:val="00633B3E"/>
    <w:rsid w:val="00677193"/>
    <w:rsid w:val="006C16AA"/>
    <w:rsid w:val="006C1DC3"/>
    <w:rsid w:val="006D6893"/>
    <w:rsid w:val="006F52BC"/>
    <w:rsid w:val="006F7DA5"/>
    <w:rsid w:val="00700292"/>
    <w:rsid w:val="007075EB"/>
    <w:rsid w:val="00775AD1"/>
    <w:rsid w:val="0077618B"/>
    <w:rsid w:val="007857F2"/>
    <w:rsid w:val="007908A1"/>
    <w:rsid w:val="0079158B"/>
    <w:rsid w:val="007E0E9E"/>
    <w:rsid w:val="008003BD"/>
    <w:rsid w:val="00800418"/>
    <w:rsid w:val="008035B1"/>
    <w:rsid w:val="00805317"/>
    <w:rsid w:val="00814DCB"/>
    <w:rsid w:val="00876BFD"/>
    <w:rsid w:val="0088603E"/>
    <w:rsid w:val="00893BA9"/>
    <w:rsid w:val="00893CB6"/>
    <w:rsid w:val="008B1DFB"/>
    <w:rsid w:val="008C1852"/>
    <w:rsid w:val="008C193D"/>
    <w:rsid w:val="008E3BE8"/>
    <w:rsid w:val="008E60C5"/>
    <w:rsid w:val="008F221B"/>
    <w:rsid w:val="008F3E52"/>
    <w:rsid w:val="009A3B5B"/>
    <w:rsid w:val="009B524F"/>
    <w:rsid w:val="009C0237"/>
    <w:rsid w:val="009C49C5"/>
    <w:rsid w:val="009C4E0C"/>
    <w:rsid w:val="009D0816"/>
    <w:rsid w:val="009D7AA3"/>
    <w:rsid w:val="009F05BD"/>
    <w:rsid w:val="009F7B89"/>
    <w:rsid w:val="00A127BE"/>
    <w:rsid w:val="00A27235"/>
    <w:rsid w:val="00A310C4"/>
    <w:rsid w:val="00A3145C"/>
    <w:rsid w:val="00A66B19"/>
    <w:rsid w:val="00A74312"/>
    <w:rsid w:val="00AA7CBD"/>
    <w:rsid w:val="00AB14E5"/>
    <w:rsid w:val="00AC75A4"/>
    <w:rsid w:val="00AE0735"/>
    <w:rsid w:val="00AE79D9"/>
    <w:rsid w:val="00B17FAF"/>
    <w:rsid w:val="00B80C30"/>
    <w:rsid w:val="00B96175"/>
    <w:rsid w:val="00BC2B58"/>
    <w:rsid w:val="00C051A8"/>
    <w:rsid w:val="00C13197"/>
    <w:rsid w:val="00C203D3"/>
    <w:rsid w:val="00C510AE"/>
    <w:rsid w:val="00C638EF"/>
    <w:rsid w:val="00CC5B8B"/>
    <w:rsid w:val="00CC7A89"/>
    <w:rsid w:val="00CD4DD8"/>
    <w:rsid w:val="00CE2B74"/>
    <w:rsid w:val="00CF762C"/>
    <w:rsid w:val="00D13767"/>
    <w:rsid w:val="00D1464D"/>
    <w:rsid w:val="00D24785"/>
    <w:rsid w:val="00D477EE"/>
    <w:rsid w:val="00D509E4"/>
    <w:rsid w:val="00D760B5"/>
    <w:rsid w:val="00D81A0B"/>
    <w:rsid w:val="00D92F28"/>
    <w:rsid w:val="00DA6DB9"/>
    <w:rsid w:val="00DB70C7"/>
    <w:rsid w:val="00DC6772"/>
    <w:rsid w:val="00DD5553"/>
    <w:rsid w:val="00DD5A7A"/>
    <w:rsid w:val="00DF2AE0"/>
    <w:rsid w:val="00E17633"/>
    <w:rsid w:val="00E33F9C"/>
    <w:rsid w:val="00E55F78"/>
    <w:rsid w:val="00E87BB4"/>
    <w:rsid w:val="00EB0A0A"/>
    <w:rsid w:val="00EC7A5D"/>
    <w:rsid w:val="00EF08D8"/>
    <w:rsid w:val="00F4662A"/>
    <w:rsid w:val="00F72ACE"/>
    <w:rsid w:val="00F7372C"/>
    <w:rsid w:val="00F73B84"/>
    <w:rsid w:val="00F75D95"/>
    <w:rsid w:val="00F803FC"/>
    <w:rsid w:val="00F83641"/>
    <w:rsid w:val="00FE3E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A13F"/>
  <w15:chartTrackingRefBased/>
  <w15:docId w15:val="{A86667FC-C6E3-467C-A2DB-117ADA9D5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E52"/>
    <w:rPr>
      <w:rFonts w:eastAsiaTheme="majorEastAsia" w:cstheme="majorBidi"/>
      <w:color w:val="272727" w:themeColor="text1" w:themeTint="D8"/>
    </w:rPr>
  </w:style>
  <w:style w:type="paragraph" w:styleId="Title">
    <w:name w:val="Title"/>
    <w:basedOn w:val="Normal"/>
    <w:next w:val="Normal"/>
    <w:link w:val="TitleChar"/>
    <w:uiPriority w:val="10"/>
    <w:qFormat/>
    <w:rsid w:val="008F3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E52"/>
    <w:pPr>
      <w:spacing w:before="160"/>
      <w:jc w:val="center"/>
    </w:pPr>
    <w:rPr>
      <w:i/>
      <w:iCs/>
      <w:color w:val="404040" w:themeColor="text1" w:themeTint="BF"/>
    </w:rPr>
  </w:style>
  <w:style w:type="character" w:customStyle="1" w:styleId="QuoteChar">
    <w:name w:val="Quote Char"/>
    <w:basedOn w:val="DefaultParagraphFont"/>
    <w:link w:val="Quote"/>
    <w:uiPriority w:val="29"/>
    <w:rsid w:val="008F3E52"/>
    <w:rPr>
      <w:i/>
      <w:iCs/>
      <w:color w:val="404040" w:themeColor="text1" w:themeTint="BF"/>
    </w:rPr>
  </w:style>
  <w:style w:type="paragraph" w:styleId="ListParagraph">
    <w:name w:val="List Paragraph"/>
    <w:basedOn w:val="Normal"/>
    <w:uiPriority w:val="34"/>
    <w:qFormat/>
    <w:rsid w:val="008F3E52"/>
    <w:pPr>
      <w:ind w:left="720"/>
      <w:contextualSpacing/>
    </w:pPr>
  </w:style>
  <w:style w:type="character" w:styleId="IntenseEmphasis">
    <w:name w:val="Intense Emphasis"/>
    <w:basedOn w:val="DefaultParagraphFont"/>
    <w:uiPriority w:val="21"/>
    <w:qFormat/>
    <w:rsid w:val="008F3E52"/>
    <w:rPr>
      <w:i/>
      <w:iCs/>
      <w:color w:val="0F4761" w:themeColor="accent1" w:themeShade="BF"/>
    </w:rPr>
  </w:style>
  <w:style w:type="paragraph" w:styleId="IntenseQuote">
    <w:name w:val="Intense Quote"/>
    <w:basedOn w:val="Normal"/>
    <w:next w:val="Normal"/>
    <w:link w:val="IntenseQuoteChar"/>
    <w:uiPriority w:val="30"/>
    <w:qFormat/>
    <w:rsid w:val="008F3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E52"/>
    <w:rPr>
      <w:i/>
      <w:iCs/>
      <w:color w:val="0F4761" w:themeColor="accent1" w:themeShade="BF"/>
    </w:rPr>
  </w:style>
  <w:style w:type="character" w:styleId="IntenseReference">
    <w:name w:val="Intense Reference"/>
    <w:basedOn w:val="DefaultParagraphFont"/>
    <w:uiPriority w:val="32"/>
    <w:qFormat/>
    <w:rsid w:val="008F3E52"/>
    <w:rPr>
      <w:b/>
      <w:bCs/>
      <w:smallCaps/>
      <w:color w:val="0F4761" w:themeColor="accent1" w:themeShade="BF"/>
      <w:spacing w:val="5"/>
    </w:rPr>
  </w:style>
  <w:style w:type="character" w:styleId="PlaceholderText">
    <w:name w:val="Placeholder Text"/>
    <w:basedOn w:val="DefaultParagraphFont"/>
    <w:uiPriority w:val="99"/>
    <w:semiHidden/>
    <w:rsid w:val="0022019F"/>
    <w:rPr>
      <w:color w:val="666666"/>
    </w:rPr>
  </w:style>
  <w:style w:type="paragraph" w:styleId="Header">
    <w:name w:val="header"/>
    <w:basedOn w:val="Normal"/>
    <w:link w:val="HeaderChar"/>
    <w:uiPriority w:val="99"/>
    <w:unhideWhenUsed/>
    <w:rsid w:val="00E55F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5F78"/>
  </w:style>
  <w:style w:type="paragraph" w:styleId="Footer">
    <w:name w:val="footer"/>
    <w:basedOn w:val="Normal"/>
    <w:link w:val="FooterChar"/>
    <w:uiPriority w:val="99"/>
    <w:unhideWhenUsed/>
    <w:rsid w:val="00E55F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5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954266">
      <w:bodyDiv w:val="1"/>
      <w:marLeft w:val="0"/>
      <w:marRight w:val="0"/>
      <w:marTop w:val="0"/>
      <w:marBottom w:val="0"/>
      <w:divBdr>
        <w:top w:val="none" w:sz="0" w:space="0" w:color="auto"/>
        <w:left w:val="none" w:sz="0" w:space="0" w:color="auto"/>
        <w:bottom w:val="none" w:sz="0" w:space="0" w:color="auto"/>
        <w:right w:val="none" w:sz="0" w:space="0" w:color="auto"/>
      </w:divBdr>
    </w:div>
    <w:div w:id="1093164918">
      <w:bodyDiv w:val="1"/>
      <w:marLeft w:val="0"/>
      <w:marRight w:val="0"/>
      <w:marTop w:val="0"/>
      <w:marBottom w:val="0"/>
      <w:divBdr>
        <w:top w:val="none" w:sz="0" w:space="0" w:color="auto"/>
        <w:left w:val="none" w:sz="0" w:space="0" w:color="auto"/>
        <w:bottom w:val="none" w:sz="0" w:space="0" w:color="auto"/>
        <w:right w:val="none" w:sz="0" w:space="0" w:color="auto"/>
      </w:divBdr>
    </w:div>
    <w:div w:id="1452631246">
      <w:bodyDiv w:val="1"/>
      <w:marLeft w:val="0"/>
      <w:marRight w:val="0"/>
      <w:marTop w:val="0"/>
      <w:marBottom w:val="0"/>
      <w:divBdr>
        <w:top w:val="none" w:sz="0" w:space="0" w:color="auto"/>
        <w:left w:val="none" w:sz="0" w:space="0" w:color="auto"/>
        <w:bottom w:val="none" w:sz="0" w:space="0" w:color="auto"/>
        <w:right w:val="none" w:sz="0" w:space="0" w:color="auto"/>
      </w:divBdr>
    </w:div>
    <w:div w:id="1503160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2</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Sabberwal</dc:creator>
  <cp:keywords/>
  <dc:description/>
  <cp:lastModifiedBy>Mahima Sabberwal</cp:lastModifiedBy>
  <cp:revision>133</cp:revision>
  <cp:lastPrinted>2024-11-11T11:00:00Z</cp:lastPrinted>
  <dcterms:created xsi:type="dcterms:W3CDTF">2024-11-04T16:05:00Z</dcterms:created>
  <dcterms:modified xsi:type="dcterms:W3CDTF">2024-11-11T11:10:00Z</dcterms:modified>
</cp:coreProperties>
</file>