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 w:conformance="strict">
  <w:body>
    <w:p w14:paraId="31BC6E45" w14:textId="77777777" w:rsidR="009303D9" w:rsidRPr="008B6524" w:rsidRDefault="009303D9" w:rsidP="008B6524">
      <w:pPr>
        <w:pStyle w:val="papertitle"/>
        <w:spacing w:before="5pt" w:beforeAutospacing="1" w:after="5pt" w:afterAutospacing="1"/>
        <w:rPr>
          <w:kern w:val="48"/>
        </w:rPr>
      </w:pPr>
      <w:r/>
      <w:r>
        <w:rPr>
          <w:rFonts w:ascii="Times New Roman" w:hAnsi="Times New Roman" w:cs="Times New Roman" w:eastAsia="Times New Roman"/>
          <w:b/>
          <w:color w:val="000000"/>
          <w:sz w:val="48"/>
          <w:szCs w:val="48"/>
          <w:bCs/>
        </w:rPr>
        <w:t>EasyCircular: A Human-in-the-Loop AI Web System for Summarizing Sri Lankan Ministry of Education Circular PDFs</w:t>
      </w:r>
    </w:p>
    <w:p w14:paraId="24DF2CD4" w14:textId="77777777" w:rsidR="009303D9" w:rsidRDefault="00D7522C" w:rsidP="008B6524">
      <w:pPr>
        <w:pStyle w:val="Author"/>
        <w:spacing w:before="5pt" w:beforeAutospacing="1" w:after="5pt" w:afterAutospacing="1"/>
        <w:rPr>
          <w:sz w:val="16"/>
          <w:szCs w:val="16"/>
        </w:rPr>
      </w:pPr>
      <w:r/>
    </w:p>
    <w:p w14:paraId="20C779BD" w14:textId="77777777" w:rsidR="00D7522C" w:rsidRDefault="00D7522C" w:rsidP="003B4E04">
      <w:pPr>
        <w:pStyle w:val="Author"/>
        <w:spacing w:before="5pt" w:beforeAutospacing="1" w:after="5pt" w:afterAutospacing="1" w:line="6pt" w:lineRule="auto"/>
        <w:rPr>
          <w:sz w:val="16"/>
          <w:szCs w:val="16"/>
        </w:rPr>
      </w:pPr>
      <w:r/>
    </w:p>
    <w:p w14:paraId="1F960E65" w14:textId="77777777" w:rsidR="00D7522C" w:rsidRPr="00CA4392" w:rsidRDefault="00D7522C" w:rsidP="00CA4392">
      <w:pPr>
        <w:pStyle w:val="Author"/>
        <w:spacing w:before="5pt" w:beforeAutospacing="1" w:after="5pt" w:afterAutospacing="1" w:line="6pt" w:lineRule="auto"/>
        <w:rPr>
          <w:sz w:val="16"/>
          <w:szCs w:val="16"/>
        </w:rPr>
        <w:sectPr w:rsidR="00D7522C" w:rsidRPr="00CA4392" w:rsidSect="003B4E04">
          <w:footerReference w:type="first" r:id="rId8"/>
          <w:pgSz w:w="595.30pt" w:h="841.90pt" w:code="9"/>
          <w:pgMar w:top="27pt" w:right="44.65pt" w:bottom="72pt" w:left="44.65pt" w:header="36pt" w:footer="36pt" w:gutter="0pt"/>
          <w:cols w:space="36pt"/>
          <w:titlePg/>
          <w:docGrid w:linePitch="360"/>
        </w:sectPr>
      </w:pPr>
      <w:r/>
    </w:p>
    <w:p w14:paraId="5AB2FE26" w14:textId="77777777" w:rsidR="00BD670B" w:rsidRDefault="009303D9" w:rsidP="00BD670B">
      <w:pPr>
        <w:pStyle w:val="Author"/>
        <w:spacing w:before="5pt" w:beforeAutospacing="1"/>
        <w:rPr>
          <w:sz w:val="18"/>
          <w:szCs w:val="18"/>
        </w:rPr>
      </w:pPr>
      <w:r/>
    </w:p>
    <w:p w14:paraId="1FCCE042" w14:textId="77777777" w:rsidR="001A3B3D" w:rsidRPr="00F847A6" w:rsidRDefault="00447BB9" w:rsidP="007B6DDA">
      <w:pPr>
        <w:pStyle w:val="Author"/>
        <w:spacing w:before="5pt" w:beforeAutospacing="1"/>
        <w:rPr>
          <w:sz w:val="18"/>
          <w:szCs w:val="18"/>
        </w:rPr>
      </w:pPr>
      <w:r/>
    </w:p>
    <w:p w14:paraId="11C3FF66" w14:textId="77777777" w:rsidR="001A3B3D" w:rsidRPr="00F847A6" w:rsidRDefault="00447BB9" w:rsidP="00447BB9">
      <w:pPr>
        <w:pStyle w:val="Author"/>
        <w:spacing w:before="5pt" w:beforeAutospacing="1"/>
        <w:rPr>
          <w:sz w:val="18"/>
          <w:szCs w:val="18"/>
        </w:rPr>
      </w:pPr>
      <w:r/>
    </w:p>
    <w:p w14:paraId="2729A11B" w14:textId="77777777" w:rsidR="00447BB9" w:rsidRDefault="00447BB9" w:rsidP="00447BB9">
      <w:pPr>
        <w:pStyle w:val="Author"/>
        <w:spacing w:before="5pt" w:beforeAutospacing="1"/>
      </w:pPr>
      <w:r/>
    </w:p>
    <w:p w14:paraId="0316535E" w14:textId="77777777" w:rsidR="009F1D79" w:rsidRDefault="009F1D79">
      <w:pPr>
        <w:sectPr w:rsidR="009F1D79" w:rsidSect="003B4E04">
          <w:type w:val="continuous"/>
          <w:pgSz w:w="595.30pt" w:h="841.90pt" w:code="9"/>
          <w:pgMar w:top="22.50pt" w:right="44.65pt" w:bottom="72pt" w:left="44.65pt" w:header="36pt" w:footer="36pt" w:gutter="0pt"/>
          <w:cols w:num="3" w:space="36pt"/>
          <w:docGrid w:linePitch="360"/>
        </w:sectPr>
      </w:pPr>
    </w:p>
    <w:p w14:paraId="0A88E65D" w14:textId="77777777" w:rsidR="009303D9" w:rsidRPr="005B520E" w:rsidRDefault="00BD670B">
      <w:pPr>
        <w:sectPr w:rsidR="009303D9" w:rsidRPr="005B520E" w:rsidSect="003B4E04">
          <w:type w:val="continuous"/>
          <w:pgSz w:w="595.30pt" w:h="841.90pt" w:code="9"/>
          <w:pgMar w:top="22.50pt" w:right="44.65pt" w:bottom="72pt" w:left="44.65pt" w:header="36pt" w:footer="36pt" w:gutter="0pt"/>
          <w:cols w:num="3" w:space="36pt"/>
          <w:docGrid w:linePitch="360"/>
        </w:sectPr>
      </w:pPr>
      <w:r>
        <w:br w:type="column"/>
      </w:r>
    </w:p>
    <w:p w14:paraId="40FA2D84" w14:textId="77777777" w:rsidR="004D72B5" w:rsidRDefault="009303D9" w:rsidP="00972203">
      <w:pPr>
        <w:pStyle w:val="Abstract"/>
        <w:rPr>
          <w:i/>
          <w:iCs/>
        </w:rPr>
      </w:pPr>
      <w:r/>
      <w:r>
        <w:rPr>
          <w:rFonts w:ascii="Times New Roman" w:hAnsi="Times New Roman" w:cs="Times New Roman" w:eastAsia="Times New Roman"/>
          <w:b/>
          <w:i/>
          <w:color w:val="000000"/>
          <w:sz w:val="20"/>
          <w:szCs w:val="20"/>
          <w:bCs/>
        </w:rPr>
        <w:t xml:space="preserve">Abstract: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>ශ්‍රී ලංකා අධ්‍යාපන අමාත්‍යාංශය (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MOE)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විසින් නිකුත් කරනු ලබන චක්‍රලේඛ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PDF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ලේඛන දිගු, බහුභාෂික සහ පරිපාලන භාෂාවෙන් ලියනු ලබන නිසා පාසල් කාර්ය මණ්ඩලයට කෙටි කාලයකින් අවබෝධ කර ගැනීම අපහසුය. මෙම පත්‍රය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EasyCircular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නම්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>AI-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සහය සහිත වෙබ් පද්ධතියක් ඉදිරිපත් කරයි. එය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PDF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>උඩුගත කිරීම, පෙළ නිස්සාරණය (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OCR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ඇතුළුව), අනිවාර්ය මානව සමාලෝචනය,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named entity recognition (NER)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guardrails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සහිත සාරාංශකරණය එකම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workflow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>එකකින් සපයයි. ත්‍රිස්ථර ගෘහනිර්මාණය (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Next.js, Express, FastAPI, MongoDB)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මත පද්ධතිය ක්‍රියාත්මක වන අතර දේශීය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LLM (Ollama)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විකල්පයක් ඇත.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Google Forms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>මූලික සමීක්ෂණය (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n=41)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මගින් 97.6% ක් සාරාංශ අවශ්‍ය බවත් 78% ක්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entity highlighting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ප්‍රයෝජනවත් බවත් පෙන්වා දුන්නේය.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ROUGE macro F1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>අගයන් 0.414 / 0.215 / 0.292 ලැබුණු අතර ස්වයංක්‍රීය පරීක්ෂණ 35/35 සමත් විය.</w:t>
      </w:r>
    </w:p>
    <w:p w14:paraId="58B10678" w14:textId="77777777" w:rsidR="009303D9" w:rsidRPr="004D72B5" w:rsidRDefault="004D72B5" w:rsidP="00972203">
      <w:pPr>
        <w:pStyle w:val="Keywords"/>
      </w:pPr>
      <w:r/>
      <w:r>
        <w:rPr>
          <w:rFonts w:ascii="Times New Roman" w:hAnsi="Times New Roman" w:cs="Times New Roman" w:eastAsia="Times New Roman"/>
          <w:b w:val="0"/>
          <w:i/>
          <w:color w:val="000000"/>
          <w:sz w:val="20"/>
          <w:szCs w:val="20"/>
        </w:rPr>
        <w:t xml:space="preserve">Keywords: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>information extraction, PDF summarization, named entity recognition, OCR, education documents, guardrails</w:t>
      </w:r>
    </w:p>
    <w:p>
      <w:pPr>
        <w:pStyle w:val="Heading1"/>
        <w:spacing w:before="120" w:after="60"/>
      </w:pPr>
      <w:r>
        <w:rPr>
          <w:rFonts w:ascii="Times New Roman" w:hAnsi="Times New Roman" w:cs="Times New Roman" w:eastAsia="Times New Roman"/>
          <w:b/>
          <w:color w:val="000000"/>
          <w:sz w:val="20"/>
          <w:szCs w:val="20"/>
          <w:bCs/>
        </w:rPr>
        <w:t>I. INTRODUCTION</w:t>
      </w:r>
    </w:p>
    <w:p>
      <w:pPr>
        <w:pStyle w:val="BodyText"/>
        <w:spacing w:line="240" w:lineRule="auto" w:after="60"/>
      </w:pP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>ශ්‍රී ලංකා අධ්‍යාපන ක්‍ෂේත්‍රය දිනපතාම අධ්‍යාපන අමාත්‍යාංශය (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Ministry of Education, MOE)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විසින් නිකුත් කරනු ලබන චක්‍රලේඛ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PDF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මගින් පාලනය වේ [5]. මෙම ලේඛන පාසල් කළමනාකරණය, විභාග, ගුරු පුහුණුව, ශිෂ්‍ය සුබසාධන සහ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COVID-19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>පසු ප්‍රතිසංවර්ධනය පිළිබඳ නීතිමය/පරිපාලන උපදෙස් අඩංගු වන අතර බොහෝ විට පිටු 5–20 දිගු වේ. විදුහල්පතිවරු සහ ගුරුවරුන්ට ප්‍රධාන නියෝග, දින (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deadlines)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>සහ ක්‍රියාත්මක කළ යුතු පියවර (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action items)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>වෙන් කර හඳුනා ගැනීමට අමතර ශ්‍රමයක් අවශ්‍ය වේ.</w:t>
      </w:r>
    </w:p>
    <w:p>
      <w:pPr>
        <w:pStyle w:val="BodyText"/>
        <w:spacing w:line="240" w:lineRule="auto" w:after="60"/>
      </w:pP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PDF circulars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බොහෝ විට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scanned images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ලෙස පවතින අතර (විශේෂයෙන් සිංහල හෝ දෙමළ)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optical character recognition (OCR)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නොමැතිව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manual typing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අවශ්‍ය වේ.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WhatsApp groups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email forwards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>මගින් පැතිරෙන සාරාංශ වලදී වැරදි අර්ථකථනය (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misinterpretation)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සහ කාලසීමා මග හැරීමේ අවදානම ඉහළ යයි. සාමාන්‍ය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large language model (LLM) chatbot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>මෙවලම් (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ChatGPT, Gemini) hallucination,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>දත්ත රහස්‍යතා (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privacy)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සහ ව්‍යුහගත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output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>නොමැති බව නිසා ආයතනික මට්ටමේ පිළිගැනීම අඩුය [10].</w:t>
      </w:r>
    </w:p>
    <w:p>
      <w:pPr>
        <w:pStyle w:val="BodyText"/>
        <w:spacing w:line="240" w:lineRule="auto" w:after="60"/>
      </w:pP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මෙම පර්යේෂණය ප්‍රශ්න තුනකට පිළිතුරු සොයයි.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RQ1: MOE circulars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සඳහා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PDF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නිස්සාරණය,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OCR, NER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සහ සාරාංශකරණය ඒකාබද්ධ කරන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purpose-built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වෙබ් පද්ධතියක් කෙසේ නිර්මාණය කළ හැකිද?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RQ2: Human-in-the-loop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පෙළ සමාලෝචනය සහ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date guardrails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මගින්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hallucination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අවදානම කෙතරම් අවම කළ හැකිද?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RQ3: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පාසල්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stakeholders (n=41)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අවශ්‍යතා සහ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>ROUGE/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>ස්වයංක්‍රීය පරීක්ෂණ මගින් පද්ධතියේ ප්‍රයෝජනවත් බව සහ ගුණාත්මකභාවය කෙසේ තක්සේරු කළ හැකිද?</w:t>
      </w:r>
    </w:p>
    <w:p>
      <w:pPr>
        <w:pStyle w:val="BodyText"/>
        <w:spacing w:line="240" w:lineRule="auto" w:after="60"/>
      </w:pP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ප්‍රධාන දායකත්ව හතරකි. (1) ත්‍රිස්ථර,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self-hostable pipeline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එකක්. (2)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OCR misreads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සඳහා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mandatory review gate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එකක්. (3)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invented dates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ප්‍රතික්ෂේප කරන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guardrails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extractive fallback. (4) Google Forms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>සමීක්ෂණය (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n=41)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reproducible ROUGE/test evidence.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මුල්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PDF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එක නීතිමය මූලාශ්‍රය ලෙස පවතින අතර සාරාංශය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assistive shortcut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එකක් පමණි. ඉතිරි පත්‍රය මෙසේ සංවිධානය වේ: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>Section II related work, Section III stakeholder survey, Section IV system design, Section V evaluation, Section VI conclusion.</w:t>
      </w:r>
    </w:p>
    <w:p>
      <w:pPr>
        <w:pStyle w:val="Heading1"/>
        <w:spacing w:before="120" w:after="60"/>
      </w:pPr>
      <w:r>
        <w:rPr>
          <w:rFonts w:ascii="Times New Roman" w:hAnsi="Times New Roman" w:cs="Times New Roman" w:eastAsia="Times New Roman"/>
          <w:b/>
          <w:color w:val="000000"/>
          <w:sz w:val="20"/>
          <w:szCs w:val="20"/>
          <w:bCs/>
        </w:rPr>
        <w:t>II. RELATED WORK</w:t>
      </w:r>
    </w:p>
    <w:p>
      <w:pPr>
        <w:pStyle w:val="BodyText"/>
        <w:spacing w:line="240" w:lineRule="auto" w:after="60"/>
      </w:pP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>ලේඛනයකින් ව්‍යුහගත තොරතුරු නිස්සාරණය (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information extraction)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කරන පර්යේෂණ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rule-based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>ක්‍රම (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regex, heading dictionaries)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සිට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deep learning NER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දක්වා විහිද ඇත [8].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Ngo et al. CV parsing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සඳහා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layout segmentation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NER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එකතු කරන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two-phase framework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එකක් ඉදිරිපත් කළ අතර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XLM-RoBERTa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මගින්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F1 ≈ 0.80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ලබා ගත්තේය [1].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Vukadin et al. multilingual unstructured CVs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සඳහා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transformer encoders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යොදා ගත්හ [7].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MOE circulars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වලදී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layout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>වි-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variation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අඩු වුවද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OCR,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>බහුභාෂික පෙළ සහ නීතිමය භාෂාව සමාන අභියෝග ඉදිරිපත් කරයි.</w:t>
      </w:r>
    </w:p>
    <w:p>
      <w:pPr>
        <w:pStyle w:val="BodyText"/>
        <w:spacing w:line="240" w:lineRule="auto" w:after="60"/>
      </w:pP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සාරාංශකරණයේදී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extractive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>ක්‍රම (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TextRank)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කරුණු-පිළිබඳ විශ්වාසනීය වන අතර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abstractive LLM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ක්‍රම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readability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වැඩි කරන නමුත්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hallucination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අවදානම වැඩි කරයි [2].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Vaswani et al. Transformer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ගෘහනිර්මාණය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modern NLP shape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කළ අතර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BERT/GPT fine-tuning document IE pipeline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වලට යොදා ගනී [3].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SpaCy en_core_web_sm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වැනි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NER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මාදිලි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DATE, ORG, LAW labels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හඳුනා ගනි [4].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Resume/CV parsers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බොහෝ විට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heading dictionaries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මත යැපෙන අතර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misspelled headings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duplicate appearance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>හසුරුවීමට අපහසුය [9], [11].</w:t>
      </w:r>
    </w:p>
    <w:p>
      <w:pPr>
        <w:pStyle w:val="BodyText"/>
        <w:spacing w:line="240" w:lineRule="auto" w:after="60"/>
      </w:pP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සිංහල සහ දෙමළ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NLP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>සංසන්දනාත්මක ලෙස සම්පත්-හිඟ (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under-resourced)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ය.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Generic chatbots institutional adoption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අඩු කරයි: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unstructured output, cloud privacy,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MOE-specific date/topic guardrails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නොමැති බව [6].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EasyCircular hybrid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ප්‍රවේචනයක් අනුගමනය කරයි: ත්‍රිභාෂික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OCR (Tesseract sin, eng, tam),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ඉංග්‍රීසි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SpaCy NER, map-reduce LLM summarization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date guardrails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සමඟ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extractive fallback. Human-in-the-loop review gate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එක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OCR/LLM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දෝෂ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staff-level correction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පෙර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summarization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එක අනිවාර්ය කරයි.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CV parsing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>පර්යේෂණ වලට වඩා මෙය ප්‍රධාන වෙනසකි.</w:t>
      </w:r>
    </w:p>
    <w:p>
      <w:pPr>
        <w:pStyle w:val="BodyText"/>
        <w:spacing w:line="240" w:lineRule="auto" w:after="60"/>
      </w:pP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Research gap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එක මෙසේ සංශ්ලේෂණය කළ හැක: ශ්‍රී ලංකා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MOE circulars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සඳහා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PDF import,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ත්‍රිභාෂික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OCR, human-reviewed extraction, NER, guarded summarization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structured web UI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එකට ඒකාබද්ධ කරන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open-source, self-hostable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පද්ධතියක් සාහිත්‍යයේ පැහැදිලිව නොමැත.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Enterprise legal-AI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මෙවලම් පාසල් සඳහා මිල අධික වන අතර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circular-specific date checks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නොමැත.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EasyCircular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මෙම පරතරයට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Agile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ත්‍රිස්ථර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artefact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>එකකින් ප්‍රතිචාර දක්වයි.</w:t>
      </w:r>
    </w:p>
    <w:p>
      <w:pPr>
        <w:pStyle w:val="Heading1"/>
        <w:spacing w:before="120" w:after="60"/>
      </w:pPr>
      <w:r>
        <w:rPr>
          <w:rFonts w:ascii="Times New Roman" w:hAnsi="Times New Roman" w:cs="Times New Roman" w:eastAsia="Times New Roman"/>
          <w:b/>
          <w:color w:val="000000"/>
          <w:sz w:val="20"/>
          <w:szCs w:val="20"/>
          <w:bCs/>
        </w:rPr>
        <w:t>III. STAKEHOLDER SURVEY</w:t>
      </w:r>
    </w:p>
    <w:p>
      <w:pPr>
        <w:pStyle w:val="BodyText"/>
        <w:spacing w:line="240" w:lineRule="auto" w:after="60"/>
      </w:pP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අවශ්‍යතා තහවුරු කිරීමට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Google Forms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මාර්ගගත සමීක්ෂණයක් 2026 පෙබරවාරි සිට මාර්තු දක්වා බෙදා හැර වලංගු ප්‍රතිචාර 41ක් එකතු කරන ලදී. උපකරණය සිංහල/ඉංග්‍රීසි මිශ්‍ර ප්‍රශ්න මගින් කියවීමේ වාරගණන, අවබෝධ දුෂ්කරතාව, අපේක්ෂිත විශේෂාංග,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AI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කැමැත්ත සහ රහස්‍යතා ගැටලු ආවරණය කරයි.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Fig. 1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>උපකරණයේ මුල් ප්‍රශ්න කොටස පෙන්වයි.</w:t>
      </w:r>
    </w:p>
    <w:p>
      <w:pPr>
        <w:pStyle w:val="BodyText"/>
        <w:jc w:val="center"/>
      </w:pPr>
      <w:r>
        <w:drawing>
          <wp:inline xmlns:a="http://schemas.openxmlformats.org/drawingml/2006/main" xmlns:pic="http://schemas.openxmlformats.org/drawingml/2006/picture" xmlns:r="http://schemas.openxmlformats.org/officeDocument/2006/relationships">
            <wp:extent cx="3096000" cy="433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rvey-google-form-part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96000" cy="433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rPr>
          <w:rFonts w:ascii="Times New Roman" w:hAnsi="Times New Roman" w:cs="Times New Roman" w:eastAsia="Times New Roman"/>
          <w:b/>
          <w:color w:val="000000"/>
          <w:sz w:val="16"/>
          <w:szCs w:val="16"/>
          <w:bCs/>
        </w:rPr>
        <w:t xml:space="preserve">Fig. 1. </w:t>
      </w:r>
      <w:r>
        <w:rPr>
          <w:rFonts w:ascii="Times New Roman" w:hAnsi="Times New Roman" w:cs="Times New Roman" w:eastAsia="Times New Roman"/>
          <w:b w:val="0"/>
          <w:color w:val="000000"/>
          <w:sz w:val="16"/>
          <w:szCs w:val="16"/>
        </w:rPr>
        <w:t xml:space="preserve">Google Forms </w:t>
      </w:r>
      <w:r>
        <w:rPr>
          <w:rFonts w:ascii="Iskoola Pota" w:hAnsi="Iskoola Pota" w:cs="Iskoola Pota" w:eastAsia="Iskoola Pota"/>
          <w:b w:val="0"/>
          <w:color w:val="000000"/>
          <w:sz w:val="16"/>
          <w:szCs w:val="16"/>
        </w:rPr>
        <w:t>සමීක්ෂණ උපකරණය (</w:t>
      </w:r>
      <w:r>
        <w:rPr>
          <w:rFonts w:ascii="Times New Roman" w:hAnsi="Times New Roman" w:cs="Times New Roman" w:eastAsia="Times New Roman"/>
          <w:b w:val="0"/>
          <w:color w:val="000000"/>
          <w:sz w:val="16"/>
          <w:szCs w:val="16"/>
        </w:rPr>
        <w:t xml:space="preserve">Part 1). </w:t>
      </w:r>
      <w:r>
        <w:rPr>
          <w:rFonts w:ascii="Iskoola Pota" w:hAnsi="Iskoola Pota" w:cs="Iskoola Pota" w:eastAsia="Iskoola Pota"/>
          <w:b w:val="0"/>
          <w:color w:val="000000"/>
          <w:sz w:val="16"/>
          <w:szCs w:val="16"/>
        </w:rPr>
        <w:t xml:space="preserve">සිංහල/ඉංග්‍රීසි මිශ්‍ර ප්‍රශ්න </w:t>
      </w:r>
      <w:r>
        <w:rPr>
          <w:rFonts w:ascii="Times New Roman" w:hAnsi="Times New Roman" w:cs="Times New Roman" w:eastAsia="Times New Roman"/>
          <w:b w:val="0"/>
          <w:color w:val="000000"/>
          <w:sz w:val="16"/>
          <w:szCs w:val="16"/>
        </w:rPr>
        <w:t xml:space="preserve">n=41 stakeholders </w:t>
      </w:r>
      <w:r>
        <w:rPr>
          <w:rFonts w:ascii="Iskoola Pota" w:hAnsi="Iskoola Pota" w:cs="Iskoola Pota" w:eastAsia="Iskoola Pota"/>
          <w:b w:val="0"/>
          <w:color w:val="000000"/>
          <w:sz w:val="16"/>
          <w:szCs w:val="16"/>
        </w:rPr>
        <w:t>වෙත බෙදා හැරිණි.</w:t>
      </w:r>
    </w:p>
    <w:p>
      <w:pPr>
        <w:pStyle w:val="BodyText"/>
        <w:spacing w:line="240" w:lineRule="auto" w:after="60"/>
      </w:pP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TABLE I respondent roles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සාරාංශ කරයි: ගුරුවරු 30 (73.2%), විදුහල්පතිවරු 8 (19.5%), අධ්‍යාපන නිලධාරීන් 3 (7.3%). ප්‍රාථමික පරිශීලකයා පන්තිකාමර මට්ටමේ ගුරුවරයා වන බැවින්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UI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සරල,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mobile-readable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>සාරාංශයක් අවශ්‍ය වේ.</w:t>
      </w:r>
    </w:p>
    <w:p>
      <w:pPr>
        <w:pStyle w:val="figurecaption"/>
        <w:jc w:val="center"/>
      </w:pPr>
      <w:r>
        <w:rPr>
          <w:rFonts w:ascii="Times New Roman" w:hAnsi="Times New Roman" w:cs="Times New Roman" w:eastAsia="Times New Roman"/>
          <w:b/>
          <w:color w:val="000000"/>
          <w:sz w:val="16"/>
          <w:szCs w:val="16"/>
          <w:bCs/>
        </w:rPr>
        <w:t xml:space="preserve">TABLE I. </w:t>
      </w:r>
      <w:r>
        <w:rPr>
          <w:rFonts w:ascii="Times New Roman" w:hAnsi="Times New Roman" w:cs="Times New Roman" w:eastAsia="Times New Roman"/>
          <w:b w:val="0"/>
          <w:color w:val="000000"/>
          <w:sz w:val="16"/>
          <w:szCs w:val="16"/>
        </w:rPr>
        <w:t>GOOGLE FORMS SAMPLE BY ROLE (N=41)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73"/>
        <w:gridCol w:w="3373"/>
        <w:gridCol w:w="3373"/>
      </w:tblGrid>
      <w:tr>
        <w:tc>
          <w:tcPr>
            <w:tcW w:type="dxa" w:w="3373"/>
          </w:tcPr>
          <w:p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  <w:szCs w:val="16"/>
                <w:bCs/>
              </w:rPr>
              <w:t>Role</w:t>
            </w:r>
          </w:p>
        </w:tc>
        <w:tc>
          <w:tcPr>
            <w:tcW w:type="dxa" w:w="3373"/>
          </w:tcPr>
          <w:p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  <w:szCs w:val="16"/>
                <w:bCs/>
              </w:rPr>
              <w:t>n</w:t>
            </w:r>
          </w:p>
        </w:tc>
        <w:tc>
          <w:tcPr>
            <w:tcW w:type="dxa" w:w="3373"/>
          </w:tcPr>
          <w:p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  <w:szCs w:val="16"/>
                <w:bCs/>
              </w:rPr>
              <w:t>%</w:t>
            </w:r>
          </w:p>
        </w:tc>
      </w:tr>
      <w:tr>
        <w:tc>
          <w:tcPr>
            <w:tcW w:type="dxa" w:w="337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 xml:space="preserve">Teacher / </w:t>
            </w:r>
            <w:r>
              <w:rPr>
                <w:rFonts w:ascii="Iskoola Pota" w:hAnsi="Iskoola Pota" w:cs="Iskoola Pota" w:eastAsia="Iskoola Pota"/>
                <w:b w:val="0"/>
                <w:color w:val="000000"/>
                <w:sz w:val="16"/>
                <w:szCs w:val="16"/>
              </w:rPr>
              <w:t>ගුරුවරු</w:t>
            </w:r>
          </w:p>
        </w:tc>
        <w:tc>
          <w:tcPr>
            <w:tcW w:type="dxa" w:w="337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30</w:t>
            </w:r>
          </w:p>
        </w:tc>
        <w:tc>
          <w:tcPr>
            <w:tcW w:type="dxa" w:w="337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73.2</w:t>
            </w:r>
          </w:p>
        </w:tc>
      </w:tr>
      <w:tr>
        <w:tc>
          <w:tcPr>
            <w:tcW w:type="dxa" w:w="337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 xml:space="preserve">Principal / </w:t>
            </w:r>
            <w:r>
              <w:rPr>
                <w:rFonts w:ascii="Iskoola Pota" w:hAnsi="Iskoola Pota" w:cs="Iskoola Pota" w:eastAsia="Iskoola Pota"/>
                <w:b w:val="0"/>
                <w:color w:val="000000"/>
                <w:sz w:val="16"/>
                <w:szCs w:val="16"/>
              </w:rPr>
              <w:t>විදුහල්පතිවරු</w:t>
            </w:r>
          </w:p>
        </w:tc>
        <w:tc>
          <w:tcPr>
            <w:tcW w:type="dxa" w:w="337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8</w:t>
            </w:r>
          </w:p>
        </w:tc>
        <w:tc>
          <w:tcPr>
            <w:tcW w:type="dxa" w:w="337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19.5</w:t>
            </w:r>
          </w:p>
        </w:tc>
      </w:tr>
      <w:tr>
        <w:tc>
          <w:tcPr>
            <w:tcW w:type="dxa" w:w="337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Education officer</w:t>
            </w:r>
          </w:p>
        </w:tc>
        <w:tc>
          <w:tcPr>
            <w:tcW w:type="dxa" w:w="337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3</w:t>
            </w:r>
          </w:p>
        </w:tc>
        <w:tc>
          <w:tcPr>
            <w:tcW w:type="dxa" w:w="337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7.3</w:t>
            </w:r>
          </w:p>
        </w:tc>
      </w:tr>
      <w:tr>
        <w:tc>
          <w:tcPr>
            <w:tcW w:type="dxa" w:w="337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Total</w:t>
            </w:r>
          </w:p>
        </w:tc>
        <w:tc>
          <w:tcPr>
            <w:tcW w:type="dxa" w:w="337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41</w:t>
            </w:r>
          </w:p>
        </w:tc>
        <w:tc>
          <w:tcPr>
            <w:tcW w:type="dxa" w:w="337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100.0</w:t>
            </w:r>
          </w:p>
        </w:tc>
      </w:tr>
    </w:tbl>
    <w:p>
      <w:pPr>
        <w:pStyle w:val="BodyText"/>
        <w:spacing w:line="240" w:lineRule="auto" w:after="60"/>
      </w:pP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TABLE II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ප්‍රධාන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Likert/Yes-No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ප්‍රතිඵල දක්වයි.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Respondents 40/41 (97.6%)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සාරාංශ විශේෂාංගයක් අවශ්‍ය බව පැවසූහ.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Entity highlighting (dates, names, rules) 32/41 (78%)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ප්‍රයෝජනවත් යැයි ශ්‍රේණිගත කළහ. එසේම 78%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EasyCircular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වැනි පද්ධතියක්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work efficiency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වැඩි කරන බව විශ්වාස කළහ. එහෙත් 28/41 (68.3%)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AI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පද්ධතියක් භාවිතයට සෘජුව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willing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නොවූ අතර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privacy concerns respondents 17 (41.5%)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උපුටා දැක්වීය.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Fig. 2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මෙම ප්‍රතිශත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visualize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>කරයි.</w:t>
      </w:r>
    </w:p>
    <w:p>
      <w:pPr>
        <w:pStyle w:val="BodyText"/>
        <w:jc w:val="center"/>
      </w:pPr>
      <w:r>
        <w:drawing>
          <wp:inline xmlns:a="http://schemas.openxmlformats.org/drawingml/2006/main" xmlns:pic="http://schemas.openxmlformats.org/drawingml/2006/picture" xmlns:r="http://schemas.openxmlformats.org/officeDocument/2006/relationships">
            <wp:extent cx="3096000" cy="14470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rvey-key-finding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96000" cy="1447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rPr>
          <w:rFonts w:ascii="Times New Roman" w:hAnsi="Times New Roman" w:cs="Times New Roman" w:eastAsia="Times New Roman"/>
          <w:b/>
          <w:color w:val="000000"/>
          <w:sz w:val="16"/>
          <w:szCs w:val="16"/>
          <w:bCs/>
        </w:rPr>
        <w:t xml:space="preserve">Fig. 2. </w:t>
      </w:r>
      <w:r>
        <w:rPr>
          <w:rFonts w:ascii="Times New Roman" w:hAnsi="Times New Roman" w:cs="Times New Roman" w:eastAsia="Times New Roman"/>
          <w:b w:val="0"/>
          <w:color w:val="000000"/>
          <w:sz w:val="16"/>
          <w:szCs w:val="16"/>
        </w:rPr>
        <w:t xml:space="preserve">Google Forms </w:t>
      </w:r>
      <w:r>
        <w:rPr>
          <w:rFonts w:ascii="Iskoola Pota" w:hAnsi="Iskoola Pota" w:cs="Iskoola Pota" w:eastAsia="Iskoola Pota"/>
          <w:b w:val="0"/>
          <w:color w:val="000000"/>
          <w:sz w:val="16"/>
          <w:szCs w:val="16"/>
        </w:rPr>
        <w:t xml:space="preserve">ප්‍රධාන සොයාගැනීම් (%). </w:t>
      </w:r>
      <w:r>
        <w:rPr>
          <w:rFonts w:ascii="Times New Roman" w:hAnsi="Times New Roman" w:cs="Times New Roman" w:eastAsia="Times New Roman"/>
          <w:b w:val="0"/>
          <w:color w:val="000000"/>
          <w:sz w:val="16"/>
          <w:szCs w:val="16"/>
        </w:rPr>
        <w:t xml:space="preserve">Summary demand </w:t>
      </w:r>
      <w:r>
        <w:rPr>
          <w:rFonts w:ascii="Iskoola Pota" w:hAnsi="Iskoola Pota" w:cs="Iskoola Pota" w:eastAsia="Iskoola Pota"/>
          <w:b w:val="0"/>
          <w:color w:val="000000"/>
          <w:sz w:val="16"/>
          <w:szCs w:val="16"/>
        </w:rPr>
        <w:t xml:space="preserve">ඉහළය; </w:t>
      </w:r>
      <w:r>
        <w:rPr>
          <w:rFonts w:ascii="Times New Roman" w:hAnsi="Times New Roman" w:cs="Times New Roman" w:eastAsia="Times New Roman"/>
          <w:b w:val="0"/>
          <w:color w:val="000000"/>
          <w:sz w:val="16"/>
          <w:szCs w:val="16"/>
        </w:rPr>
        <w:t xml:space="preserve">AI willingness </w:t>
      </w:r>
      <w:r>
        <w:rPr>
          <w:rFonts w:ascii="Iskoola Pota" w:hAnsi="Iskoola Pota" w:cs="Iskoola Pota" w:eastAsia="Iskoola Pota"/>
          <w:b w:val="0"/>
          <w:color w:val="000000"/>
          <w:sz w:val="16"/>
          <w:szCs w:val="16"/>
        </w:rPr>
        <w:t>අඩුය.</w:t>
      </w:r>
    </w:p>
    <w:p>
      <w:pPr>
        <w:pStyle w:val="figurecaption"/>
        <w:jc w:val="center"/>
      </w:pPr>
      <w:r>
        <w:rPr>
          <w:rFonts w:ascii="Times New Roman" w:hAnsi="Times New Roman" w:cs="Times New Roman" w:eastAsia="Times New Roman"/>
          <w:b/>
          <w:color w:val="000000"/>
          <w:sz w:val="16"/>
          <w:szCs w:val="16"/>
          <w:bCs/>
        </w:rPr>
        <w:t xml:space="preserve">TABLE II. </w:t>
      </w:r>
      <w:r>
        <w:rPr>
          <w:rFonts w:ascii="Times New Roman" w:hAnsi="Times New Roman" w:cs="Times New Roman" w:eastAsia="Times New Roman"/>
          <w:b w:val="0"/>
          <w:color w:val="000000"/>
          <w:sz w:val="16"/>
          <w:szCs w:val="16"/>
        </w:rPr>
        <w:t>KEY SURVEY FINDINGS FROM GOOGLE FORMS (N=41)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73"/>
        <w:gridCol w:w="3373"/>
        <w:gridCol w:w="3373"/>
      </w:tblGrid>
      <w:tr>
        <w:tc>
          <w:tcPr>
            <w:tcW w:type="dxa" w:w="3373"/>
          </w:tcPr>
          <w:p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  <w:szCs w:val="16"/>
                <w:bCs/>
              </w:rPr>
              <w:t>Item</w:t>
            </w:r>
          </w:p>
        </w:tc>
        <w:tc>
          <w:tcPr>
            <w:tcW w:type="dxa" w:w="3373"/>
          </w:tcPr>
          <w:p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  <w:szCs w:val="16"/>
                <w:bCs/>
              </w:rPr>
              <w:t>n</w:t>
            </w:r>
          </w:p>
        </w:tc>
        <w:tc>
          <w:tcPr>
            <w:tcW w:type="dxa" w:w="3373"/>
          </w:tcPr>
          <w:p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  <w:szCs w:val="16"/>
                <w:bCs/>
              </w:rPr>
              <w:t>%</w:t>
            </w:r>
          </w:p>
        </w:tc>
      </w:tr>
      <w:tr>
        <w:tc>
          <w:tcPr>
            <w:tcW w:type="dxa" w:w="337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Want a summary feature (Yes)</w:t>
            </w:r>
          </w:p>
        </w:tc>
        <w:tc>
          <w:tcPr>
            <w:tcW w:type="dxa" w:w="337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40</w:t>
            </w:r>
          </w:p>
        </w:tc>
        <w:tc>
          <w:tcPr>
            <w:tcW w:type="dxa" w:w="337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97.6</w:t>
            </w:r>
          </w:p>
        </w:tc>
      </w:tr>
      <w:tr>
        <w:tc>
          <w:tcPr>
            <w:tcW w:type="dxa" w:w="337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Entity highlighting useful</w:t>
            </w:r>
          </w:p>
        </w:tc>
        <w:tc>
          <w:tcPr>
            <w:tcW w:type="dxa" w:w="337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32</w:t>
            </w:r>
          </w:p>
        </w:tc>
        <w:tc>
          <w:tcPr>
            <w:tcW w:type="dxa" w:w="337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78.0</w:t>
            </w:r>
          </w:p>
        </w:tc>
      </w:tr>
      <w:tr>
        <w:tc>
          <w:tcPr>
            <w:tcW w:type="dxa" w:w="337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Expects efficiency gain</w:t>
            </w:r>
          </w:p>
        </w:tc>
        <w:tc>
          <w:tcPr>
            <w:tcW w:type="dxa" w:w="337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32</w:t>
            </w:r>
          </w:p>
        </w:tc>
        <w:tc>
          <w:tcPr>
            <w:tcW w:type="dxa" w:w="337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78.0</w:t>
            </w:r>
          </w:p>
        </w:tc>
      </w:tr>
      <w:tr>
        <w:tc>
          <w:tcPr>
            <w:tcW w:type="dxa" w:w="337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Willing to use an AI system (Yes)</w:t>
            </w:r>
          </w:p>
        </w:tc>
        <w:tc>
          <w:tcPr>
            <w:tcW w:type="dxa" w:w="337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13</w:t>
            </w:r>
          </w:p>
        </w:tc>
        <w:tc>
          <w:tcPr>
            <w:tcW w:type="dxa" w:w="337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31.7</w:t>
            </w:r>
          </w:p>
        </w:tc>
      </w:tr>
      <w:tr>
        <w:tc>
          <w:tcPr>
            <w:tcW w:type="dxa" w:w="337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Not willing to use AI (No)</w:t>
            </w:r>
          </w:p>
        </w:tc>
        <w:tc>
          <w:tcPr>
            <w:tcW w:type="dxa" w:w="337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28</w:t>
            </w:r>
          </w:p>
        </w:tc>
        <w:tc>
          <w:tcPr>
            <w:tcW w:type="dxa" w:w="337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68.3</w:t>
            </w:r>
          </w:p>
        </w:tc>
      </w:tr>
      <w:tr>
        <w:tc>
          <w:tcPr>
            <w:tcW w:type="dxa" w:w="337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Named privacy as a concern</w:t>
            </w:r>
          </w:p>
        </w:tc>
        <w:tc>
          <w:tcPr>
            <w:tcW w:type="dxa" w:w="337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17</w:t>
            </w:r>
          </w:p>
        </w:tc>
        <w:tc>
          <w:tcPr>
            <w:tcW w:type="dxa" w:w="337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41.5</w:t>
            </w:r>
          </w:p>
        </w:tc>
      </w:tr>
    </w:tbl>
    <w:p>
      <w:pPr>
        <w:pStyle w:val="BodyText"/>
        <w:spacing w:line="240" w:lineRule="auto" w:after="60"/>
      </w:pP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TABLE III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කියවීමේ දුෂ්කරතා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ranking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දක්වයි. ප්‍රධාන බාධකය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Too long (n=21)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වන අතර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Lack of time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Complex language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ඊළඟට එයි. මෙය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extractive compression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highlighted deadlines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යන නිර්මාණ තීරණ දෙකට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empirical backing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>ලබා දෙයි.</w:t>
      </w:r>
    </w:p>
    <w:p>
      <w:pPr>
        <w:pStyle w:val="figurecaption"/>
        <w:jc w:val="center"/>
      </w:pPr>
      <w:r>
        <w:rPr>
          <w:rFonts w:ascii="Times New Roman" w:hAnsi="Times New Roman" w:cs="Times New Roman" w:eastAsia="Times New Roman"/>
          <w:b/>
          <w:color w:val="000000"/>
          <w:sz w:val="16"/>
          <w:szCs w:val="16"/>
          <w:bCs/>
        </w:rPr>
        <w:t xml:space="preserve">TABLE III. </w:t>
      </w:r>
      <w:r>
        <w:rPr>
          <w:rFonts w:ascii="Times New Roman" w:hAnsi="Times New Roman" w:cs="Times New Roman" w:eastAsia="Times New Roman"/>
          <w:b w:val="0"/>
          <w:color w:val="000000"/>
          <w:sz w:val="16"/>
          <w:szCs w:val="16"/>
        </w:rPr>
        <w:t>REPORTED BARRIERS (GOOGLE FORMS, N=41)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73"/>
        <w:gridCol w:w="3373"/>
        <w:gridCol w:w="3373"/>
      </w:tblGrid>
      <w:tr>
        <w:tc>
          <w:tcPr>
            <w:tcW w:type="dxa" w:w="3373"/>
          </w:tcPr>
          <w:p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  <w:szCs w:val="16"/>
                <w:bCs/>
              </w:rPr>
              <w:t>Item</w:t>
            </w:r>
          </w:p>
        </w:tc>
        <w:tc>
          <w:tcPr>
            <w:tcW w:type="dxa" w:w="3373"/>
          </w:tcPr>
          <w:p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  <w:szCs w:val="16"/>
                <w:bCs/>
              </w:rPr>
              <w:t>n</w:t>
            </w:r>
          </w:p>
        </w:tc>
        <w:tc>
          <w:tcPr>
            <w:tcW w:type="dxa" w:w="3373"/>
          </w:tcPr>
          <w:p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  <w:szCs w:val="16"/>
                <w:bCs/>
              </w:rPr>
              <w:t>Share</w:t>
            </w:r>
          </w:p>
        </w:tc>
      </w:tr>
      <w:tr>
        <w:tc>
          <w:tcPr>
            <w:tcW w:type="dxa" w:w="337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Too long (main reading difficulty)</w:t>
            </w:r>
          </w:p>
        </w:tc>
        <w:tc>
          <w:tcPr>
            <w:tcW w:type="dxa" w:w="337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21</w:t>
            </w:r>
          </w:p>
        </w:tc>
        <w:tc>
          <w:tcPr>
            <w:tcW w:type="dxa" w:w="337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51.2%</w:t>
            </w:r>
          </w:p>
        </w:tc>
      </w:tr>
      <w:tr>
        <w:tc>
          <w:tcPr>
            <w:tcW w:type="dxa" w:w="337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Named privacy as AI adoption barrier</w:t>
            </w:r>
          </w:p>
        </w:tc>
        <w:tc>
          <w:tcPr>
            <w:tcW w:type="dxa" w:w="337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17</w:t>
            </w:r>
          </w:p>
        </w:tc>
        <w:tc>
          <w:tcPr>
            <w:tcW w:type="dxa" w:w="337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41.5%</w:t>
            </w:r>
          </w:p>
        </w:tc>
      </w:tr>
      <w:tr>
        <w:tc>
          <w:tcPr>
            <w:tcW w:type="dxa" w:w="337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Want summary feature</w:t>
            </w:r>
          </w:p>
        </w:tc>
        <w:tc>
          <w:tcPr>
            <w:tcW w:type="dxa" w:w="337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40</w:t>
            </w:r>
          </w:p>
        </w:tc>
        <w:tc>
          <w:tcPr>
            <w:tcW w:type="dxa" w:w="337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97.6%</w:t>
            </w:r>
          </w:p>
        </w:tc>
      </w:tr>
    </w:tbl>
    <w:p>
      <w:pPr>
        <w:pStyle w:val="BodyText"/>
        <w:spacing w:line="240" w:lineRule="auto" w:after="60"/>
      </w:pP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Fig. 3 difficulties,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එක්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circular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එකක් කියවීමට ගතවන කාලය, සහ සාරාංශ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format preference (bullet points vs short paragraph)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පෙන්වයි.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Fig. 4 AI-based system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භාවිතයට කැමැත්ත, ඉල්ලූ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features (automatic summarization, highlight dates, search, dashboard),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circular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වරදවා තේරුම් ගැනීමේ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impact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පෙන්වයි. ප්‍රතිචාර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confidential academic use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>සඳහා පමණි.</w:t>
      </w:r>
    </w:p>
    <w:p>
      <w:pPr>
        <w:pStyle w:val="BodyText"/>
        <w:jc w:val="center"/>
      </w:pPr>
      <w:r>
        <w:drawing>
          <wp:inline xmlns:a="http://schemas.openxmlformats.org/drawingml/2006/main" xmlns:pic="http://schemas.openxmlformats.org/drawingml/2006/picture" xmlns:r="http://schemas.openxmlformats.org/officeDocument/2006/relationships">
            <wp:extent cx="3096000" cy="4334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rvey-google-form-part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96000" cy="433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rPr>
          <w:rFonts w:ascii="Times New Roman" w:hAnsi="Times New Roman" w:cs="Times New Roman" w:eastAsia="Times New Roman"/>
          <w:b/>
          <w:color w:val="000000"/>
          <w:sz w:val="16"/>
          <w:szCs w:val="16"/>
          <w:bCs/>
        </w:rPr>
        <w:t xml:space="preserve">Fig. 4. </w:t>
      </w:r>
      <w:r>
        <w:rPr>
          <w:rFonts w:ascii="Times New Roman" w:hAnsi="Times New Roman" w:cs="Times New Roman" w:eastAsia="Times New Roman"/>
          <w:b w:val="0"/>
          <w:color w:val="000000"/>
          <w:sz w:val="16"/>
          <w:szCs w:val="16"/>
        </w:rPr>
        <w:t xml:space="preserve">Google Forms Part 3: AI use, requested features, </w:t>
      </w:r>
      <w:r>
        <w:rPr>
          <w:rFonts w:ascii="Iskoola Pota" w:hAnsi="Iskoola Pota" w:cs="Iskoola Pota" w:eastAsia="Iskoola Pota"/>
          <w:b w:val="0"/>
          <w:color w:val="000000"/>
          <w:sz w:val="16"/>
          <w:szCs w:val="16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16"/>
          <w:szCs w:val="16"/>
        </w:rPr>
        <w:t>misunderstanding impact.</w:t>
      </w:r>
    </w:p>
    <w:p>
      <w:pPr>
        <w:pStyle w:val="BodyText"/>
        <w:jc w:val="center"/>
      </w:pPr>
      <w:r>
        <w:drawing>
          <wp:inline xmlns:a="http://schemas.openxmlformats.org/drawingml/2006/main" xmlns:pic="http://schemas.openxmlformats.org/drawingml/2006/picture" xmlns:r="http://schemas.openxmlformats.org/officeDocument/2006/relationships">
            <wp:extent cx="3096000" cy="4334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rvey-google-form-part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96000" cy="433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rPr>
          <w:rFonts w:ascii="Times New Roman" w:hAnsi="Times New Roman" w:cs="Times New Roman" w:eastAsia="Times New Roman"/>
          <w:b/>
          <w:color w:val="000000"/>
          <w:sz w:val="16"/>
          <w:szCs w:val="16"/>
          <w:bCs/>
        </w:rPr>
        <w:t xml:space="preserve">Fig. 3. </w:t>
      </w:r>
      <w:r>
        <w:rPr>
          <w:rFonts w:ascii="Times New Roman" w:hAnsi="Times New Roman" w:cs="Times New Roman" w:eastAsia="Times New Roman"/>
          <w:b w:val="0"/>
          <w:color w:val="000000"/>
          <w:sz w:val="16"/>
          <w:szCs w:val="16"/>
        </w:rPr>
        <w:t xml:space="preserve">Google Forms Part 2: reading difficulties, time spent, </w:t>
      </w:r>
      <w:r>
        <w:rPr>
          <w:rFonts w:ascii="Iskoola Pota" w:hAnsi="Iskoola Pota" w:cs="Iskoola Pota" w:eastAsia="Iskoola Pota"/>
          <w:b w:val="0"/>
          <w:color w:val="000000"/>
          <w:sz w:val="16"/>
          <w:szCs w:val="16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16"/>
          <w:szCs w:val="16"/>
        </w:rPr>
        <w:t>summary format.</w:t>
      </w:r>
    </w:p>
    <w:p>
      <w:pPr>
        <w:pStyle w:val="BodyText"/>
        <w:spacing w:line="240" w:lineRule="auto" w:after="60"/>
      </w:pP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සමීක්ෂණය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UAT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එක ප්‍රතිස්ථාපනය නොකරයි. එය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requirement elicitation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සාක්ෂියකි. නිර්මාණ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implication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>තුනකි: (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i) summary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NER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මූලික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product surface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>විය යුතුය; (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ii) AI default cloud call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එකක් නොවිය යුතුය,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local Ollama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විකල්පය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privacy hesitation (68.3%)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>ආමන්ත්‍රණය කරයි; (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iii) human review gate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විශ්වාසය ගොඩනැගීමේ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control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එකකි,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OCR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දෝෂ පමණක් නොව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staff accountability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සඳහාද.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Convenience sample (n=41)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නිසා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national generalisation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>නොකරයි.</w:t>
      </w:r>
    </w:p>
    <w:p>
      <w:pPr>
        <w:pStyle w:val="Heading1"/>
        <w:spacing w:before="120" w:after="60"/>
      </w:pPr>
      <w:r>
        <w:rPr>
          <w:rFonts w:ascii="Times New Roman" w:hAnsi="Times New Roman" w:cs="Times New Roman" w:eastAsia="Times New Roman"/>
          <w:b/>
          <w:color w:val="000000"/>
          <w:sz w:val="20"/>
          <w:szCs w:val="20"/>
          <w:bCs/>
        </w:rPr>
        <w:t>IV. PROPOSED SYSTEM</w:t>
      </w:r>
    </w:p>
    <w:p>
      <w:pPr>
        <w:pStyle w:val="BodyText"/>
        <w:spacing w:line="240" w:lineRule="auto" w:after="60"/>
      </w:pP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EasyCircular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ත්‍රිස්ථර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distributed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>ගෘහනිර්මාණයක් (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three-tier architecture)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>අනුගමනය කරයි (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Fig. 5). Presentation tier: Next.js 14 frontend (port 3002). Application tier: Express.js REST API (port 4000), JWT authentication, PDF upload, MongoDB cache, rate limiting. AI tier: FastAPI microservice (port 5000), PDF parse, OCR, named entity recognition (NER), summarization, guardrails. Data tier: MongoDB (port 27017). Optional local LLM: Ollama llama3.2:3b privacy-conscious deployments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සඳහා [5].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TABLE IV technology stack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>සහ තෝරා ගැනීමේ හේතු සාරාංශ කරයි.</w:t>
      </w:r>
    </w:p>
    <w:p>
      <w:pPr>
        <w:pStyle w:val="BodyText"/>
        <w:jc w:val="center"/>
      </w:pPr>
      <w:r>
        <w:drawing>
          <wp:inline xmlns:a="http://schemas.openxmlformats.org/drawingml/2006/main" xmlns:pic="http://schemas.openxmlformats.org/drawingml/2006/picture" xmlns:r="http://schemas.openxmlformats.org/officeDocument/2006/relationships">
            <wp:extent cx="3096000" cy="19902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96000" cy="1990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rPr>
          <w:rFonts w:ascii="Times New Roman" w:hAnsi="Times New Roman" w:cs="Times New Roman" w:eastAsia="Times New Roman"/>
          <w:b/>
          <w:color w:val="000000"/>
          <w:sz w:val="16"/>
          <w:szCs w:val="16"/>
          <w:bCs/>
        </w:rPr>
        <w:t xml:space="preserve">Fig. 5. </w:t>
      </w:r>
      <w:r>
        <w:rPr>
          <w:rFonts w:ascii="Times New Roman" w:hAnsi="Times New Roman" w:cs="Times New Roman" w:eastAsia="Times New Roman"/>
          <w:b w:val="0"/>
          <w:color w:val="000000"/>
          <w:sz w:val="16"/>
          <w:szCs w:val="16"/>
        </w:rPr>
        <w:t xml:space="preserve">EasyCircular </w:t>
      </w:r>
      <w:r>
        <w:rPr>
          <w:rFonts w:ascii="Iskoola Pota" w:hAnsi="Iskoola Pota" w:cs="Iskoola Pota" w:eastAsia="Iskoola Pota"/>
          <w:b w:val="0"/>
          <w:color w:val="000000"/>
          <w:sz w:val="16"/>
          <w:szCs w:val="16"/>
        </w:rPr>
        <w:t xml:space="preserve">ත්‍රිස්ථර ගෘහනිර්මාණය: </w:t>
      </w:r>
      <w:r>
        <w:rPr>
          <w:rFonts w:ascii="Times New Roman" w:hAnsi="Times New Roman" w:cs="Times New Roman" w:eastAsia="Times New Roman"/>
          <w:b w:val="0"/>
          <w:color w:val="000000"/>
          <w:sz w:val="16"/>
          <w:szCs w:val="16"/>
        </w:rPr>
        <w:t xml:space="preserve">Frontend (:3002), Backend (:4000), AI service (:5000) </w:t>
      </w:r>
      <w:r>
        <w:rPr>
          <w:rFonts w:ascii="Iskoola Pota" w:hAnsi="Iskoola Pota" w:cs="Iskoola Pota" w:eastAsia="Iskoola Pota"/>
          <w:b w:val="0"/>
          <w:color w:val="000000"/>
          <w:sz w:val="16"/>
          <w:szCs w:val="16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16"/>
          <w:szCs w:val="16"/>
        </w:rPr>
        <w:t>MongoDB.</w:t>
      </w:r>
    </w:p>
    <w:p>
      <w:pPr>
        <w:pStyle w:val="figurecaption"/>
        <w:jc w:val="center"/>
      </w:pPr>
      <w:r>
        <w:rPr>
          <w:rFonts w:ascii="Times New Roman" w:hAnsi="Times New Roman" w:cs="Times New Roman" w:eastAsia="Times New Roman"/>
          <w:b/>
          <w:color w:val="000000"/>
          <w:sz w:val="16"/>
          <w:szCs w:val="16"/>
          <w:bCs/>
        </w:rPr>
        <w:t xml:space="preserve">TABLE IV. </w:t>
      </w:r>
      <w:r>
        <w:rPr>
          <w:rFonts w:ascii="Times New Roman" w:hAnsi="Times New Roman" w:cs="Times New Roman" w:eastAsia="Times New Roman"/>
          <w:b w:val="0"/>
          <w:color w:val="000000"/>
          <w:sz w:val="16"/>
          <w:szCs w:val="16"/>
        </w:rPr>
        <w:t>EASYCIRCULAR TECHNOLOGY STACK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73"/>
        <w:gridCol w:w="3373"/>
        <w:gridCol w:w="3373"/>
      </w:tblGrid>
      <w:tr>
        <w:tc>
          <w:tcPr>
            <w:tcW w:type="dxa" w:w="3373"/>
          </w:tcPr>
          <w:p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  <w:szCs w:val="16"/>
                <w:bCs/>
              </w:rPr>
              <w:t>Layer</w:t>
            </w:r>
          </w:p>
        </w:tc>
        <w:tc>
          <w:tcPr>
            <w:tcW w:type="dxa" w:w="3373"/>
          </w:tcPr>
          <w:p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  <w:szCs w:val="16"/>
                <w:bCs/>
              </w:rPr>
              <w:t>Technology</w:t>
            </w:r>
          </w:p>
        </w:tc>
        <w:tc>
          <w:tcPr>
            <w:tcW w:type="dxa" w:w="3373"/>
          </w:tcPr>
          <w:p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  <w:szCs w:val="16"/>
                <w:bCs/>
              </w:rPr>
              <w:t>Note</w:t>
            </w:r>
          </w:p>
        </w:tc>
      </w:tr>
      <w:tr>
        <w:tc>
          <w:tcPr>
            <w:tcW w:type="dxa" w:w="337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Frontend</w:t>
            </w:r>
          </w:p>
        </w:tc>
        <w:tc>
          <w:tcPr>
            <w:tcW w:type="dxa" w:w="337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Next.js 14, TypeScript</w:t>
            </w:r>
          </w:p>
        </w:tc>
        <w:tc>
          <w:tcPr>
            <w:tcW w:type="dxa" w:w="337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port 3002</w:t>
            </w:r>
          </w:p>
        </w:tc>
      </w:tr>
      <w:tr>
        <w:tc>
          <w:tcPr>
            <w:tcW w:type="dxa" w:w="337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Backend</w:t>
            </w:r>
          </w:p>
        </w:tc>
        <w:tc>
          <w:tcPr>
            <w:tcW w:type="dxa" w:w="337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Express, JWT, Mongoose</w:t>
            </w:r>
          </w:p>
        </w:tc>
        <w:tc>
          <w:tcPr>
            <w:tcW w:type="dxa" w:w="337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port 4000</w:t>
            </w:r>
          </w:p>
        </w:tc>
      </w:tr>
      <w:tr>
        <w:tc>
          <w:tcPr>
            <w:tcW w:type="dxa" w:w="337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AI service</w:t>
            </w:r>
          </w:p>
        </w:tc>
        <w:tc>
          <w:tcPr>
            <w:tcW w:type="dxa" w:w="337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FastAPI, SpaCy, Tesseract</w:t>
            </w:r>
          </w:p>
        </w:tc>
        <w:tc>
          <w:tcPr>
            <w:tcW w:type="dxa" w:w="337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port 5000</w:t>
            </w:r>
          </w:p>
        </w:tc>
      </w:tr>
      <w:tr>
        <w:tc>
          <w:tcPr>
            <w:tcW w:type="dxa" w:w="337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Data</w:t>
            </w:r>
          </w:p>
        </w:tc>
        <w:tc>
          <w:tcPr>
            <w:tcW w:type="dxa" w:w="337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MongoDB 7</w:t>
            </w:r>
          </w:p>
        </w:tc>
        <w:tc>
          <w:tcPr>
            <w:tcW w:type="dxa" w:w="337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port 27017</w:t>
            </w:r>
          </w:p>
        </w:tc>
      </w:tr>
      <w:tr>
        <w:tc>
          <w:tcPr>
            <w:tcW w:type="dxa" w:w="337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LLM (optional)</w:t>
            </w:r>
          </w:p>
        </w:tc>
        <w:tc>
          <w:tcPr>
            <w:tcW w:type="dxa" w:w="337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Ollama llama3.2:3b</w:t>
            </w:r>
          </w:p>
        </w:tc>
        <w:tc>
          <w:tcPr>
            <w:tcW w:type="dxa" w:w="337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local privacy</w:t>
            </w:r>
          </w:p>
        </w:tc>
      </w:tr>
    </w:tbl>
    <w:p>
      <w:pPr>
        <w:pStyle w:val="BodyText"/>
        <w:spacing w:line="240" w:lineRule="auto" w:after="60"/>
      </w:pP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Workflow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එක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Upload, Extract, Review, Summarize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යන පියවර හතරකි. පරිශීලකයා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PDF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එක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upload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කර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extract text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ක්‍රියාව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execute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කරයි.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Scanned pages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සඳහා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OCR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දිගු කාලය ගත කරයි.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Review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පියවරේ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editor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එකෙන් පෙළ සංස්කරණය කර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Save edits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කිරීමෙන් පසු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Text is correct confirm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කළ පසු පමණක්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Generate summary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බොත්තම සක්‍රිය වේ. මෙම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human-in-the-loop gate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එක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OCR misreads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stamps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වැනි දෝෂ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summarization pipeline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>එකට ඇතුළු වීම අවසර නොදේ.</w:t>
      </w:r>
    </w:p>
    <w:p>
      <w:pPr>
        <w:pStyle w:val="BodyText"/>
        <w:spacing w:line="240" w:lineRule="auto" w:after="60"/>
      </w:pP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AI pipeline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එක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SpaCy NER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මගින්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entities (dates, organizations, legal references) highlight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කර,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LangChain map-reduce chain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එකක්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llama3.2:3b call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කර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structured summary (purpose, actions, deadlines)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ජනනය කරයි.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Guardrails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මගින් සාරාංශයේ දින මුල් පෙළ සමඟ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match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වන බව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verify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කර,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invented dates remove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කර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extractive fallback activate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කරයි. නිරීක්ෂිත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guardrail rejection rate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ආසන්න වශයෙන් 15% විය.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Content-hash caching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නැවත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process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කිරීම ~114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ms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තුළ සම්පූර්ණ කරයි.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Fig. 6 workflow UI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එකේ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summary panel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>එක පෙන්වයි.</w:t>
      </w:r>
    </w:p>
    <w:p>
      <w:pPr>
        <w:pStyle w:val="BodyText"/>
        <w:jc w:val="center"/>
      </w:pPr>
      <w:r>
        <w:drawing>
          <wp:inline xmlns:a="http://schemas.openxmlformats.org/drawingml/2006/main" xmlns:pic="http://schemas.openxmlformats.org/drawingml/2006/picture" xmlns:r="http://schemas.openxmlformats.org/officeDocument/2006/relationships">
            <wp:extent cx="3096000" cy="193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06-summar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96000" cy="19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rPr>
          <w:rFonts w:ascii="Times New Roman" w:hAnsi="Times New Roman" w:cs="Times New Roman" w:eastAsia="Times New Roman"/>
          <w:b/>
          <w:color w:val="000000"/>
          <w:sz w:val="16"/>
          <w:szCs w:val="16"/>
          <w:bCs/>
        </w:rPr>
        <w:t xml:space="preserve">Fig. 6. </w:t>
      </w:r>
      <w:r>
        <w:rPr>
          <w:rFonts w:ascii="Iskoola Pota" w:hAnsi="Iskoola Pota" w:cs="Iskoola Pota" w:eastAsia="Iskoola Pota"/>
          <w:b w:val="0"/>
          <w:color w:val="000000"/>
          <w:sz w:val="16"/>
          <w:szCs w:val="16"/>
        </w:rPr>
        <w:t xml:space="preserve">සාරාංශ </w:t>
      </w:r>
      <w:r>
        <w:rPr>
          <w:rFonts w:ascii="Times New Roman" w:hAnsi="Times New Roman" w:cs="Times New Roman" w:eastAsia="Times New Roman"/>
          <w:b w:val="0"/>
          <w:color w:val="000000"/>
          <w:sz w:val="16"/>
          <w:szCs w:val="16"/>
        </w:rPr>
        <w:t xml:space="preserve">panel: structured brief, entity highlights </w:t>
      </w:r>
      <w:r>
        <w:rPr>
          <w:rFonts w:ascii="Iskoola Pota" w:hAnsi="Iskoola Pota" w:cs="Iskoola Pota" w:eastAsia="Iskoola Pota"/>
          <w:b w:val="0"/>
          <w:color w:val="000000"/>
          <w:sz w:val="16"/>
          <w:szCs w:val="16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16"/>
          <w:szCs w:val="16"/>
        </w:rPr>
        <w:t>export/translate tabs.</w:t>
      </w:r>
    </w:p>
    <w:p>
      <w:pPr>
        <w:pStyle w:val="BodyText"/>
        <w:spacing w:line="240" w:lineRule="auto" w:after="60"/>
      </w:pP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Functional requirements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සමීක්ෂණයෙන් ව්‍යුත්පන්න විය: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>FR1 PDF upload; FR2 OCR extraction; FR3 human text edit; FR4 summary; FR5 entity highlighting; FR6 action items; FR7 circular list; FR8 MOE catalog import. Non-functional: JWT security, health checks, mobile UI, local Ollama privacy, Docker maintainability.</w:t>
      </w:r>
    </w:p>
    <w:p>
      <w:pPr>
        <w:pStyle w:val="BodyText"/>
        <w:spacing w:line="240" w:lineRule="auto" w:after="60"/>
      </w:pP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Pipeline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එක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Fig. 7 algorithm flowchart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එකෙන්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summarize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වේ. (1)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PDF ingest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magic-byte validation. (2) digital extract; scanned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නම්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Tesseract OCR. (3) user edit + Text is correct. (4) SpaCy NER + map-reduce summary. (5) date guardrail; fail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නම්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TextRank-style extractive fallback. (6) persist Circular, Entity, Summary in MongoDB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UI highlight. Domain model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එක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User, Circular, Summary, Entity associations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>මත පදනම් වේ (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>Fig. 8).</w:t>
      </w:r>
    </w:p>
    <w:p>
      <w:pPr>
        <w:pStyle w:val="BodyText"/>
        <w:jc w:val="center"/>
      </w:pPr>
      <w:r>
        <w:drawing>
          <wp:inline xmlns:a="http://schemas.openxmlformats.org/drawingml/2006/main" xmlns:pic="http://schemas.openxmlformats.org/drawingml/2006/picture" xmlns:r="http://schemas.openxmlformats.org/officeDocument/2006/relationships">
            <wp:extent cx="3096000" cy="19902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-diagram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96000" cy="1990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rPr>
          <w:rFonts w:ascii="Times New Roman" w:hAnsi="Times New Roman" w:cs="Times New Roman" w:eastAsia="Times New Roman"/>
          <w:b/>
          <w:color w:val="000000"/>
          <w:sz w:val="16"/>
          <w:szCs w:val="16"/>
          <w:bCs/>
        </w:rPr>
        <w:t xml:space="preserve">Fig. 8. </w:t>
      </w:r>
      <w:r>
        <w:rPr>
          <w:rFonts w:ascii="Times New Roman" w:hAnsi="Times New Roman" w:cs="Times New Roman" w:eastAsia="Times New Roman"/>
          <w:b w:val="0"/>
          <w:color w:val="000000"/>
          <w:sz w:val="16"/>
          <w:szCs w:val="16"/>
        </w:rPr>
        <w:t xml:space="preserve">Domain model: User, Circular, Summary, Entity </w:t>
      </w:r>
      <w:r>
        <w:rPr>
          <w:rFonts w:ascii="Iskoola Pota" w:hAnsi="Iskoola Pota" w:cs="Iskoola Pota" w:eastAsia="Iskoola Pota"/>
          <w:b w:val="0"/>
          <w:color w:val="000000"/>
          <w:sz w:val="16"/>
          <w:szCs w:val="16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16"/>
          <w:szCs w:val="16"/>
        </w:rPr>
        <w:t>AI service client.</w:t>
      </w:r>
    </w:p>
    <w:p>
      <w:pPr>
        <w:pStyle w:val="BodyText"/>
        <w:jc w:val="center"/>
      </w:pPr>
      <w:r>
        <w:drawing>
          <wp:inline xmlns:a="http://schemas.openxmlformats.org/drawingml/2006/main" xmlns:pic="http://schemas.openxmlformats.org/drawingml/2006/picture" xmlns:r="http://schemas.openxmlformats.org/officeDocument/2006/relationships">
            <wp:extent cx="3096000" cy="4128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gorithm-flowchar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96000" cy="4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rPr>
          <w:rFonts w:ascii="Times New Roman" w:hAnsi="Times New Roman" w:cs="Times New Roman" w:eastAsia="Times New Roman"/>
          <w:b/>
          <w:color w:val="000000"/>
          <w:sz w:val="16"/>
          <w:szCs w:val="16"/>
          <w:bCs/>
        </w:rPr>
        <w:t xml:space="preserve">Fig. 7. </w:t>
      </w:r>
      <w:r>
        <w:rPr>
          <w:rFonts w:ascii="Times New Roman" w:hAnsi="Times New Roman" w:cs="Times New Roman" w:eastAsia="Times New Roman"/>
          <w:b w:val="0"/>
          <w:color w:val="000000"/>
          <w:sz w:val="16"/>
          <w:szCs w:val="16"/>
        </w:rPr>
        <w:t>EasyCircular processing algorithm: ingest, OCR, human review, NER, guarded summarization, fallback.</w:t>
      </w:r>
    </w:p>
    <w:p>
      <w:pPr>
        <w:pStyle w:val="Heading1"/>
        <w:spacing w:before="120" w:after="60"/>
      </w:pPr>
      <w:r>
        <w:rPr>
          <w:rFonts w:ascii="Times New Roman" w:hAnsi="Times New Roman" w:cs="Times New Roman" w:eastAsia="Times New Roman"/>
          <w:b/>
          <w:color w:val="000000"/>
          <w:sz w:val="20"/>
          <w:szCs w:val="20"/>
          <w:bCs/>
        </w:rPr>
        <w:t>V. EXPERIMENTS AND RESULTS</w:t>
      </w:r>
    </w:p>
    <w:p>
      <w:pPr>
        <w:pStyle w:val="BodyText"/>
        <w:spacing w:line="240" w:lineRule="auto" w:after="60"/>
      </w:pP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>තක්සේරුව තුන් මානයකින් සමන්විත වේ: (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i)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යෙදවූ පද්ධතියේ මෙහෙයුම් සෞඛ්‍යය සහ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pipeline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>කාර්ය සාධනය; (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ii)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මානව යොමු සාරාංශ සමඟ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ROUGE; (iii)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නියමු චක්‍රලේඛ සැකසුම් සහ සමීක්ෂණ සාක්ෂි.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Docker Compose/local Windows stack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එකේ ත්‍රිස්ථර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deployment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සමඟ ක්‍රියාත්මක වන විට සිදු කරන ලදී.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Phase 1 verification AI service, backend (MongoDB + AI reachable)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frontend HTTP 200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සාර්ථක බව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confirm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කළේය.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Phase 4 verification authenticated upload, extract, summarize MVP flow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>සම්පූර්ණ බව පෙන්වා දුන්නේය.</w:t>
      </w:r>
    </w:p>
    <w:p>
      <w:pPr>
        <w:pStyle w:val="BodyText"/>
        <w:spacing w:line="240" w:lineRule="auto" w:after="60"/>
      </w:pP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TABLE V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>කාර්ය සාධනය (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performance)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සාරාංශ කරයි: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digital-born PDF pdfplumber extraction ~1.2 s; OCR-required scanned sample ~6.8 s per document; cold LLM call 8–15 s; cached re-process ~114 ms.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මෙය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human review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ඇතුළත් පාසල්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workflow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එකට ප්‍රායෝගික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acceptability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පෙන්වයි. නිෂ්පාදන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SLA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එකක් ප්‍රකාශ නොකරන අතර මිනුම්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staging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>පරිසරයකි.</w:t>
      </w:r>
    </w:p>
    <w:p>
      <w:pPr>
        <w:pStyle w:val="figurecaption"/>
        <w:jc w:val="center"/>
      </w:pPr>
      <w:r>
        <w:rPr>
          <w:rFonts w:ascii="Times New Roman" w:hAnsi="Times New Roman" w:cs="Times New Roman" w:eastAsia="Times New Roman"/>
          <w:b/>
          <w:color w:val="000000"/>
          <w:sz w:val="16"/>
          <w:szCs w:val="16"/>
          <w:bCs/>
        </w:rPr>
        <w:t xml:space="preserve">TABLE V. </w:t>
      </w:r>
      <w:r>
        <w:rPr>
          <w:rFonts w:ascii="Times New Roman" w:hAnsi="Times New Roman" w:cs="Times New Roman" w:eastAsia="Times New Roman"/>
          <w:b w:val="0"/>
          <w:color w:val="000000"/>
          <w:sz w:val="16"/>
          <w:szCs w:val="16"/>
        </w:rPr>
        <w:t>PIPELINE LATENCY ON STAGING STACK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60"/>
        <w:gridCol w:w="5060"/>
      </w:tblGrid>
      <w:tr>
        <w:tc>
          <w:tcPr>
            <w:tcW w:type="dxa" w:w="5060"/>
          </w:tcPr>
          <w:p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  <w:szCs w:val="16"/>
                <w:bCs/>
              </w:rPr>
              <w:t>Stage</w:t>
            </w:r>
          </w:p>
        </w:tc>
        <w:tc>
          <w:tcPr>
            <w:tcW w:type="dxa" w:w="5060"/>
          </w:tcPr>
          <w:p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  <w:szCs w:val="16"/>
                <w:bCs/>
              </w:rPr>
              <w:t>Typical time</w:t>
            </w:r>
          </w:p>
        </w:tc>
      </w:tr>
      <w:tr>
        <w:tc>
          <w:tcPr>
            <w:tcW w:type="dxa" w:w="5060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Digital PDF extract (pdfplumber)</w:t>
            </w:r>
          </w:p>
        </w:tc>
        <w:tc>
          <w:tcPr>
            <w:tcW w:type="dxa" w:w="5060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~1.2 s</w:t>
            </w:r>
          </w:p>
        </w:tc>
      </w:tr>
      <w:tr>
        <w:tc>
          <w:tcPr>
            <w:tcW w:type="dxa" w:w="5060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OCR scanned sample</w:t>
            </w:r>
          </w:p>
        </w:tc>
        <w:tc>
          <w:tcPr>
            <w:tcW w:type="dxa" w:w="5060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~6.8 s</w:t>
            </w:r>
          </w:p>
        </w:tc>
      </w:tr>
      <w:tr>
        <w:tc>
          <w:tcPr>
            <w:tcW w:type="dxa" w:w="5060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Cold LLM call</w:t>
            </w:r>
          </w:p>
        </w:tc>
        <w:tc>
          <w:tcPr>
            <w:tcW w:type="dxa" w:w="5060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8–15 s</w:t>
            </w:r>
          </w:p>
        </w:tc>
      </w:tr>
      <w:tr>
        <w:tc>
          <w:tcPr>
            <w:tcW w:type="dxa" w:w="5060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Cached re-process</w:t>
            </w:r>
          </w:p>
        </w:tc>
        <w:tc>
          <w:tcPr>
            <w:tcW w:type="dxa" w:w="5060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~114 ms</w:t>
            </w:r>
          </w:p>
        </w:tc>
      </w:tr>
    </w:tbl>
    <w:p>
      <w:pPr>
        <w:pStyle w:val="BodyText"/>
        <w:spacing w:line="240" w:lineRule="auto" w:after="60"/>
      </w:pP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සාරාංශ ගුණාත්මකභාවය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recall-oriented understudy for gisting evaluation (ROUGE) [2]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මගින් මනින ලදී.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MOE circulars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හයක් සඳහා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human reference summaries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සමඟ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extractive/fallback mode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එක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compare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කරන ලදී. බාහිර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LLM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යැපීම අවම කිරීමට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fallback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මාදිලිය ප්‍රධාන වාර්තාකරණයට තෝරා ගන්නා ලදී.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>TABLE VI circular-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පාඩි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F1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අගයන් දක්වයි.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Macro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අගයන්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ROUGE-1 F1 = 0.414, ROUGE-2 F1 = 0.215, ROUGE-L F1 = 0.292.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කෙටි කේන්ද්‍රගත චක්‍රලේඛවල ඉහළ අගයන් ලැබුණු අතර දිගු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boilerplate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ලේඛනවල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bigram overlap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අඩු විය.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Fig. 9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Fig. 10 bar charts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මගින්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ROUGE F1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entity/action counts visualize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>කරයි.</w:t>
      </w:r>
    </w:p>
    <w:p>
      <w:pPr>
        <w:pStyle w:val="BodyText"/>
        <w:jc w:val="center"/>
      </w:pPr>
      <w:r>
        <w:drawing>
          <wp:inline xmlns:a="http://schemas.openxmlformats.org/drawingml/2006/main" xmlns:pic="http://schemas.openxmlformats.org/drawingml/2006/picture" xmlns:r="http://schemas.openxmlformats.org/officeDocument/2006/relationships">
            <wp:extent cx="3096000" cy="152262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al-sample-entiti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96000" cy="1522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rPr>
          <w:rFonts w:ascii="Times New Roman" w:hAnsi="Times New Roman" w:cs="Times New Roman" w:eastAsia="Times New Roman"/>
          <w:b/>
          <w:color w:val="000000"/>
          <w:sz w:val="16"/>
          <w:szCs w:val="16"/>
          <w:bCs/>
        </w:rPr>
        <w:t xml:space="preserve">Fig. 10. </w:t>
      </w:r>
      <w:r>
        <w:rPr>
          <w:rFonts w:ascii="Times New Roman" w:hAnsi="Times New Roman" w:cs="Times New Roman" w:eastAsia="Times New Roman"/>
          <w:b w:val="0"/>
          <w:color w:val="000000"/>
          <w:sz w:val="16"/>
          <w:szCs w:val="16"/>
        </w:rPr>
        <w:t xml:space="preserve">Sample circular evaluation: DATE, ORG, LAW entities </w:t>
      </w:r>
      <w:r>
        <w:rPr>
          <w:rFonts w:ascii="Iskoola Pota" w:hAnsi="Iskoola Pota" w:cs="Iskoola Pota" w:eastAsia="Iskoola Pota"/>
          <w:b w:val="0"/>
          <w:color w:val="000000"/>
          <w:sz w:val="16"/>
          <w:szCs w:val="16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16"/>
          <w:szCs w:val="16"/>
        </w:rPr>
        <w:t>action items counts.</w:t>
      </w:r>
    </w:p>
    <w:p>
      <w:pPr>
        <w:pStyle w:val="BodyText"/>
        <w:jc w:val="center"/>
      </w:pPr>
      <w:r>
        <w:drawing>
          <wp:inline xmlns:a="http://schemas.openxmlformats.org/drawingml/2006/main" xmlns:pic="http://schemas.openxmlformats.org/drawingml/2006/picture" xmlns:r="http://schemas.openxmlformats.org/officeDocument/2006/relationships">
            <wp:extent cx="3096000" cy="169754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al-rouge-char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96000" cy="1697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rPr>
          <w:rFonts w:ascii="Times New Roman" w:hAnsi="Times New Roman" w:cs="Times New Roman" w:eastAsia="Times New Roman"/>
          <w:b/>
          <w:color w:val="000000"/>
          <w:sz w:val="16"/>
          <w:szCs w:val="16"/>
          <w:bCs/>
        </w:rPr>
        <w:t xml:space="preserve">Fig. 9. </w:t>
      </w:r>
      <w:r>
        <w:rPr>
          <w:rFonts w:ascii="Times New Roman" w:hAnsi="Times New Roman" w:cs="Times New Roman" w:eastAsia="Times New Roman"/>
          <w:b w:val="0"/>
          <w:color w:val="000000"/>
          <w:sz w:val="16"/>
          <w:szCs w:val="16"/>
        </w:rPr>
        <w:t xml:space="preserve">ROUGE F1 </w:t>
      </w:r>
      <w:r>
        <w:rPr>
          <w:rFonts w:ascii="Iskoola Pota" w:hAnsi="Iskoola Pota" w:cs="Iskoola Pota" w:eastAsia="Iskoola Pota"/>
          <w:b w:val="0"/>
          <w:color w:val="000000"/>
          <w:sz w:val="16"/>
          <w:szCs w:val="16"/>
        </w:rPr>
        <w:t xml:space="preserve">අගයන් </w:t>
      </w:r>
      <w:r>
        <w:rPr>
          <w:rFonts w:ascii="Times New Roman" w:hAnsi="Times New Roman" w:cs="Times New Roman" w:eastAsia="Times New Roman"/>
          <w:b w:val="0"/>
          <w:color w:val="000000"/>
          <w:sz w:val="16"/>
          <w:szCs w:val="16"/>
        </w:rPr>
        <w:t>circular-</w:t>
      </w:r>
      <w:r>
        <w:rPr>
          <w:rFonts w:ascii="Iskoola Pota" w:hAnsi="Iskoola Pota" w:cs="Iskoola Pota" w:eastAsia="Iskoola Pota"/>
          <w:b w:val="0"/>
          <w:color w:val="000000"/>
          <w:sz w:val="16"/>
          <w:szCs w:val="16"/>
        </w:rPr>
        <w:t>පාඩි වලින් (</w:t>
      </w:r>
      <w:r>
        <w:rPr>
          <w:rFonts w:ascii="Times New Roman" w:hAnsi="Times New Roman" w:cs="Times New Roman" w:eastAsia="Times New Roman"/>
          <w:b w:val="0"/>
          <w:color w:val="000000"/>
          <w:sz w:val="16"/>
          <w:szCs w:val="16"/>
        </w:rPr>
        <w:t xml:space="preserve">fallback mode): ROUGE-1, ROUGE-2 </w:t>
      </w:r>
      <w:r>
        <w:rPr>
          <w:rFonts w:ascii="Iskoola Pota" w:hAnsi="Iskoola Pota" w:cs="Iskoola Pota" w:eastAsia="Iskoola Pota"/>
          <w:b w:val="0"/>
          <w:color w:val="000000"/>
          <w:sz w:val="16"/>
          <w:szCs w:val="16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16"/>
          <w:szCs w:val="16"/>
        </w:rPr>
        <w:t>ROUGE-L.</w:t>
      </w:r>
    </w:p>
    <w:p>
      <w:pPr>
        <w:pStyle w:val="figurecaption"/>
        <w:jc w:val="center"/>
      </w:pPr>
      <w:r>
        <w:rPr>
          <w:rFonts w:ascii="Times New Roman" w:hAnsi="Times New Roman" w:cs="Times New Roman" w:eastAsia="Times New Roman"/>
          <w:b/>
          <w:color w:val="000000"/>
          <w:sz w:val="16"/>
          <w:szCs w:val="16"/>
          <w:bCs/>
        </w:rPr>
        <w:t xml:space="preserve">TABLE VI. </w:t>
      </w:r>
      <w:r>
        <w:rPr>
          <w:rFonts w:ascii="Times New Roman" w:hAnsi="Times New Roman" w:cs="Times New Roman" w:eastAsia="Times New Roman"/>
          <w:b w:val="0"/>
          <w:color w:val="000000"/>
          <w:sz w:val="16"/>
          <w:szCs w:val="16"/>
        </w:rPr>
        <w:t>ROUGE F1 BY CIRCULAR (FALLBACK MODE)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30"/>
        <w:gridCol w:w="2530"/>
        <w:gridCol w:w="2530"/>
        <w:gridCol w:w="2530"/>
      </w:tblGrid>
      <w:tr>
        <w:tc>
          <w:tcPr>
            <w:tcW w:type="dxa" w:w="2530"/>
          </w:tcPr>
          <w:p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  <w:szCs w:val="16"/>
                <w:bCs/>
              </w:rPr>
              <w:t>Circular</w:t>
            </w:r>
          </w:p>
        </w:tc>
        <w:tc>
          <w:tcPr>
            <w:tcW w:type="dxa" w:w="2530"/>
          </w:tcPr>
          <w:p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  <w:szCs w:val="16"/>
                <w:bCs/>
              </w:rPr>
              <w:t>R-1</w:t>
            </w:r>
          </w:p>
        </w:tc>
        <w:tc>
          <w:tcPr>
            <w:tcW w:type="dxa" w:w="2530"/>
          </w:tcPr>
          <w:p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  <w:szCs w:val="16"/>
                <w:bCs/>
              </w:rPr>
              <w:t>R-2</w:t>
            </w:r>
          </w:p>
        </w:tc>
        <w:tc>
          <w:tcPr>
            <w:tcW w:type="dxa" w:w="2530"/>
          </w:tcPr>
          <w:p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  <w:szCs w:val="16"/>
                <w:bCs/>
              </w:rPr>
              <w:t>R-L</w:t>
            </w:r>
          </w:p>
        </w:tc>
      </w:tr>
      <w:tr>
        <w:tc>
          <w:tcPr>
            <w:tcW w:type="dxa" w:w="2530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10-2026</w:t>
            </w:r>
          </w:p>
        </w:tc>
        <w:tc>
          <w:tcPr>
            <w:tcW w:type="dxa" w:w="2530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0.394</w:t>
            </w:r>
          </w:p>
        </w:tc>
        <w:tc>
          <w:tcPr>
            <w:tcW w:type="dxa" w:w="2530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0.183</w:t>
            </w:r>
          </w:p>
        </w:tc>
        <w:tc>
          <w:tcPr>
            <w:tcW w:type="dxa" w:w="2530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0.265</w:t>
            </w:r>
          </w:p>
        </w:tc>
      </w:tr>
      <w:tr>
        <w:tc>
          <w:tcPr>
            <w:tcW w:type="dxa" w:w="2530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12-2026</w:t>
            </w:r>
          </w:p>
        </w:tc>
        <w:tc>
          <w:tcPr>
            <w:tcW w:type="dxa" w:w="2530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0.416</w:t>
            </w:r>
          </w:p>
        </w:tc>
        <w:tc>
          <w:tcPr>
            <w:tcW w:type="dxa" w:w="2530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0.166</w:t>
            </w:r>
          </w:p>
        </w:tc>
        <w:tc>
          <w:tcPr>
            <w:tcW w:type="dxa" w:w="2530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0.243</w:t>
            </w:r>
          </w:p>
        </w:tc>
      </w:tr>
      <w:tr>
        <w:tc>
          <w:tcPr>
            <w:tcW w:type="dxa" w:w="2530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15-2026</w:t>
            </w:r>
          </w:p>
        </w:tc>
        <w:tc>
          <w:tcPr>
            <w:tcW w:type="dxa" w:w="2530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0.347</w:t>
            </w:r>
          </w:p>
        </w:tc>
        <w:tc>
          <w:tcPr>
            <w:tcW w:type="dxa" w:w="2530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0.160</w:t>
            </w:r>
          </w:p>
        </w:tc>
        <w:tc>
          <w:tcPr>
            <w:tcW w:type="dxa" w:w="2530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0.263</w:t>
            </w:r>
          </w:p>
        </w:tc>
      </w:tr>
      <w:tr>
        <w:tc>
          <w:tcPr>
            <w:tcW w:type="dxa" w:w="2530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23-2026</w:t>
            </w:r>
          </w:p>
        </w:tc>
        <w:tc>
          <w:tcPr>
            <w:tcW w:type="dxa" w:w="2530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0.467</w:t>
            </w:r>
          </w:p>
        </w:tc>
        <w:tc>
          <w:tcPr>
            <w:tcW w:type="dxa" w:w="2530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0.292</w:t>
            </w:r>
          </w:p>
        </w:tc>
        <w:tc>
          <w:tcPr>
            <w:tcW w:type="dxa" w:w="2530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0.352</w:t>
            </w:r>
          </w:p>
        </w:tc>
      </w:tr>
      <w:tr>
        <w:tc>
          <w:tcPr>
            <w:tcW w:type="dxa" w:w="2530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44-2006i</w:t>
            </w:r>
          </w:p>
        </w:tc>
        <w:tc>
          <w:tcPr>
            <w:tcW w:type="dxa" w:w="2530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0.489</w:t>
            </w:r>
          </w:p>
        </w:tc>
        <w:tc>
          <w:tcPr>
            <w:tcW w:type="dxa" w:w="2530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0.243</w:t>
            </w:r>
          </w:p>
        </w:tc>
        <w:tc>
          <w:tcPr>
            <w:tcW w:type="dxa" w:w="2530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0.298</w:t>
            </w:r>
          </w:p>
        </w:tc>
      </w:tr>
      <w:tr>
        <w:tc>
          <w:tcPr>
            <w:tcW w:type="dxa" w:w="2530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44-2025</w:t>
            </w:r>
          </w:p>
        </w:tc>
        <w:tc>
          <w:tcPr>
            <w:tcW w:type="dxa" w:w="2530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0.369</w:t>
            </w:r>
          </w:p>
        </w:tc>
        <w:tc>
          <w:tcPr>
            <w:tcW w:type="dxa" w:w="2530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0.245</w:t>
            </w:r>
          </w:p>
        </w:tc>
        <w:tc>
          <w:tcPr>
            <w:tcW w:type="dxa" w:w="2530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0.332</w:t>
            </w:r>
          </w:p>
        </w:tc>
      </w:tr>
      <w:tr>
        <w:tc>
          <w:tcPr>
            <w:tcW w:type="dxa" w:w="2530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Macro</w:t>
            </w:r>
          </w:p>
        </w:tc>
        <w:tc>
          <w:tcPr>
            <w:tcW w:type="dxa" w:w="2530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0.414</w:t>
            </w:r>
          </w:p>
        </w:tc>
        <w:tc>
          <w:tcPr>
            <w:tcW w:type="dxa" w:w="2530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0.215</w:t>
            </w:r>
          </w:p>
        </w:tc>
        <w:tc>
          <w:tcPr>
            <w:tcW w:type="dxa" w:w="2530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0.292</w:t>
            </w:r>
          </w:p>
        </w:tc>
      </w:tr>
    </w:tbl>
    <w:p>
      <w:pPr>
        <w:pStyle w:val="BodyText"/>
        <w:spacing w:line="240" w:lineRule="auto" w:after="60"/>
      </w:pP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LLM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මාදිලිය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fluency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වැඩි කරන නමුත්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invented dates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නිසා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guardrails ~15%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ප්‍රතික්ෂේප කරයි.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Fallback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මාදිලිය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hallucination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අවදානම අඩු කරන නමුත් සාරාංශය තරමක් දිගු විය හැක. නිර්දේශිත හැසිරීම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LLM default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ලෙස තබා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guardrail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අසාර්ථක වූ විට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fallback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වීමයි.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TABLE VII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ස්වයංක්‍රීය පරීක්ෂණ: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backend unit 13/13, Selenium IDE UI 4/4, functional 10/10.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සම්පූර්ණයෙන් 35/35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pass. School staff UAT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තවම සම්පූර්ණ නොවූ බව සීමාවක් ලෙස සටහන් කර ඇත. නියැදි ප්‍රමාණය හයකි; යොමු සාරාංශ තනි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annotator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එකකි.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Macro F1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අභ්‍යන්තර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baseline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>එකක් ලෙස අර්ථකථනය කළ යුතුය.</w:t>
      </w:r>
    </w:p>
    <w:p>
      <w:pPr>
        <w:pStyle w:val="figurecaption"/>
        <w:jc w:val="center"/>
      </w:pPr>
      <w:r>
        <w:rPr>
          <w:rFonts w:ascii="Times New Roman" w:hAnsi="Times New Roman" w:cs="Times New Roman" w:eastAsia="Times New Roman"/>
          <w:b/>
          <w:color w:val="000000"/>
          <w:sz w:val="16"/>
          <w:szCs w:val="16"/>
          <w:bCs/>
        </w:rPr>
        <w:t xml:space="preserve">TABLE VII. </w:t>
      </w:r>
      <w:r>
        <w:rPr>
          <w:rFonts w:ascii="Times New Roman" w:hAnsi="Times New Roman" w:cs="Times New Roman" w:eastAsia="Times New Roman"/>
          <w:b w:val="0"/>
          <w:color w:val="000000"/>
          <w:sz w:val="16"/>
          <w:szCs w:val="16"/>
        </w:rPr>
        <w:t>AUTOMATED TEST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73"/>
        <w:gridCol w:w="3373"/>
        <w:gridCol w:w="3373"/>
      </w:tblGrid>
      <w:tr>
        <w:tc>
          <w:tcPr>
            <w:tcW w:type="dxa" w:w="3373"/>
          </w:tcPr>
          <w:p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  <w:szCs w:val="16"/>
                <w:bCs/>
              </w:rPr>
              <w:t>Suite</w:t>
            </w:r>
          </w:p>
        </w:tc>
        <w:tc>
          <w:tcPr>
            <w:tcW w:type="dxa" w:w="3373"/>
          </w:tcPr>
          <w:p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  <w:szCs w:val="16"/>
                <w:bCs/>
              </w:rPr>
              <w:t>Cases</w:t>
            </w:r>
          </w:p>
        </w:tc>
        <w:tc>
          <w:tcPr>
            <w:tcW w:type="dxa" w:w="3373"/>
          </w:tcPr>
          <w:p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  <w:szCs w:val="16"/>
                <w:bCs/>
              </w:rPr>
              <w:t>Pass</w:t>
            </w:r>
          </w:p>
        </w:tc>
      </w:tr>
      <w:tr>
        <w:tc>
          <w:tcPr>
            <w:tcW w:type="dxa" w:w="337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Backend unit tests</w:t>
            </w:r>
          </w:p>
        </w:tc>
        <w:tc>
          <w:tcPr>
            <w:tcW w:type="dxa" w:w="337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13</w:t>
            </w:r>
          </w:p>
        </w:tc>
        <w:tc>
          <w:tcPr>
            <w:tcW w:type="dxa" w:w="337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13</w:t>
            </w:r>
          </w:p>
        </w:tc>
      </w:tr>
      <w:tr>
        <w:tc>
          <w:tcPr>
            <w:tcW w:type="dxa" w:w="337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Selenium IDE UI</w:t>
            </w:r>
          </w:p>
        </w:tc>
        <w:tc>
          <w:tcPr>
            <w:tcW w:type="dxa" w:w="337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4</w:t>
            </w:r>
          </w:p>
        </w:tc>
        <w:tc>
          <w:tcPr>
            <w:tcW w:type="dxa" w:w="337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4</w:t>
            </w:r>
          </w:p>
        </w:tc>
      </w:tr>
      <w:tr>
        <w:tc>
          <w:tcPr>
            <w:tcW w:type="dxa" w:w="337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Functional tests</w:t>
            </w:r>
          </w:p>
        </w:tc>
        <w:tc>
          <w:tcPr>
            <w:tcW w:type="dxa" w:w="337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10</w:t>
            </w:r>
          </w:p>
        </w:tc>
        <w:tc>
          <w:tcPr>
            <w:tcW w:type="dxa" w:w="337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10</w:t>
            </w:r>
          </w:p>
        </w:tc>
      </w:tr>
      <w:tr>
        <w:tc>
          <w:tcPr>
            <w:tcW w:type="dxa" w:w="337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Total</w:t>
            </w:r>
          </w:p>
        </w:tc>
        <w:tc>
          <w:tcPr>
            <w:tcW w:type="dxa" w:w="337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35</w:t>
            </w:r>
          </w:p>
        </w:tc>
        <w:tc>
          <w:tcPr>
            <w:tcW w:type="dxa" w:w="337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  <w:szCs w:val="16"/>
              </w:rPr>
              <w:t>35</w:t>
            </w:r>
          </w:p>
        </w:tc>
      </w:tr>
    </w:tbl>
    <w:p>
      <w:pPr>
        <w:pStyle w:val="BodyText"/>
        <w:spacing w:line="240" w:lineRule="auto" w:after="60"/>
      </w:pP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Threats to validity. Construct: ROUGE n-gram overlap fluency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හෝ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legal correctness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මනින්නේ නැත.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Internal: fallback mode LLM variance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අඩු කරන නමුත්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abstractive quality underestimate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කළ හැක.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External: circular n=6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survey n=41 convenience sample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එකකි.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Conclusion: school UAT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නොමැති නිසා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field usefulness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තවමත්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claimed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>නොකරයි. මෙම සීමාවන් අවංකව වාර්තා කිරීම ශාස්ත්‍රීය අවංකභාවයට අනුකූලය.</w:t>
      </w:r>
    </w:p>
    <w:p>
      <w:pPr>
        <w:pStyle w:val="Heading1"/>
        <w:spacing w:before="120" w:after="60"/>
      </w:pPr>
      <w:r>
        <w:rPr>
          <w:rFonts w:ascii="Times New Roman" w:hAnsi="Times New Roman" w:cs="Times New Roman" w:eastAsia="Times New Roman"/>
          <w:b/>
          <w:color w:val="000000"/>
          <w:sz w:val="20"/>
          <w:szCs w:val="20"/>
          <w:bCs/>
        </w:rPr>
        <w:t>VI. CONCLUSION</w:t>
      </w:r>
    </w:p>
    <w:p>
      <w:pPr>
        <w:pStyle w:val="BodyText"/>
        <w:spacing w:line="240" w:lineRule="auto" w:after="60"/>
      </w:pP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>මෙම පත්‍රය ශ්‍රී ලංකා අධ්‍යාපන අමාත්‍යාංශ (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MOE)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චක්‍රලේඛ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PDF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අවබෝධයේ භාරය අඩු කිරීමට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EasyCircular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නම්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purpose-built, human-in-the-loop AI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>වෙබ් පද්ධතියක් ඉදිරිපත් කළේය. ත්‍රිස්ථර ගෘහනිර්මාණය (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Next.js, Express, FastAPI, MongoDB)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මත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PDF upload,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ත්‍රිභාෂික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OCR,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අනිවාර්ය පෙළ සමාලෝචනය,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SpaCy NER, map-reduce summarization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date guardrails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එකම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workflow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එකකින් ඒකාබද්ධ වේ. මුල්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PDF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එක නීතිමය මූලාශ්‍රය ලෙස පවතින අතර සාරාංශය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assistive shortcut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>එකක් පමණි.</w:t>
      </w:r>
    </w:p>
    <w:p>
      <w:pPr>
        <w:pStyle w:val="BodyText"/>
        <w:spacing w:line="240" w:lineRule="auto" w:after="60"/>
      </w:pP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Research questions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වෙත ප්‍රතිචාර.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RQ1: purpose-built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වෙබ් පද්ධතියක් ත්‍රිස්ථර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microservices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Upload, Extract, Review, Summarize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කාර්යප්‍රවාහය මගින් නිර්මාණය කළ හැකි බව පෙන්වන ලදී.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RQ2: human review gate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>date guardrails (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නිරීක්ෂිත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rejection ≈ 15%)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මගින්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invented dates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අවම කර, අසාර්ථක විට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extractive fallback activate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කරයි.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RQ3: Google Forms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>සමීක්ෂණය (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n=41)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>ROUGE/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>ස්වයංක්‍රීය පරීක්ෂණ මගින් අවශ්‍යතා සහ තාක්ෂණික ගුණාත්මකභාවය තක්සේරු කළ හැකි බව පෙන්වන ලදී.</w:t>
      </w:r>
    </w:p>
    <w:p>
      <w:pPr>
        <w:pStyle w:val="BodyText"/>
        <w:spacing w:line="240" w:lineRule="auto" w:after="60"/>
      </w:pP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Stakeholder evidence. Respondents 97.6%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සාරාංශයක් අවශ්‍ය බවත්, 78%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entity highlighting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ප්‍රයෝජනවත් බවත්, 78%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efficiency gain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අපේක්ෂා කරන බවත් පැවසූහ. එහෙත් 68.3%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AI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භාවිතයට සෘජුව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willing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නොවූ අතර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privacy concerns n=17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උපුටා දැක්වීය. එබැවින්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local Ollama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විකල්පය සහ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mandatory Text is correct gate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නිර්මාණයේ මධ්‍යස්ථානය විය.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Too long (n=21)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ප්‍රධාන කියවීමේ බාධකය ලෙස හඳුනා ගැනීම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extractive compression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සඳහා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empirical backing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>ලබා දෙයි.</w:t>
      </w:r>
    </w:p>
    <w:p>
      <w:pPr>
        <w:pStyle w:val="BodyText"/>
        <w:spacing w:line="240" w:lineRule="auto" w:after="60"/>
      </w:pP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Evaluation summary. Staging stack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එකේ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digital extract ≈ 1.2 s, OCR ≈ 6.8 s, cold LLM 8–15 s, cached re-process ≈ 114 ms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විය.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Fallback mode ROUGE macro F1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>අගයන් 0.414 / 0.215 / 0.292 (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n=6 circulars). Automated tests 35/35 pass (backend 13, Selenium 4, functional 10). Phase 1/4 exit gates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සෞඛ්‍යය සහ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MVP flow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තහවුරු කළේය. මෙම ලකුණු අභ්‍යන්තර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baseline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එකක් ලෙස අර්ථකථනය කළ යුතුය; නීතිමය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correctness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හෝ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production SLA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>එකක් ප්‍රකාශ නොකරයි.</w:t>
      </w:r>
    </w:p>
    <w:p>
      <w:pPr>
        <w:pStyle w:val="BodyText"/>
        <w:spacing w:line="240" w:lineRule="auto" w:after="60"/>
      </w:pP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Contributions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තුන් මට්ටමකින් සාරාංශ කළ හැක.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Domain: MOE circulars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සඳහා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self-hostable, human-in-the-loop AI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ප්‍රවේශයක්.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Method: OCR, NER, guarded summarization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reproducible evaluation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එකම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artefact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එකක ඒකාබද්ධ කිරීම.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Practice: privacy-aware local LLM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review gate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මගින්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generic chatbot adoption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බාධකවලට ප්‍රායෝගික ප්‍රතිචාරයක්. ප්‍රායෝගික බලපෑම විදුහල්පතිවරුන්ට සහ ගුරුවරුන්ට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deadlines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actions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>ඉක්මනින් දැකීමට උපකාරී විය හැක, නමුත් එය තවමත් විභවීයය.</w:t>
      </w:r>
    </w:p>
    <w:p>
      <w:pPr>
        <w:pStyle w:val="BodyText"/>
        <w:spacing w:line="240" w:lineRule="auto" w:after="60"/>
      </w:pP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Limitations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අවංකව පිළිගත යුතුය.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Sinhala/Tamil NER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පූර්ණ නොවේ;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English SpaCy labels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ප්‍රධානය.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School staff UAT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අසම්පූර්ණය.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ROUGE n=6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සහ තනි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annotator; fallback mode abstractive fluency underestimate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කළ හැක.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Survey n=41 convenience sample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එකකි. එබැවින්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field usefulness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හෝ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national generalisation claim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>නොකරයි.</w:t>
      </w:r>
    </w:p>
    <w:p>
      <w:pPr>
        <w:pStyle w:val="BodyText"/>
        <w:spacing w:line="240" w:lineRule="auto" w:after="60"/>
      </w:pP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Future work. (1) full Sinhala/Tamil NER models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bilingual UI. (2) school administrators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සමඟ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extended UAT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longitudinal usage logs. (3)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විශාල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circular set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එකක් මත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ROUGE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human ratings. (4) batch upload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admin analytics. (5) production deployment with uptime monitoring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hardened secrets. (6) guardrail rules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>විස්තීරණය (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topic consistency, circular-number checks).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මෙම පියවර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Phase 5 validation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 xml:space="preserve">සිට </w:t>
      </w:r>
      <w:r>
        <w:rPr>
          <w:rFonts w:ascii="Times New Roman" w:hAnsi="Times New Roman" w:cs="Times New Roman" w:eastAsia="Times New Roman"/>
          <w:b w:val="0"/>
          <w:color w:val="000000"/>
          <w:sz w:val="20"/>
          <w:szCs w:val="20"/>
        </w:rPr>
        <w:t xml:space="preserve">Phase 6 enhancement </w:t>
      </w:r>
      <w:r>
        <w:rPr>
          <w:rFonts w:ascii="Iskoola Pota" w:hAnsi="Iskoola Pota" w:cs="Iskoola Pota" w:eastAsia="Iskoola Pota"/>
          <w:b w:val="0"/>
          <w:color w:val="000000"/>
          <w:sz w:val="20"/>
          <w:szCs w:val="20"/>
        </w:rPr>
        <w:t>දක්වා දිගු කරයි.</w:t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color w:val="000000"/>
          <w:sz w:val="20"/>
          <w:szCs w:val="20"/>
          <w:bCs/>
        </w:rPr>
        <w:t>REFERENCES</w:t>
      </w:r>
    </w:p>
    <w:p>
      <w:pPr>
        <w:pStyle w:val="BodyText"/>
        <w:spacing w:after="40"/>
        <w:ind w:left="198" w:hanging="198"/>
      </w:pPr>
      <w:r>
        <w:rPr>
          <w:rFonts w:ascii="Times New Roman" w:hAnsi="Times New Roman" w:cs="Times New Roman" w:eastAsia="Times New Roman"/>
          <w:b w:val="0"/>
          <w:color w:val="000000"/>
          <w:sz w:val="16"/>
          <w:szCs w:val="16"/>
        </w:rPr>
        <w:t xml:space="preserve">[1] </w:t>
      </w:r>
      <w:r>
        <w:rPr>
          <w:rFonts w:ascii="Times New Roman" w:hAnsi="Times New Roman" w:cs="Times New Roman" w:eastAsia="Times New Roman"/>
          <w:b w:val="0"/>
          <w:color w:val="000000"/>
          <w:sz w:val="16"/>
          <w:szCs w:val="16"/>
        </w:rPr>
        <w:t>T. M. Ngo, Q. N. Nguyen, and T. D. Nguyen, "A two-phase framework for automated information extraction from curriculum vitae," in Proc. RIVF, 2023, pp. 153–158.</w:t>
      </w:r>
    </w:p>
    <w:p>
      <w:pPr>
        <w:pStyle w:val="BodyText"/>
        <w:spacing w:after="40"/>
        <w:ind w:left="198" w:hanging="198"/>
      </w:pPr>
      <w:r>
        <w:rPr>
          <w:rFonts w:ascii="Times New Roman" w:hAnsi="Times New Roman" w:cs="Times New Roman" w:eastAsia="Times New Roman"/>
          <w:b w:val="0"/>
          <w:color w:val="000000"/>
          <w:sz w:val="16"/>
          <w:szCs w:val="16"/>
        </w:rPr>
        <w:t xml:space="preserve">[2] </w:t>
      </w:r>
      <w:r>
        <w:rPr>
          <w:rFonts w:ascii="Times New Roman" w:hAnsi="Times New Roman" w:cs="Times New Roman" w:eastAsia="Times New Roman"/>
          <w:b w:val="0"/>
          <w:color w:val="000000"/>
          <w:sz w:val="16"/>
          <w:szCs w:val="16"/>
        </w:rPr>
        <w:t>C.-Y. Lin, "ROUGE: A package for automatic evaluation of summaries," in Text Summarization Branches Out. Barcelona: ACL, 2004, pp. 74–81.</w:t>
      </w:r>
    </w:p>
    <w:p>
      <w:pPr>
        <w:pStyle w:val="BodyText"/>
        <w:spacing w:after="40"/>
        <w:ind w:left="198" w:hanging="198"/>
      </w:pPr>
      <w:r>
        <w:rPr>
          <w:rFonts w:ascii="Times New Roman" w:hAnsi="Times New Roman" w:cs="Times New Roman" w:eastAsia="Times New Roman"/>
          <w:b w:val="0"/>
          <w:color w:val="000000"/>
          <w:sz w:val="16"/>
          <w:szCs w:val="16"/>
        </w:rPr>
        <w:t xml:space="preserve">[3] </w:t>
      </w:r>
      <w:r>
        <w:rPr>
          <w:rFonts w:ascii="Times New Roman" w:hAnsi="Times New Roman" w:cs="Times New Roman" w:eastAsia="Times New Roman"/>
          <w:b w:val="0"/>
          <w:color w:val="000000"/>
          <w:sz w:val="16"/>
          <w:szCs w:val="16"/>
        </w:rPr>
        <w:t>A. Vaswani et al., "Attention is all you need," in Proc. NeurIPS, 2017, pp. 5998–6008.</w:t>
      </w:r>
    </w:p>
    <w:p>
      <w:pPr>
        <w:pStyle w:val="BodyText"/>
        <w:spacing w:after="40"/>
        <w:ind w:left="198" w:hanging="198"/>
      </w:pPr>
      <w:r>
        <w:rPr>
          <w:rFonts w:ascii="Times New Roman" w:hAnsi="Times New Roman" w:cs="Times New Roman" w:eastAsia="Times New Roman"/>
          <w:b w:val="0"/>
          <w:color w:val="000000"/>
          <w:sz w:val="16"/>
          <w:szCs w:val="16"/>
        </w:rPr>
        <w:t xml:space="preserve">[4] </w:t>
      </w:r>
      <w:r>
        <w:rPr>
          <w:rFonts w:ascii="Times New Roman" w:hAnsi="Times New Roman" w:cs="Times New Roman" w:eastAsia="Times New Roman"/>
          <w:b w:val="0"/>
          <w:color w:val="000000"/>
          <w:sz w:val="16"/>
          <w:szCs w:val="16"/>
        </w:rPr>
        <w:t>M. Honnibal and I. Montani, "spaCy 2: Natural language understanding with Bloom embeddings, convolutional neural networks and incremental parsing," 2017. [Online]. Available: https://spacy.io</w:t>
      </w:r>
    </w:p>
    <w:p>
      <w:pPr>
        <w:pStyle w:val="BodyText"/>
        <w:spacing w:after="40"/>
        <w:ind w:left="198" w:hanging="198"/>
      </w:pPr>
      <w:r>
        <w:rPr>
          <w:rFonts w:ascii="Times New Roman" w:hAnsi="Times New Roman" w:cs="Times New Roman" w:eastAsia="Times New Roman"/>
          <w:b w:val="0"/>
          <w:color w:val="000000"/>
          <w:sz w:val="16"/>
          <w:szCs w:val="16"/>
        </w:rPr>
        <w:t xml:space="preserve">[5] </w:t>
      </w:r>
      <w:r>
        <w:rPr>
          <w:rFonts w:ascii="Times New Roman" w:hAnsi="Times New Roman" w:cs="Times New Roman" w:eastAsia="Times New Roman"/>
          <w:b w:val="0"/>
          <w:color w:val="000000"/>
          <w:sz w:val="16"/>
          <w:szCs w:val="16"/>
        </w:rPr>
        <w:t>Ministry of Education Sri Lanka, "Official circulars portal," 2026. [Online]. Available: https://moe.gov.lk/en/circulars/</w:t>
      </w:r>
    </w:p>
    <w:p>
      <w:pPr>
        <w:pStyle w:val="BodyText"/>
        <w:spacing w:after="40"/>
        <w:ind w:left="198" w:hanging="198"/>
      </w:pPr>
      <w:r>
        <w:rPr>
          <w:rFonts w:ascii="Times New Roman" w:hAnsi="Times New Roman" w:cs="Times New Roman" w:eastAsia="Times New Roman"/>
          <w:b w:val="0"/>
          <w:color w:val="000000"/>
          <w:sz w:val="16"/>
          <w:szCs w:val="16"/>
        </w:rPr>
        <w:t xml:space="preserve">[6] </w:t>
      </w:r>
      <w:r>
        <w:rPr>
          <w:rFonts w:ascii="Times New Roman" w:hAnsi="Times New Roman" w:cs="Times New Roman" w:eastAsia="Times New Roman"/>
          <w:b w:val="0"/>
          <w:color w:val="000000"/>
          <w:sz w:val="16"/>
          <w:szCs w:val="16"/>
        </w:rPr>
        <w:t>P. M. Nadkarni, L. Ohno-Machado, and W. W. Chapman, "Natural language processing: An introduction," J. Amer. Medical Informatics Assoc., vol. 18, no. 5, pp. 544–551, 2011.</w:t>
      </w:r>
    </w:p>
    <w:p>
      <w:pPr>
        <w:pStyle w:val="BodyText"/>
        <w:spacing w:after="40"/>
        <w:ind w:left="198" w:hanging="198"/>
      </w:pPr>
      <w:r>
        <w:rPr>
          <w:rFonts w:ascii="Times New Roman" w:hAnsi="Times New Roman" w:cs="Times New Roman" w:eastAsia="Times New Roman"/>
          <w:b w:val="0"/>
          <w:color w:val="000000"/>
          <w:sz w:val="16"/>
          <w:szCs w:val="16"/>
        </w:rPr>
        <w:t xml:space="preserve">[7] </w:t>
      </w:r>
      <w:r>
        <w:rPr>
          <w:rFonts w:ascii="Times New Roman" w:hAnsi="Times New Roman" w:cs="Times New Roman" w:eastAsia="Times New Roman"/>
          <w:b w:val="0"/>
          <w:color w:val="000000"/>
          <w:sz w:val="16"/>
          <w:szCs w:val="16"/>
        </w:rPr>
        <w:t>D. Vukadin, A. S. Kurdija, G. Delač, and M. Šilić, "Information extraction from free-form CV documents in multiple languages," IEEE Access, vol. 9, pp. 84559–84575, 2021.</w:t>
      </w:r>
    </w:p>
    <w:p>
      <w:pPr>
        <w:pStyle w:val="BodyText"/>
        <w:spacing w:after="40"/>
        <w:ind w:left="198" w:hanging="198"/>
      </w:pPr>
      <w:r>
        <w:rPr>
          <w:rFonts w:ascii="Times New Roman" w:hAnsi="Times New Roman" w:cs="Times New Roman" w:eastAsia="Times New Roman"/>
          <w:b w:val="0"/>
          <w:color w:val="000000"/>
          <w:sz w:val="16"/>
          <w:szCs w:val="16"/>
        </w:rPr>
        <w:t xml:space="preserve">[8] </w:t>
      </w:r>
      <w:r>
        <w:rPr>
          <w:rFonts w:ascii="Times New Roman" w:hAnsi="Times New Roman" w:cs="Times New Roman" w:eastAsia="Times New Roman"/>
          <w:b w:val="0"/>
          <w:color w:val="000000"/>
          <w:sz w:val="16"/>
          <w:szCs w:val="16"/>
        </w:rPr>
        <w:t>S. Sarawagi, "Information extraction," Found. Trends Databases, vol. 1, pp. 261–377, 2008.</w:t>
      </w:r>
    </w:p>
    <w:p>
      <w:pPr>
        <w:pStyle w:val="BodyText"/>
        <w:spacing w:after="40"/>
        <w:ind w:left="198" w:hanging="198"/>
      </w:pPr>
      <w:r>
        <w:rPr>
          <w:rFonts w:ascii="Times New Roman" w:hAnsi="Times New Roman" w:cs="Times New Roman" w:eastAsia="Times New Roman"/>
          <w:b w:val="0"/>
          <w:color w:val="000000"/>
          <w:sz w:val="16"/>
          <w:szCs w:val="16"/>
        </w:rPr>
        <w:t xml:space="preserve">[9] </w:t>
      </w:r>
      <w:r>
        <w:rPr>
          <w:rFonts w:ascii="Times New Roman" w:hAnsi="Times New Roman" w:cs="Times New Roman" w:eastAsia="Times New Roman"/>
          <w:b w:val="0"/>
          <w:color w:val="000000"/>
          <w:sz w:val="16"/>
          <w:szCs w:val="16"/>
        </w:rPr>
        <w:t>A. K. Sinha, M. K. A. Akhtar, and A. Kumar, "Resume screening using natural language processing and machine learning: A systematic review," in Proc. ICMLIP, 2020, pp. 207–214.</w:t>
      </w:r>
    </w:p>
    <w:p>
      <w:pPr>
        <w:pStyle w:val="BodyText"/>
        <w:spacing w:after="40"/>
        <w:ind w:left="198" w:hanging="198"/>
      </w:pPr>
      <w:r>
        <w:rPr>
          <w:rFonts w:ascii="Times New Roman" w:hAnsi="Times New Roman" w:cs="Times New Roman" w:eastAsia="Times New Roman"/>
          <w:b w:val="0"/>
          <w:color w:val="000000"/>
          <w:sz w:val="16"/>
          <w:szCs w:val="16"/>
        </w:rPr>
        <w:t xml:space="preserve">[10] </w:t>
      </w:r>
      <w:r>
        <w:rPr>
          <w:rFonts w:ascii="Times New Roman" w:hAnsi="Times New Roman" w:cs="Times New Roman" w:eastAsia="Times New Roman"/>
          <w:b w:val="0"/>
          <w:color w:val="000000"/>
          <w:sz w:val="16"/>
          <w:szCs w:val="16"/>
        </w:rPr>
        <w:t>OpenAI, "ChatGPT (GPT-4)," 2024. [Online]. Available: https://chat.openai.com</w:t>
      </w:r>
    </w:p>
    <w:p>
      <w:pPr>
        <w:pStyle w:val="BodyText"/>
        <w:spacing w:after="40"/>
        <w:ind w:left="198" w:hanging="198"/>
      </w:pPr>
      <w:r>
        <w:rPr>
          <w:rFonts w:ascii="Times New Roman" w:hAnsi="Times New Roman" w:cs="Times New Roman" w:eastAsia="Times New Roman"/>
          <w:b w:val="0"/>
          <w:color w:val="000000"/>
          <w:sz w:val="16"/>
          <w:szCs w:val="16"/>
        </w:rPr>
        <w:t xml:space="preserve">[11] </w:t>
      </w:r>
      <w:r>
        <w:rPr>
          <w:rFonts w:ascii="Times New Roman" w:hAnsi="Times New Roman" w:cs="Times New Roman" w:eastAsia="Times New Roman"/>
          <w:b w:val="0"/>
          <w:color w:val="000000"/>
          <w:sz w:val="16"/>
          <w:szCs w:val="16"/>
        </w:rPr>
        <w:t>S. Zu and X. Wang, "Resume information extraction with a novel text block segmentation algorithm," Int. J. Nat. Lang. Comput., vol. 8, pp. 29–48, 2019.</w:t>
      </w:r>
    </w:p>
    <w:p>
      <w:pPr>
        <w:pStyle w:val="BodyText"/>
        <w:spacing w:after="40"/>
        <w:ind w:left="198" w:hanging="198"/>
      </w:pPr>
      <w:r>
        <w:rPr>
          <w:rFonts w:ascii="Times New Roman" w:hAnsi="Times New Roman" w:cs="Times New Roman" w:eastAsia="Times New Roman"/>
          <w:b w:val="0"/>
          <w:color w:val="000000"/>
          <w:sz w:val="16"/>
          <w:szCs w:val="16"/>
        </w:rPr>
        <w:t xml:space="preserve">[12] </w:t>
      </w:r>
      <w:r>
        <w:rPr>
          <w:rFonts w:ascii="Times New Roman" w:hAnsi="Times New Roman" w:cs="Times New Roman" w:eastAsia="Times New Roman"/>
          <w:b w:val="0"/>
          <w:color w:val="000000"/>
          <w:sz w:val="16"/>
          <w:szCs w:val="16"/>
        </w:rPr>
        <w:t>G. G. M. P. Kusumsiri, "EasyCircular: AI web system for MOE circular summarization," BSc thesis, Univ. Bedfordshire, 2026.</w:t>
      </w:r>
    </w:p>
    <w:sectPr w:rsidR="009303D9" w:rsidSect="003B4E04">
      <w:type w:val="continuous"/>
      <w:pgSz w:w="595.30pt" w:h="841.90pt" w:code="9"/>
      <w:pgMar w:top="54pt" w:right="44.65pt" w:bottom="72pt" w:left="44.65pt" w:header="36pt" w:footer="36pt" w:gutter="0pt"/>
      <w:cols w:space="36pt"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endnote w:type="separator" w:id="-1">
    <w:p w14:paraId="2877A9C7" w14:textId="77777777" w:rsidR="006A5D82" w:rsidRDefault="006A5D82" w:rsidP="001A3B3D">
      <w:r>
        <w:separator/>
      </w:r>
    </w:p>
  </w:endnote>
  <w:endnote w:type="continuationSeparator" w:id="0">
    <w:p w14:paraId="7F388C0B" w14:textId="77777777" w:rsidR="006A5D82" w:rsidRDefault="006A5D82" w:rsidP="001A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characterSet="shift_jis"/>
    <w:family w:val="modern"/>
    <w:pitch w:val="fixed"/>
    <w:sig w:usb0="E00002FF" w:usb1="6AC7FDFB" w:usb2="08000012" w:usb3="00000000" w:csb0="0002009F" w:csb1="00000000"/>
  </w:font>
  <w:font w:name="NimbusRomNo9L-Regu">
    <w:altName w:val="Yu Gothic"/>
    <w:panose1 w:val="00000000000000000000"/>
    <w:charset w:characterSet="shift_jis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characterSet="iso-8859-1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characterSet="iso-8859-1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p w14:paraId="69E75918" w14:textId="77777777" w:rsidR="001A3B3D" w:rsidRPr="006F6D3D" w:rsidRDefault="001A3B3D" w:rsidP="0056610F">
    <w:pPr>
      <w:pStyle w:val="Footer"/>
      <w:jc w:val="start"/>
      <w:rPr>
        <w:sz w:val="16"/>
        <w:szCs w:val="16"/>
      </w:rPr>
    </w:pPr>
    <w:r w:rsidRPr="006F6D3D">
      <w:rPr>
        <w:sz w:val="16"/>
        <w:szCs w:val="16"/>
      </w:rPr>
      <w:t>XXX-X-XXXX-XXXX-X/XX/$XX.00 ©20XX IEEE</w:t>
    </w: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footnote w:type="separator" w:id="-1">
    <w:p w14:paraId="06DFCDA7" w14:textId="77777777" w:rsidR="006A5D82" w:rsidRDefault="006A5D82" w:rsidP="001A3B3D">
      <w:r>
        <w:separator/>
      </w:r>
    </w:p>
  </w:footnote>
  <w:footnote w:type="continuationSeparator" w:id="0">
    <w:p w14:paraId="2309B469" w14:textId="77777777" w:rsidR="006A5D82" w:rsidRDefault="006A5D82" w:rsidP="001A3B3D">
      <w:r>
        <w:continuationSeparator/>
      </w: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start"/>
      <w:pPr>
        <w:tabs>
          <w:tab w:val="num" w:pos="0pt"/>
        </w:tabs>
        <w:ind w:start="0pt" w:firstLine="0pt"/>
      </w:pPr>
      <w:rPr>
        <w:rFonts w:ascii="Symbol" w:hAnsi="Symbol" w:hint="default"/>
      </w:rPr>
    </w:lvl>
    <w:lvl w:ilvl="1">
      <w:start w:val="1"/>
      <w:numFmt w:val="bullet"/>
      <w:lvlText w:val=""/>
      <w:lvlJc w:val="start"/>
      <w:pPr>
        <w:tabs>
          <w:tab w:val="num" w:pos="36pt"/>
        </w:tabs>
        <w:ind w:start="54pt" w:hanging="18pt"/>
      </w:pPr>
      <w:rPr>
        <w:rFonts w:ascii="Symbol" w:hAnsi="Symbol" w:hint="default"/>
      </w:rPr>
    </w:lvl>
    <w:lvl w:ilvl="2">
      <w:start w:val="1"/>
      <w:numFmt w:val="bullet"/>
      <w:lvlText w:val="o"/>
      <w:lvlJc w:val="start"/>
      <w:pPr>
        <w:tabs>
          <w:tab w:val="num" w:pos="72pt"/>
        </w:tabs>
        <w:ind w:start="90pt" w:hanging="18pt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start"/>
      <w:pPr>
        <w:tabs>
          <w:tab w:val="num" w:pos="108pt"/>
        </w:tabs>
        <w:ind w:start="126pt" w:hanging="18pt"/>
      </w:pPr>
      <w:rPr>
        <w:rFonts w:ascii="Wingdings" w:hAnsi="Wingdings" w:hint="default"/>
      </w:rPr>
    </w:lvl>
    <w:lvl w:ilvl="4">
      <w:start w:val="1"/>
      <w:numFmt w:val="bullet"/>
      <w:lvlText w:val=""/>
      <w:lvlJc w:val="start"/>
      <w:pPr>
        <w:tabs>
          <w:tab w:val="num" w:pos="144pt"/>
        </w:tabs>
        <w:ind w:start="162pt" w:hanging="18pt"/>
      </w:pPr>
      <w:rPr>
        <w:rFonts w:ascii="Wingdings" w:hAnsi="Wingdings" w:hint="default"/>
      </w:rPr>
    </w:lvl>
    <w:lvl w:ilvl="5">
      <w:start w:val="1"/>
      <w:numFmt w:val="bullet"/>
      <w:lvlText w:val=""/>
      <w:lvlJc w:val="start"/>
      <w:pPr>
        <w:tabs>
          <w:tab w:val="num" w:pos="180pt"/>
        </w:tabs>
        <w:ind w:start="198pt" w:hanging="18pt"/>
      </w:pPr>
      <w:rPr>
        <w:rFonts w:ascii="Symbol" w:hAnsi="Symbol" w:hint="default"/>
      </w:rPr>
    </w:lvl>
    <w:lvl w:ilvl="6">
      <w:start w:val="1"/>
      <w:numFmt w:val="bullet"/>
      <w:lvlText w:val="o"/>
      <w:lvlJc w:val="start"/>
      <w:pPr>
        <w:tabs>
          <w:tab w:val="num" w:pos="216pt"/>
        </w:tabs>
        <w:ind w:start="234pt" w:hanging="18pt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start"/>
      <w:pPr>
        <w:tabs>
          <w:tab w:val="num" w:pos="252pt"/>
        </w:tabs>
        <w:ind w:start="270pt" w:hanging="18pt"/>
      </w:pPr>
      <w:rPr>
        <w:rFonts w:ascii="Wingdings" w:hAnsi="Wingdings" w:hint="default"/>
      </w:rPr>
    </w:lvl>
    <w:lvl w:ilvl="8">
      <w:start w:val="1"/>
      <w:numFmt w:val="bullet"/>
      <w:lvlText w:val=""/>
      <w:lvlJc w:val="start"/>
      <w:pPr>
        <w:tabs>
          <w:tab w:val="num" w:pos="288pt"/>
        </w:tabs>
        <w:ind w:start="306pt" w:hanging="18pt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start"/>
      <w:pPr>
        <w:tabs>
          <w:tab w:val="num" w:pos="74.60pt"/>
        </w:tabs>
        <w:ind w:start="74.60pt" w:hanging="18pt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start"/>
      <w:pPr>
        <w:tabs>
          <w:tab w:val="num" w:pos="60.45pt"/>
        </w:tabs>
        <w:ind w:start="60.45pt" w:hanging="18pt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start"/>
      <w:pPr>
        <w:tabs>
          <w:tab w:val="num" w:pos="46.30pt"/>
        </w:tabs>
        <w:ind w:start="46.30pt" w:hanging="18pt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start"/>
      <w:pPr>
        <w:tabs>
          <w:tab w:val="num" w:pos="32.15pt"/>
        </w:tabs>
        <w:ind w:start="32.15pt" w:hanging="18pt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start"/>
      <w:pPr>
        <w:tabs>
          <w:tab w:val="num" w:pos="74.60pt"/>
        </w:tabs>
        <w:ind w:start="74.60pt" w:hanging="18pt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start"/>
      <w:pPr>
        <w:tabs>
          <w:tab w:val="num" w:pos="60.45pt"/>
        </w:tabs>
        <w:ind w:start="60.45pt" w:hanging="18pt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start"/>
      <w:pPr>
        <w:tabs>
          <w:tab w:val="num" w:pos="46.30pt"/>
        </w:tabs>
        <w:ind w:start="46.30pt" w:hanging="18pt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start"/>
      <w:pPr>
        <w:tabs>
          <w:tab w:val="num" w:pos="32.15pt"/>
        </w:tabs>
        <w:ind w:start="32.15pt" w:hanging="18pt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start"/>
      <w:pPr>
        <w:tabs>
          <w:tab w:val="num" w:pos="18pt"/>
        </w:tabs>
        <w:ind w:start="18pt" w:hanging="18pt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start"/>
      <w:pPr>
        <w:tabs>
          <w:tab w:val="num" w:pos="18pt"/>
        </w:tabs>
        <w:ind w:start="18pt" w:hanging="18pt"/>
      </w:pPr>
      <w:rPr>
        <w:rFonts w:ascii="Symbol" w:hAnsi="Symbol" w:hint="default"/>
      </w:rPr>
    </w:lvl>
  </w:abstractNum>
  <w:abstractNum w:abstractNumId="11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end"/>
      <w:pPr>
        <w:ind w:start="46.80pt" w:hanging="18pt"/>
      </w:pPr>
    </w:lvl>
    <w:lvl w:ilvl="1" w:tplc="04140019" w:tentative="1">
      <w:start w:val="1"/>
      <w:numFmt w:val="lowerLetter"/>
      <w:lvlText w:val="%2."/>
      <w:lvlJc w:val="start"/>
      <w:pPr>
        <w:ind w:start="82.80pt" w:hanging="18pt"/>
      </w:pPr>
    </w:lvl>
    <w:lvl w:ilvl="2" w:tplc="0414001B" w:tentative="1">
      <w:start w:val="1"/>
      <w:numFmt w:val="lowerRoman"/>
      <w:lvlText w:val="%3."/>
      <w:lvlJc w:val="end"/>
      <w:pPr>
        <w:ind w:start="118.80pt" w:hanging="9pt"/>
      </w:pPr>
    </w:lvl>
    <w:lvl w:ilvl="3" w:tplc="0414000F" w:tentative="1">
      <w:start w:val="1"/>
      <w:numFmt w:val="decimal"/>
      <w:lvlText w:val="%4."/>
      <w:lvlJc w:val="start"/>
      <w:pPr>
        <w:ind w:start="154.80pt" w:hanging="18pt"/>
      </w:pPr>
    </w:lvl>
    <w:lvl w:ilvl="4" w:tplc="04140019" w:tentative="1">
      <w:start w:val="1"/>
      <w:numFmt w:val="lowerLetter"/>
      <w:lvlText w:val="%5."/>
      <w:lvlJc w:val="start"/>
      <w:pPr>
        <w:ind w:start="190.80pt" w:hanging="18pt"/>
      </w:pPr>
    </w:lvl>
    <w:lvl w:ilvl="5" w:tplc="0414001B" w:tentative="1">
      <w:start w:val="1"/>
      <w:numFmt w:val="lowerRoman"/>
      <w:lvlText w:val="%6."/>
      <w:lvlJc w:val="end"/>
      <w:pPr>
        <w:ind w:start="226.80pt" w:hanging="9pt"/>
      </w:pPr>
    </w:lvl>
    <w:lvl w:ilvl="6" w:tplc="0414000F" w:tentative="1">
      <w:start w:val="1"/>
      <w:numFmt w:val="decimal"/>
      <w:lvlText w:val="%7."/>
      <w:lvlJc w:val="start"/>
      <w:pPr>
        <w:ind w:start="262.80pt" w:hanging="18pt"/>
      </w:pPr>
    </w:lvl>
    <w:lvl w:ilvl="7" w:tplc="04140019" w:tentative="1">
      <w:start w:val="1"/>
      <w:numFmt w:val="lowerLetter"/>
      <w:lvlText w:val="%8."/>
      <w:lvlJc w:val="start"/>
      <w:pPr>
        <w:ind w:start="298.80pt" w:hanging="18pt"/>
      </w:pPr>
    </w:lvl>
    <w:lvl w:ilvl="8" w:tplc="0414001B" w:tentative="1">
      <w:start w:val="1"/>
      <w:numFmt w:val="lowerRoman"/>
      <w:lvlText w:val="%9."/>
      <w:lvlJc w:val="end"/>
      <w:pPr>
        <w:ind w:start="334.80pt" w:hanging="9pt"/>
      </w:pPr>
    </w:lvl>
  </w:abstractNum>
  <w:abstractNum w:abstractNumId="12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start"/>
      <w:pPr>
        <w:tabs>
          <w:tab w:val="num" w:pos="36pt"/>
        </w:tabs>
        <w:ind w:start="36pt" w:hanging="18pt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3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start"/>
      <w:pPr>
        <w:tabs>
          <w:tab w:val="num" w:pos="32.40pt"/>
        </w:tabs>
        <w:ind w:firstLine="14.40pt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4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start"/>
      <w:pPr>
        <w:tabs>
          <w:tab w:val="num" w:pos="32.40pt"/>
        </w:tabs>
        <w:ind w:start="32.40pt" w:hanging="18pt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15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start"/>
      <w:pPr>
        <w:tabs>
          <w:tab w:val="num" w:pos="36pt"/>
        </w:tabs>
        <w:ind w:start="36pt" w:hanging="18pt"/>
      </w:pPr>
      <w:rPr>
        <w:rFonts w:cs="Times New Roman" w:hint="default"/>
      </w:rPr>
    </w:lvl>
  </w:abstractNum>
  <w:abstractNum w:abstractNumId="16" w15:restartNumberingAfterBreak="0">
    <w:nsid w:val="4189603E"/>
    <w:multiLevelType w:val="multilevel"/>
    <w:tmpl w:val="0AB06E12"/>
    <w:lvl w:ilvl="0">
      <w:start w:val="1"/>
      <w:numFmt w:val="upperRoman"/>
      <w:pStyle w:val="Heading1"/>
      <w:lvlText w:val="%1."/>
      <w:lvlJc w:val="center"/>
      <w:pPr>
        <w:tabs>
          <w:tab w:val="num" w:pos="28.80pt"/>
        </w:tabs>
        <w:ind w:firstLine="10.80pt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start"/>
      <w:pPr>
        <w:tabs>
          <w:tab w:val="num" w:pos="18pt"/>
        </w:tabs>
        <w:ind w:start="14.40pt" w:hanging="14.40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start"/>
      <w:pPr>
        <w:tabs>
          <w:tab w:val="num" w:pos="27pt"/>
        </w:tabs>
        <w:ind w:firstLine="9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start"/>
      <w:pPr>
        <w:tabs>
          <w:tab w:val="num" w:pos="31.50pt"/>
        </w:tabs>
        <w:ind w:firstLine="18pt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start"/>
      <w:pPr>
        <w:tabs>
          <w:tab w:val="num" w:pos="162pt"/>
        </w:tabs>
        <w:ind w:start="144pt"/>
      </w:pPr>
      <w:rPr>
        <w:rFonts w:cs="Times New Roman" w:hint="default"/>
      </w:rPr>
    </w:lvl>
    <w:lvl w:ilvl="5">
      <w:start w:val="1"/>
      <w:numFmt w:val="lowerLetter"/>
      <w:lvlText w:val="(%6)"/>
      <w:lvlJc w:val="start"/>
      <w:pPr>
        <w:tabs>
          <w:tab w:val="num" w:pos="198pt"/>
        </w:tabs>
        <w:ind w:start="180pt"/>
      </w:pPr>
      <w:rPr>
        <w:rFonts w:cs="Times New Roman" w:hint="default"/>
      </w:rPr>
    </w:lvl>
    <w:lvl w:ilvl="6">
      <w:start w:val="1"/>
      <w:numFmt w:val="lowerRoman"/>
      <w:lvlText w:val="(%7)"/>
      <w:lvlJc w:val="start"/>
      <w:pPr>
        <w:tabs>
          <w:tab w:val="num" w:pos="234pt"/>
        </w:tabs>
        <w:ind w:start="216pt"/>
      </w:pPr>
      <w:rPr>
        <w:rFonts w:cs="Times New Roman" w:hint="default"/>
      </w:rPr>
    </w:lvl>
    <w:lvl w:ilvl="7">
      <w:start w:val="1"/>
      <w:numFmt w:val="lowerLetter"/>
      <w:lvlText w:val="(%8)"/>
      <w:lvlJc w:val="start"/>
      <w:pPr>
        <w:tabs>
          <w:tab w:val="num" w:pos="270pt"/>
        </w:tabs>
        <w:ind w:start="252pt"/>
      </w:pPr>
      <w:rPr>
        <w:rFonts w:cs="Times New Roman" w:hint="default"/>
      </w:rPr>
    </w:lvl>
    <w:lvl w:ilvl="8">
      <w:start w:val="1"/>
      <w:numFmt w:val="lowerRoman"/>
      <w:lvlText w:val="(%9)"/>
      <w:lvlJc w:val="start"/>
      <w:pPr>
        <w:tabs>
          <w:tab w:val="num" w:pos="306pt"/>
        </w:tabs>
        <w:ind w:start="288pt"/>
      </w:pPr>
      <w:rPr>
        <w:rFonts w:cs="Times New Roman" w:hint="default"/>
      </w:rPr>
    </w:lvl>
  </w:abstractNum>
  <w:abstractNum w:abstractNumId="17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end"/>
      <w:pPr>
        <w:ind w:start="20.90pt" w:hanging="18pt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%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start"/>
      <w:pPr>
        <w:ind w:start="72pt" w:hanging="18pt"/>
      </w:pPr>
    </w:lvl>
    <w:lvl w:ilvl="2" w:tplc="0409001B" w:tentative="1">
      <w:start w:val="1"/>
      <w:numFmt w:val="lowerRoman"/>
      <w:lvlText w:val="%3."/>
      <w:lvlJc w:val="end"/>
      <w:pPr>
        <w:ind w:start="108pt" w:hanging="9pt"/>
      </w:pPr>
    </w:lvl>
    <w:lvl w:ilvl="3" w:tplc="0409000F" w:tentative="1">
      <w:start w:val="1"/>
      <w:numFmt w:val="decimal"/>
      <w:lvlText w:val="%4."/>
      <w:lvlJc w:val="start"/>
      <w:pPr>
        <w:ind w:start="144pt" w:hanging="18pt"/>
      </w:pPr>
    </w:lvl>
    <w:lvl w:ilvl="4" w:tplc="04090019" w:tentative="1">
      <w:start w:val="1"/>
      <w:numFmt w:val="lowerLetter"/>
      <w:lvlText w:val="%5."/>
      <w:lvlJc w:val="start"/>
      <w:pPr>
        <w:ind w:start="180pt" w:hanging="18pt"/>
      </w:pPr>
    </w:lvl>
    <w:lvl w:ilvl="5" w:tplc="0409001B" w:tentative="1">
      <w:start w:val="1"/>
      <w:numFmt w:val="lowerRoman"/>
      <w:lvlText w:val="%6."/>
      <w:lvlJc w:val="end"/>
      <w:pPr>
        <w:ind w:start="216pt" w:hanging="9pt"/>
      </w:pPr>
    </w:lvl>
    <w:lvl w:ilvl="6" w:tplc="0409000F" w:tentative="1">
      <w:start w:val="1"/>
      <w:numFmt w:val="decimal"/>
      <w:lvlText w:val="%7."/>
      <w:lvlJc w:val="start"/>
      <w:pPr>
        <w:ind w:start="252pt" w:hanging="18pt"/>
      </w:pPr>
    </w:lvl>
    <w:lvl w:ilvl="7" w:tplc="04090019" w:tentative="1">
      <w:start w:val="1"/>
      <w:numFmt w:val="lowerLetter"/>
      <w:lvlText w:val="%8."/>
      <w:lvlJc w:val="start"/>
      <w:pPr>
        <w:ind w:start="288pt" w:hanging="18pt"/>
      </w:pPr>
    </w:lvl>
    <w:lvl w:ilvl="8" w:tplc="040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18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start"/>
      <w:pPr>
        <w:tabs>
          <w:tab w:val="num" w:pos="18pt"/>
        </w:tabs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9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start"/>
      <w:pPr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20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start"/>
      <w:pPr>
        <w:tabs>
          <w:tab w:val="num" w:pos="54pt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num w:numId="1" w16cid:durableId="1369909383">
    <w:abstractNumId w:val="14"/>
  </w:num>
  <w:num w:numId="2" w16cid:durableId="568543031">
    <w:abstractNumId w:val="19"/>
  </w:num>
  <w:num w:numId="3" w16cid:durableId="1207790780">
    <w:abstractNumId w:val="13"/>
  </w:num>
  <w:num w:numId="4" w16cid:durableId="629168631">
    <w:abstractNumId w:val="16"/>
  </w:num>
  <w:num w:numId="5" w16cid:durableId="1032806882">
    <w:abstractNumId w:val="16"/>
  </w:num>
  <w:num w:numId="6" w16cid:durableId="1614826021">
    <w:abstractNumId w:val="16"/>
  </w:num>
  <w:num w:numId="7" w16cid:durableId="1871990542">
    <w:abstractNumId w:val="16"/>
  </w:num>
  <w:num w:numId="8" w16cid:durableId="2088458160">
    <w:abstractNumId w:val="18"/>
  </w:num>
  <w:num w:numId="9" w16cid:durableId="231694775">
    <w:abstractNumId w:val="20"/>
  </w:num>
  <w:num w:numId="10" w16cid:durableId="2126189682">
    <w:abstractNumId w:val="15"/>
  </w:num>
  <w:num w:numId="11" w16cid:durableId="771515552">
    <w:abstractNumId w:val="12"/>
  </w:num>
  <w:num w:numId="12" w16cid:durableId="1603688421">
    <w:abstractNumId w:val="11"/>
  </w:num>
  <w:num w:numId="13" w16cid:durableId="308025467">
    <w:abstractNumId w:val="0"/>
  </w:num>
  <w:num w:numId="14" w16cid:durableId="915015855">
    <w:abstractNumId w:val="10"/>
  </w:num>
  <w:num w:numId="15" w16cid:durableId="124853704">
    <w:abstractNumId w:val="8"/>
  </w:num>
  <w:num w:numId="16" w16cid:durableId="378433823">
    <w:abstractNumId w:val="7"/>
  </w:num>
  <w:num w:numId="17" w16cid:durableId="178550123">
    <w:abstractNumId w:val="6"/>
  </w:num>
  <w:num w:numId="18" w16cid:durableId="1882938436">
    <w:abstractNumId w:val="5"/>
  </w:num>
  <w:num w:numId="19" w16cid:durableId="1292051459">
    <w:abstractNumId w:val="9"/>
  </w:num>
  <w:num w:numId="20" w16cid:durableId="439644133">
    <w:abstractNumId w:val="4"/>
  </w:num>
  <w:num w:numId="21" w16cid:durableId="277882354">
    <w:abstractNumId w:val="3"/>
  </w:num>
  <w:num w:numId="22" w16cid:durableId="85808594">
    <w:abstractNumId w:val="2"/>
  </w:num>
  <w:num w:numId="23" w16cid:durableId="306714086">
    <w:abstractNumId w:val="1"/>
  </w:num>
  <w:num w:numId="24" w16cid:durableId="27663933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%"/>
  <w:embedSystemFonts/>
  <w:proofState w:spelling="clean" w:grammar="clean"/>
  <w:defaultTabStop w:val="36pt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4781E"/>
    <w:rsid w:val="0008758A"/>
    <w:rsid w:val="000C1E68"/>
    <w:rsid w:val="001A2EFD"/>
    <w:rsid w:val="001A3B3D"/>
    <w:rsid w:val="001B67DC"/>
    <w:rsid w:val="002254A9"/>
    <w:rsid w:val="00233D97"/>
    <w:rsid w:val="002347A2"/>
    <w:rsid w:val="002850E3"/>
    <w:rsid w:val="00354FCF"/>
    <w:rsid w:val="003A19E2"/>
    <w:rsid w:val="003B2B40"/>
    <w:rsid w:val="003B4E04"/>
    <w:rsid w:val="003F5A08"/>
    <w:rsid w:val="00420716"/>
    <w:rsid w:val="004325FB"/>
    <w:rsid w:val="004432BA"/>
    <w:rsid w:val="0044407E"/>
    <w:rsid w:val="00447BB9"/>
    <w:rsid w:val="0046031D"/>
    <w:rsid w:val="00473AC9"/>
    <w:rsid w:val="004D72B5"/>
    <w:rsid w:val="00551B7F"/>
    <w:rsid w:val="0056610F"/>
    <w:rsid w:val="00575BCA"/>
    <w:rsid w:val="005B0344"/>
    <w:rsid w:val="005B520E"/>
    <w:rsid w:val="005E2800"/>
    <w:rsid w:val="00605825"/>
    <w:rsid w:val="00645D22"/>
    <w:rsid w:val="00651A08"/>
    <w:rsid w:val="00654204"/>
    <w:rsid w:val="00670434"/>
    <w:rsid w:val="006A5D82"/>
    <w:rsid w:val="006B6B66"/>
    <w:rsid w:val="006F6D3D"/>
    <w:rsid w:val="00715BEA"/>
    <w:rsid w:val="00740EEA"/>
    <w:rsid w:val="00794804"/>
    <w:rsid w:val="007B33F1"/>
    <w:rsid w:val="007B6DDA"/>
    <w:rsid w:val="007C0308"/>
    <w:rsid w:val="007C2FF2"/>
    <w:rsid w:val="007D6232"/>
    <w:rsid w:val="007F1F99"/>
    <w:rsid w:val="007F768F"/>
    <w:rsid w:val="0080791D"/>
    <w:rsid w:val="008147B5"/>
    <w:rsid w:val="00836367"/>
    <w:rsid w:val="00873603"/>
    <w:rsid w:val="008A2C7D"/>
    <w:rsid w:val="008B6524"/>
    <w:rsid w:val="008C4B23"/>
    <w:rsid w:val="008F6E2C"/>
    <w:rsid w:val="009303D9"/>
    <w:rsid w:val="00933C64"/>
    <w:rsid w:val="00972203"/>
    <w:rsid w:val="009F1D79"/>
    <w:rsid w:val="00A059B3"/>
    <w:rsid w:val="00AE3409"/>
    <w:rsid w:val="00B11A60"/>
    <w:rsid w:val="00B22613"/>
    <w:rsid w:val="00B44A76"/>
    <w:rsid w:val="00B768D1"/>
    <w:rsid w:val="00BA1025"/>
    <w:rsid w:val="00BC3420"/>
    <w:rsid w:val="00BD670B"/>
    <w:rsid w:val="00BE7D3C"/>
    <w:rsid w:val="00BF5FF6"/>
    <w:rsid w:val="00C0207F"/>
    <w:rsid w:val="00C16117"/>
    <w:rsid w:val="00C3075A"/>
    <w:rsid w:val="00C919A4"/>
    <w:rsid w:val="00CA4392"/>
    <w:rsid w:val="00CC393F"/>
    <w:rsid w:val="00D2176E"/>
    <w:rsid w:val="00D632BE"/>
    <w:rsid w:val="00D72D06"/>
    <w:rsid w:val="00D7522C"/>
    <w:rsid w:val="00D7536F"/>
    <w:rsid w:val="00D76668"/>
    <w:rsid w:val="00E07383"/>
    <w:rsid w:val="00E165BC"/>
    <w:rsid w:val="00E61E12"/>
    <w:rsid w:val="00E7596C"/>
    <w:rsid w:val="00E878F2"/>
    <w:rsid w:val="00ED0149"/>
    <w:rsid w:val="00EF7DE3"/>
    <w:rsid w:val="00F03103"/>
    <w:rsid w:val="00F271DE"/>
    <w:rsid w:val="00F627DA"/>
    <w:rsid w:val="00F7288F"/>
    <w:rsid w:val="00F847A6"/>
    <w:rsid w:val="00F9441B"/>
    <w:rsid w:val="00FA4C32"/>
    <w:rsid w:val="00FE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5FC7D30"/>
  <w15:chartTrackingRefBased/>
  <w15:docId w15:val="{024ECAD1-2323-4B9B-8C03-899AA7F9FF21}"/>
</w:settings>
</file>

<file path=word/styles.xml><?xml version="1.0" encoding="utf-8"?>
<w:styles xmlns:mc="http://schemas.openxmlformats.org/markup-compatibility/2006" xmlns:r="http://purl.oclc.org/ooxml/officeDocument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center"/>
    </w:pPr>
  </w:style>
  <w:style w:type="paragraph" w:styleId="Heading1">
    <w:name w:val="heading 1"/>
    <w:basedOn w:val="Normal"/>
    <w:next w:val="Normal"/>
    <w:qFormat/>
    <w:rsid w:val="006B6B66"/>
    <w:pPr>
      <w:keepNext/>
      <w:keepLines/>
      <w:numPr>
        <w:numId w:val="4"/>
      </w:numPr>
      <w:tabs>
        <w:tab w:val="start" w:pos="10.80pt"/>
      </w:tabs>
      <w:spacing w:before="8pt" w:after="4pt"/>
      <w:ind w:firstLine="0pt"/>
      <w:outlineLvl w:val="0"/>
    </w:pPr>
    <w:rPr>
      <w:smallCaps/>
      <w:noProof/>
    </w:rPr>
  </w:style>
  <w:style w:type="paragraph" w:styleId="Heading2">
    <w:name w:val="heading 2"/>
    <w:basedOn w:val="Normal"/>
    <w:next w:val="Normal"/>
    <w:qFormat/>
    <w:rsid w:val="00ED0149"/>
    <w:pPr>
      <w:keepNext/>
      <w:keepLines/>
      <w:numPr>
        <w:ilvl w:val="1"/>
        <w:numId w:val="4"/>
      </w:numPr>
      <w:tabs>
        <w:tab w:val="clear" w:pos="18pt"/>
        <w:tab w:val="num" w:pos="14.40pt"/>
      </w:tabs>
      <w:spacing w:before="6pt" w:after="3pt"/>
      <w:jc w:val="star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qFormat/>
    <w:rsid w:val="00794804"/>
    <w:pPr>
      <w:numPr>
        <w:ilvl w:val="2"/>
        <w:numId w:val="4"/>
      </w:numPr>
      <w:spacing w:line="12pt" w:lineRule="exact"/>
      <w:ind w:firstLine="14.40pt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qFormat/>
    <w:rsid w:val="00794804"/>
    <w:pPr>
      <w:numPr>
        <w:ilvl w:val="3"/>
        <w:numId w:val="4"/>
      </w:numPr>
      <w:tabs>
        <w:tab w:val="clear" w:pos="31.50pt"/>
        <w:tab w:val="start" w:pos="36pt"/>
      </w:tabs>
      <w:spacing w:before="2pt" w:after="2pt"/>
      <w:ind w:firstLine="25.20pt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qFormat/>
    <w:pPr>
      <w:tabs>
        <w:tab w:val="start" w:pos="18pt"/>
      </w:tabs>
      <w:spacing w:before="8pt" w:after="4pt"/>
      <w:outlineLvl w:val="4"/>
    </w:pPr>
    <w:rPr>
      <w:smallCaps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10pt"/>
      <w:ind w:firstLine="13.60pt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18pt" w:after="2pt"/>
      <w:jc w:val="center"/>
    </w:pPr>
    <w:rPr>
      <w:noProof/>
      <w:sz w:val="22"/>
      <w:szCs w:val="22"/>
    </w:rPr>
  </w:style>
  <w:style w:type="paragraph" w:styleId="BodyText">
    <w:name w:val="Body Text"/>
    <w:basedOn w:val="Normal"/>
    <w:link w:val="BodyTextChar"/>
    <w:rsid w:val="00E7596C"/>
    <w:pPr>
      <w:tabs>
        <w:tab w:val="start" w:pos="14.40pt"/>
      </w:tabs>
      <w:spacing w:after="6pt" w:line="11.40pt" w:lineRule="auto"/>
      <w:ind w:firstLine="14.40pt"/>
      <w:jc w:val="both"/>
    </w:pPr>
    <w:rPr>
      <w:spacing w:val="-1"/>
      <w:lang w:val="x-none" w:eastAsia="x-none"/>
    </w:rPr>
  </w:style>
  <w:style w:type="character" w:customStyle="1" w:styleId="BodyTextChar">
    <w:name w:val="Body Text Char"/>
    <w:link w:val="BodyText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BodyText"/>
    <w:rsid w:val="001B67DC"/>
    <w:pPr>
      <w:numPr>
        <w:numId w:val="1"/>
      </w:numPr>
      <w:tabs>
        <w:tab w:val="clear" w:pos="32.40pt"/>
      </w:tabs>
      <w:ind w:start="28.80pt" w:hanging="14.40pt"/>
    </w:pPr>
  </w:style>
  <w:style w:type="paragraph" w:customStyle="1" w:styleId="equation">
    <w:name w:val="equation"/>
    <w:basedOn w:val="Normal"/>
    <w:rsid w:val="008A2C7D"/>
    <w:pPr>
      <w:tabs>
        <w:tab w:val="center" w:pos="126pt"/>
        <w:tab w:val="end" w:pos="252pt"/>
      </w:tabs>
      <w:spacing w:before="12pt" w:after="12pt" w:line="10.80pt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start" w:pos="26.65pt"/>
      </w:tabs>
      <w:spacing w:before="4pt" w:after="10pt"/>
      <w:ind w:start="0pt" w:firstLine="0pt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9.35pt" w:vSpace="9.35pt" w:wrap="notBeside" w:vAnchor="text" w:hAnchor="page" w:x="306.05pt" w:y="28.85pt"/>
      <w:numPr>
        <w:numId w:val="3"/>
      </w:numPr>
      <w:spacing w:after="2pt"/>
    </w:pPr>
    <w:rPr>
      <w:sz w:val="16"/>
      <w:szCs w:val="16"/>
    </w:rPr>
  </w:style>
  <w:style w:type="paragraph" w:customStyle="1" w:styleId="papersubtitle">
    <w:name w:val="paper subtitle"/>
    <w:pPr>
      <w:spacing w:after="6pt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6pt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8"/>
      </w:numPr>
      <w:spacing w:after="2.50pt" w:line="9pt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30.75pt" w:y="111.95pt"/>
      <w:pBdr>
        <w:top w:val="single" w:sz="4" w:space="2" w:color="auto"/>
      </w:pBdr>
      <w:ind w:firstLine="14.40pt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24"/>
      </w:numPr>
      <w:spacing w:before="3pt" w:after="1.50pt"/>
      <w:ind w:start="2.90pt" w:hanging="1.45pt"/>
      <w:jc w:val="end"/>
    </w:pPr>
    <w:rPr>
      <w:sz w:val="12"/>
      <w:szCs w:val="12"/>
    </w:rPr>
  </w:style>
  <w:style w:type="paragraph" w:customStyle="1" w:styleId="tablehead">
    <w:name w:val="table head"/>
    <w:pPr>
      <w:numPr>
        <w:numId w:val="9"/>
      </w:numPr>
      <w:spacing w:before="12pt" w:after="6pt" w:line="10.80pt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6pt"/>
      <w:ind w:firstLine="13.70pt"/>
    </w:pPr>
    <w:rPr>
      <w:i/>
    </w:rPr>
  </w:style>
  <w:style w:type="paragraph" w:styleId="Header">
    <w:name w:val="header"/>
    <w:basedOn w:val="Normal"/>
    <w:link w:val="HeaderChar"/>
    <w:rsid w:val="001A3B3D"/>
    <w:pPr>
      <w:tabs>
        <w:tab w:val="center" w:pos="234pt"/>
        <w:tab w:val="end" w:pos="468pt"/>
      </w:tabs>
    </w:pPr>
  </w:style>
  <w:style w:type="character" w:customStyle="1" w:styleId="HeaderChar">
    <w:name w:val="Header Char"/>
    <w:basedOn w:val="DefaultParagraphFont"/>
    <w:link w:val="Header"/>
    <w:rsid w:val="001A3B3D"/>
  </w:style>
  <w:style w:type="paragraph" w:styleId="Footer">
    <w:name w:val="footer"/>
    <w:basedOn w:val="Normal"/>
    <w:link w:val="FooterChar"/>
    <w:rsid w:val="001A3B3D"/>
    <w:pPr>
      <w:tabs>
        <w:tab w:val="center" w:pos="234pt"/>
        <w:tab w:val="end" w:pos="468pt"/>
      </w:tabs>
    </w:pPr>
  </w:style>
  <w:style w:type="character" w:customStyle="1" w:styleId="FooterChar">
    <w:name w:val="Footer Char"/>
    <w:basedOn w:val="DefaultParagraphFont"/>
    <w:link w:val="Footer"/>
    <w:rsid w:val="001A3B3D"/>
  </w:style>
</w:styles>
</file>

<file path=word/webSettings.xml><?xml version="1.0" encoding="utf-8"?>
<w:webSettings xmlns:mc="http://schemas.openxmlformats.org/markup-compatibility/2006" xmlns:r="http://purl.oclc.org/ooxml/officeDocument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arxiv.org/abs/1312.6114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deocean.com/capsule/4989235/tree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purl.oclc.org/ooxml/officeDocument/customXml" ds:itemID="{9E966C7F-158E-4883-86A6-4454069232BB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Normal.dotm</Template>
  <TotalTime>0</TotalTime>
  <Pages>3</Pages>
  <Words>2276</Words>
  <Characters>12975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15221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cp:keywords/>
  <cp:lastModifiedBy>Diana Romeo</cp:lastModifiedBy>
  <cp:revision>2</cp:revision>
  <dcterms:created xsi:type="dcterms:W3CDTF">2024-07-16T13:42:00Z</dcterms:created>
  <dcterms:modified xsi:type="dcterms:W3CDTF">2024-07-16T13:42:00Z</dcterms:modified>
</cp:coreProperties>
</file>