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Iskoola Pota" w:hAnsi="Iskoola Pota" w:cs="Iskoola Pota" w:eastAsia="Iskoola Pota"/>
          <w:b/>
          <w:color w:val="000000"/>
          <w:sz w:val="32"/>
          <w:szCs w:val="32"/>
          <w:bCs/>
        </w:rPr>
        <w:t>5. තක්සේරුව (</w:t>
      </w:r>
      <w:r>
        <w:rPr>
          <w:rFonts w:ascii="Times New Roman" w:hAnsi="Times New Roman" w:cs="Times New Roman" w:eastAsia="Times New Roman"/>
          <w:b/>
          <w:color w:val="000000"/>
          <w:sz w:val="32"/>
          <w:szCs w:val="32"/>
          <w:bCs/>
        </w:rPr>
        <w:t>Evaluation)</w:t>
      </w:r>
    </w:p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5.1 මෙහෙයුම් ප්‍රතිඵල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පරිච්ඡේදය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නිපැයුමේ තාක්ෂණික ක්‍රියාකාරිත්වය, සාරාංශ ගුණාත්මකභාවය, මාදිලි තේරීමේ වෙළඳාසි සහ පරිශීලක-ආශ්‍රිත සාක්ෂි තක්සේරු කරයි. තක්සේරු ක්‍රමවේදය තුන් මානයකින් සමන්විත වේ: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i)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යෙදවූ පද්ධතියේ මෙහෙයුම් සෞඛ්‍යය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කාර්ය සාධනය;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ii)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මානව යොමු සාරාංශ සමඟ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මගින් ප්‍රමාණාත්මක සාරාංශ තක්සේරුව;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iii)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නියමු චක්‍රලේඛ සැකසුම් ප්‍රතිඵල සහ සමීක්ෂණ සාක්ෂි මත පදනම් වූ ගුණාත්මක අර්ථකථනය. විධිමත් පාසල් කාර්ය මණ්ඩල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UAT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තවම සම්පූර්ණ නොවූ බැවින් එය වෙනම සීමාවක් ලෙස කොටස 5.5 හි ප්‍රකාශ කෙරේ.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මෙහෙයුම් තක්සේරුව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Compose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පරිසරයේ ත්‍රිස්ථර යෙදවීම (ඉදිරිපත් කිරීමේ ස්ථරය, යෙදුම් ස්ථරය,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සේවාව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MongoDB)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සමගාමීව ක්‍රියාත්මක වන විට සිදු කරන ලදී. අදියර 1 සත්‍යාපනය මගින් සියලු සේවාවන්ගේ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health endpoints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සාර්ථක ප්‍රතිචාර ලබා දුන් බව තහවුරු විය. අදියර 4 සත්‍යාපනය මගින් අනවසර සැකසුම් ඉල්ලීමක් ප්‍රතික්ෂේප වන බවත්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HTTP 401),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සත්‍යාපිත පරිශීලක ප්‍රවාහය තුළ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PDF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උඩුගත කිරීමේ සිට නිස්සාරණය සහ සාරාංශ ජනනය දක්වා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end-to-end MVP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කාර්යප්‍රවාහය සම්පූර්ණ වන බවත් පෙන්වා දෙන ලදී.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කාර්ය සාධන දෘෂ්ටියෙන්,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digital-born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ඉංග්‍රීසි චක්‍රලේඛයක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pdfplumber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නිස්සාරණය ආසන්න වශයෙන් තත්පර 1.2ක් ගත විය.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scanned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නියැදි සඳහා ලේඛනයකට සාමාන්‍යයෙන් තත්පර 6.8ක් පමණ ගත විය.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Ollama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cold LLM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ඇමතුමක් ලේඛන දිග අනුව තත්පර 8–15ක් පමණ ගත වූ අතර, එකම අන්තර්ගත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hash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එකක් සහිත නැවත සැකසුම් ඉල්ලීමක්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MongoDB cache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මගින් ආසන්න වශයෙන් 114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තුළ සම්පූර්ණ විය. මෙම අගයන්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human-in-the-loop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සමාලෝචන පියවරක් ඇතුළත් පාසල් පරිපාලන කාර්යප්‍රවාහයකට ප්‍රායෝගිකව පිළිගත හැකි මට්ටමක පවතී.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මෙහෙයුම් තක්සේරුවේ සීමාවක් ලෙස මෙය සංවර්ධන/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staging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යෙදවීමක් බව සටහන් කළ යුතුය. නිෂ්පාදන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uptime SLA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එකක් ප්‍රකාශ නොකරන අතර ඉහළ සමගාමී පරිශීලක භාරයක් මෙම අධ්‍යයනයේ ප්‍රධාන මිනුම් ඉලක්කයක් නොවීය. එසේ වුවද, නැවත ලබා ගත හැකි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exit-gate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සත්‍යාපනය මගින් නිපැයුම ක්‍රියාකාරී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deliverable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එකක් ලෙස ක්‍රියාත්මක වන බවට ප්‍රමාණවත් මෙහෙයුම් සාක්ෂි ලැබේ. පහත රූප අදියර 1 සහ අදියර 4 සත්‍යාපන ප්‍රතිඵල සාරාංශගත කරයි.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4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-verify-phas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අදියර 1 මෙහෙයුම් සත්‍යාපන ප්‍රතිඵල  සියලු සේවා සෞඛ්‍ය සමත්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830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-verify-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3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අදියර 4 මෙහෙයුම් සත්‍යාපන ප්‍රතිඵල  401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gate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MVP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ප්‍රවාහය</w:t>
      </w:r>
    </w:p>
    <w:p>
      <w:pPr>
        <w:pStyle w:val="Heading2"/>
        <w:spacing w:before="160" w:after="120"/>
      </w:pP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5.2 ROUGE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තක්සේරු ප්‍රතිඵල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 ගුණාත්මකභාව ප්‍රමාණනය කිරීම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(Recall-Oriented Understudy for Gisting Evaluation)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මිනුම් භාවිත කරන ලදී. අමාත්‍යාංශ චක්‍රලේඛ හයක් සඳහා මානව-රචිත යොමු සාරාංශ සකසා, පද්ධති-ජනිත සාරාංශය සමඟ සංසන්දනය කෙරිණි. නැවත ලබා ගත හැකි බව සහතික කිරීම පිණිස තක්සේරුව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extractive/fallback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මාදිලියේ සිදු කරන ලදී. එමගින් බාහිර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සේවාවක ලබා ගත හැකි බව මත යැපෙන අනිර්ණයාත්මක විචලනය අවම වේ.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Macro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සාමාන්‍ය අගයන්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ROUGE-1 F1 = 0.414, ROUGE-2 F1 = 0.215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ROUGE-L F1 = 0.292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අගය මානව යොමු සාරාංශ සමඟ මධ්‍යම මට්ටමේ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unigram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අතිච්ඡාදනයක් පෙන්වයි.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ROUGE-2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අගය අඩු වන්නේ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වාක්‍ය තේරීම මානව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paraphrase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කළ යොමු සාරාංශයේ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bigram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රටාවලට සම්පූර්ණයෙන් නොගැලපෙන බැවිනි.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ROUGE-L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අගය අර්ධ ව්‍යුහාත්මක අනුකූලතාවක් නිරූපණය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ලේඛන මට්ටමේ වෙනස්කම් ද වැදගත්ය. කෙටි, කේන්ද්‍රගත චක්‍රලේඛවල ඉහළ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අගයන් ලැබුණු අතර, දිගු පරිපාලන ලේඛනවල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boilerplate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ඝනත්වය නිසා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bigram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අතිච්ඡාදනය අඩු විය. මෙය පෙන්වන්නේ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ලකුණු ලේඛන වර්ගය සහ දිග මත රඳා පවතින බවයි. එබැවින්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macro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අගය තනි ලේඛනයක ගුණාත්මකභාවයේ නිරපේක්ෂ මිනුමක් ලෙස නොව, ව්‍යාපෘති-අභ්‍යන්තර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baseline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එකක් ලෙස අර්ථකථනය කළ යුතුය.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සීමාවන් පැහැදිලිව පිළිගත යුතුය. නියැදි ප්‍රමාණය හයකි; යොමු සාරාංශ තනි සටහන්කරුවකුගේ වන අතර අන්තර්-සටහන්කරු එකඟතාව මනින ලද්දේ නැත; ප්‍රධාන වාර්තාකරණය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මාදිලිය මත පදනම් වේ. එසේ වුවද,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ප්‍රතිඵල නැවත ලබා ගත හැකි ප්‍රමාණාත්මක සාධකයක් සපයන අතර අනාගත වැඩිදියුණු කිරීම් සංසන්දනය කිරීමට පදනමක් වේ.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Table 5.1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පහත රූපය ලේඛන-මට්ටමේ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macro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ප්‍රතිඵල ඉදිරිපත් කරයි.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color w:val="000000"/>
          <w:sz w:val="22"/>
          <w:szCs w:val="22"/>
          <w:bCs/>
        </w:rPr>
        <w:t>Table 5.1: ROUGE evaluation results - sample MOE circulars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9"/>
        <w:gridCol w:w="2049"/>
        <w:gridCol w:w="2049"/>
        <w:gridCol w:w="2049"/>
      </w:tblGrid>
      <w:tr>
        <w:tc>
          <w:tcPr>
            <w:tcW w:type="dxa" w:w="2049"/>
          </w:tcPr>
          <w:p>
            <w:r/>
            <w:r>
              <w:rPr>
                <w:rFonts w:ascii="Iskoola Pota" w:hAnsi="Iskoola Pota" w:cs="Iskoola Pota" w:eastAsia="Iskoola Pota"/>
                <w:b/>
                <w:color w:val="000000"/>
                <w:sz w:val="22"/>
                <w:szCs w:val="22"/>
                <w:bCs/>
              </w:rPr>
              <w:t xml:space="preserve">චක්‍රලේඛ </w:t>
            </w:r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ID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ROUGE-1 F1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ROUGE-2 F1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ROUGE-L F1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10-2026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0.394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0.183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0.265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12-2026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0.416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0.166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0.243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15-2026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0.347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0.160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0.263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23-2026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0.467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0.292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0.352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44-2006i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0.489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0.243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0.298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44-2025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0.369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0.245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0.332</w:t>
            </w:r>
          </w:p>
        </w:tc>
      </w:tr>
      <w:tr>
        <w:tc>
          <w:tcPr>
            <w:tcW w:type="dxa" w:w="2049"/>
          </w:tcPr>
          <w:p>
            <w:r/>
            <w:r>
              <w:rPr>
                <w:rFonts w:ascii="Iskoola Pota" w:hAnsi="Iskoola Pota" w:cs="Iskoola Pota" w:eastAsia="Iskoola Pota"/>
                <w:b w:val="0"/>
                <w:color w:val="000000"/>
                <w:sz w:val="22"/>
                <w:szCs w:val="22"/>
              </w:rPr>
              <w:t>සාමාන්‍ය (</w:t>
            </w: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macro)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0.414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0.215</w:t>
            </w:r>
          </w:p>
        </w:tc>
        <w:tc>
          <w:tcPr>
            <w:tcW w:type="dxa" w:w="204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0.292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634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-rouge-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63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නියමු චක්‍රලේඛ අනුව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ROUGE-1, ROUGE-2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ROUGE-L F1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අගයන් (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fallback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මාදිලිය)</w:t>
      </w:r>
    </w:p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5.3 නියමු චක්‍රලේඛ තක්සේරුව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සාරාංශ අතිච්ඡාදනය ප්‍රමාණනය කළද,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එකේ අනෙකුත් අවධීන් - විශේෂයෙන්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අවශ්‍යතාව,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නිස්සාරණය සහ ක්‍රියාකාරී අයිතම හඳුනා ගැනීම - ගුණාත්මක නියැදි තක්සේරුවකින් අනුපූරක කළ යුතුය. ඒ සඳහා නියෝජිත අමාත්‍යාංශ චක්‍රලේඛ අටක් සකසා පිටු ගණන,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DATE/ORG/LAW entity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ගණන් සහ ක්‍රියාකාරී අයිතම ගණන් වාර්තා කරන ලදී.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Digital PDF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ලේඛනවල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DATE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ORG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නිස්සාරණය සාපේක්ෂව ශක්තිමත් විය. නීතිමය වගන්ති යොමු ඇති ලේඛනවල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LAW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රටා ක්‍රියාත්මක විය. ක්‍රියාකාරී අයිතම ඝනත්වය නියෝගාත්මක භාෂාව (උදා.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directed, instructed, should)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සමඟ සහසම්බන්ධ විය. ඊට වෙනස්ව,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scanned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සිංහල පිටුවල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පෙළ අපැහැදිලි වූ අවස්ථාවලදී, සැකසීමට පෙර පරිශීලක සංස්කරණ පියවර අත්‍යවශ්‍ය විය. මෙය නිර්මාණයේ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human-in-the-loop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තීරණය සනාථ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නියැදි තක්සේරුවේ අරමුණ නීතිමය වලංගුතාව සනාථ කිරීම නොවේ. එය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 විවිධ ලේඛන ලක්ෂණ යටතේ ක්‍රියාත්මක වන ආකාරය විස්තර කිරීමයි.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Table 5.2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පහත රූපය නියැදි අටේ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සහ ක්‍රියාකාරී අයිතම ව්‍යාප්තිය සාරාංශගත කරයි.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color w:val="000000"/>
          <w:sz w:val="22"/>
          <w:szCs w:val="22"/>
          <w:bCs/>
        </w:rPr>
        <w:t>Table 5.2: Sample circular processing evaluation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PDF</w:t>
            </w:r>
          </w:p>
        </w:tc>
        <w:tc>
          <w:tcPr>
            <w:tcW w:type="dxa" w:w="1171"/>
          </w:tcPr>
          <w:p>
            <w:r/>
            <w:r>
              <w:rPr>
                <w:rFonts w:ascii="Iskoola Pota" w:hAnsi="Iskoola Pota" w:cs="Iskoola Pota" w:eastAsia="Iskoola Pota"/>
                <w:b/>
                <w:color w:val="000000"/>
                <w:sz w:val="22"/>
                <w:szCs w:val="22"/>
                <w:bCs/>
              </w:rPr>
              <w:t>පිටු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OCR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DATE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ORG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LAW</w:t>
            </w:r>
          </w:p>
        </w:tc>
        <w:tc>
          <w:tcPr>
            <w:tcW w:type="dxa" w:w="1171"/>
          </w:tcPr>
          <w:p>
            <w:r/>
            <w:r>
              <w:rPr>
                <w:rFonts w:ascii="Iskoola Pota" w:hAnsi="Iskoola Pota" w:cs="Iskoola Pota" w:eastAsia="Iskoola Pota"/>
                <w:b/>
                <w:color w:val="000000"/>
                <w:sz w:val="22"/>
                <w:szCs w:val="22"/>
                <w:bCs/>
              </w:rPr>
              <w:t>ක්‍රියා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10-2026-En.pdf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type="dxa" w:w="1171"/>
          </w:tcPr>
          <w:p>
            <w:r/>
            <w:r>
              <w:rPr>
                <w:rFonts w:ascii="Iskoola Pota" w:hAnsi="Iskoola Pota" w:cs="Iskoola Pota" w:eastAsia="Iskoola Pota"/>
                <w:b w:val="0"/>
                <w:color w:val="000000"/>
                <w:sz w:val="22"/>
                <w:szCs w:val="22"/>
              </w:rPr>
              <w:t>නැත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17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6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12-2026-En-1.pdf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104</w:t>
            </w:r>
          </w:p>
        </w:tc>
        <w:tc>
          <w:tcPr>
            <w:tcW w:type="dxa" w:w="1171"/>
          </w:tcPr>
          <w:p>
            <w:r/>
            <w:r>
              <w:rPr>
                <w:rFonts w:ascii="Iskoola Pota" w:hAnsi="Iskoola Pota" w:cs="Iskoola Pota" w:eastAsia="Iskoola Pota"/>
                <w:b w:val="0"/>
                <w:color w:val="000000"/>
                <w:sz w:val="22"/>
                <w:szCs w:val="22"/>
              </w:rPr>
              <w:t>ඔව්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16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25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20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6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15-2026-En.pdf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Iskoola Pota" w:hAnsi="Iskoola Pota" w:cs="Iskoola Pota" w:eastAsia="Iskoola Pota"/>
                <w:b w:val="0"/>
                <w:color w:val="000000"/>
                <w:sz w:val="22"/>
                <w:szCs w:val="22"/>
              </w:rPr>
              <w:t>නැත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6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23-2026-En.pdf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30</w:t>
            </w:r>
          </w:p>
        </w:tc>
        <w:tc>
          <w:tcPr>
            <w:tcW w:type="dxa" w:w="1171"/>
          </w:tcPr>
          <w:p>
            <w:r/>
            <w:r>
              <w:rPr>
                <w:rFonts w:ascii="Iskoola Pota" w:hAnsi="Iskoola Pota" w:cs="Iskoola Pota" w:eastAsia="Iskoola Pota"/>
                <w:b w:val="0"/>
                <w:color w:val="000000"/>
                <w:sz w:val="22"/>
                <w:szCs w:val="22"/>
              </w:rPr>
              <w:t>නැත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44-2006i-En-1.pdf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Iskoola Pota" w:hAnsi="Iskoola Pota" w:cs="Iskoola Pota" w:eastAsia="Iskoola Pota"/>
                <w:b w:val="0"/>
                <w:color w:val="000000"/>
                <w:sz w:val="22"/>
                <w:szCs w:val="22"/>
              </w:rPr>
              <w:t>නැත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44-2025-En.pdf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type="dxa" w:w="1171"/>
          </w:tcPr>
          <w:p>
            <w:r/>
            <w:r>
              <w:rPr>
                <w:rFonts w:ascii="Iskoola Pota" w:hAnsi="Iskoola Pota" w:cs="Iskoola Pota" w:eastAsia="Iskoola Pota"/>
                <w:b w:val="0"/>
                <w:color w:val="000000"/>
                <w:sz w:val="22"/>
                <w:szCs w:val="22"/>
              </w:rPr>
              <w:t>ඔව්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7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6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03-2014I.pdf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Iskoola Pota" w:hAnsi="Iskoola Pota" w:cs="Iskoola Pota" w:eastAsia="Iskoola Pota"/>
                <w:b w:val="0"/>
                <w:color w:val="000000"/>
                <w:sz w:val="22"/>
                <w:szCs w:val="22"/>
              </w:rPr>
              <w:t>ඔව්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23-2026-Ta.pdf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30</w:t>
            </w:r>
          </w:p>
        </w:tc>
        <w:tc>
          <w:tcPr>
            <w:tcW w:type="dxa" w:w="1171"/>
          </w:tcPr>
          <w:p>
            <w:r/>
            <w:r>
              <w:rPr>
                <w:rFonts w:ascii="Iskoola Pota" w:hAnsi="Iskoola Pota" w:cs="Iskoola Pota" w:eastAsia="Iskoola Pota"/>
                <w:b w:val="0"/>
                <w:color w:val="000000"/>
                <w:sz w:val="22"/>
                <w:szCs w:val="22"/>
              </w:rPr>
              <w:t>නැත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86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-sample-entit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8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නියමු චක්‍රලේඛ තක්සේරුවේ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entity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ගණන් සහ ක්‍රියාකාරී අයිතම ව්‍යාප්තිය</w:t>
      </w:r>
    </w:p>
    <w:p>
      <w:pPr>
        <w:pStyle w:val="Heading2"/>
        <w:spacing w:before="160" w:after="120"/>
      </w:pP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5.4 LLM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 xml:space="preserve">සහ 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fallback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මාදිලි සාකච්ඡාව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තුළ සාරාංශකරණ මාදිලි දෙකක් ක්‍රියාත්මක වේ.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මාදිලිය දේශීය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Ollama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හෝ වින්‍යාසගත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ලබා ගත හැකි විටත්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date guardrails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සමත් වූ විටත්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abstractive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සාරාංශයක් ජනනය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මාදිලිය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TextRank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ආකාරයේ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extractive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තේරීමක් භාවිත කරයි. තක්සේරුවේ ප්‍රධාන වාර්තාකරණය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මත පදනම් වූයේ නැවත ලබා ගත හැකි බව සහ බාහිර සේවා යැපීම අවම කිරීම සඳහාය.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මාදිලි දෙක අතර වෙළඳාසිය පැහැදිලිය.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මාදිලිය කියවීමේ පහසුව වැඩි කරයි. මූලික සමීක්ෂණයේදී 97.6% ක් සාරාංශයක් අවශ්‍ය බව පැවසූ බැවින්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fluency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ප්‍රායෝගිකව වැදගත්ය. එහෙත් නිරීක්ෂිත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guardrail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ප්‍රතික්ෂේප අනුපාතය ආසන්න වශයෙන් 15% වූ අතර ප්‍රධාන හේතුව මූලාශ්‍රයේ නොමැති දින ජනනයයි.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මාදිලිය දින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hallucination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අවදානම බොහෝ දුරට ඉවත් කරන නමුත් සාරාංශය තරමක් දිගු සහ අඩු සිනිඳු විය හැක. නිර්දේශිත හැසිරීම වන්නේ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default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ලෙස තබා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guardrail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අසාර්ථක වූ විට ස්වයංක්‍රීයව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fallback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වීමයි - එය දැනටමත් ක්‍රියාත්මකය.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දේශීය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llama3.2:3b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තේරීම රහස්‍යතා අවශ්‍යතාවට අනුකූල වේ. සමීක්ෂණයේ 68.3% ක්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භාවිතයට සෘජුව කැමති නොවූ බැවින් දත්ත පරිශීලක පරිසරයෙන් පිටත යැවීම අවම කිරීම වැදගත් විය.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නිස්සාරණය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සාරාංශ මාදිලියෙන් ස්වායත්තව ක්‍රියාත්මක වන බැවින්, සාරාංශ මාදිලි මාරුව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නිරවද්‍යතාවට සෘජුව බල නොපායි.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අවසාන වශයෙන්, පාසල් කාර්ය මණ්ඩලය ජංගම උපාංග භාවිත කරන බැවින් සාරාංශ ප්‍රතිඵල කුඩා තිර මතද කියවිය හැකි බව තක්සේරුවේ ප්‍රායෝගික මානයකි. පහත රූප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mobile dashboard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summary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අතුරුමුහුණත් පෙන්වයි.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8-mobile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ජංගම උපාංග මත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EasyCircular dashboard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අතුරුමුහුණත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9-mobile-summ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ජංගම උපාංග මත සාරාංශ ප්‍රතිඵල අතුරුමුහුණත</w:t>
      </w:r>
    </w:p>
    <w:p>
      <w:pPr>
        <w:pStyle w:val="Heading2"/>
        <w:spacing w:before="160" w:after="120"/>
      </w:pP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5.5 UAT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තත්ත්වය සහ ඉලක්ක සමඟ තක්සේරු සම්බන්ධය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පාසල් කාර්ය මණ්ඩලය සමඟ විධිමත් පරිශීලක පිළිගැනීමේ පරීක්ෂණය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UAT)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මෙම ඉදිරිපත් කිරීමේ අවස්ථාව වන විට සම්පූර්ණ කර නොමැත. මෙය අවංකව ප්‍රකාශ කිරීම ශාස්ත්‍රීය අවංකභාවයට අනුකූල වේ. මූලික සමීක්ෂණය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n=41)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අවශ්‍යතා සහ පිළිගැනීමේ බාධක පිළිබඳ වක්‍ර සාක්ෂි ලැබුණද, එය සැබෑ කාර්යප්‍රවාහයේදී පද්ධතිය භාවිත කිරීමේ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UAT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 ප්‍රතිස්ථාපනය නොකරයි.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ඉලක්ක සමඟ සම්බන්ධ කිරීමේදී, ඉලක්කය 1 සාහිත්‍ය සමාලෝචනය මගින් සාක්ෂාත් වී ඇත. ඉලක්ක 2–4 ක්‍රියාකාරී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MVP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එකක්, ආරක්ෂක පාලනයන් සහ ස්වයංක්‍රීය පරීක්ෂණ මගින් තාක්ෂණිකව සාක්ෂාත් වී ඇත. ඉලක්කය 5 හි නිරවද්‍යතා කොටස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ස්වයංක්‍රීය පරීක්ෂණ මගින් මනිනු ලැබේ. එහෙත් පාසල් කාර්ය මණ්ඩලය සමඟ මැනිය යුතු ප්‍රයෝජ්‍යතා කොටස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UAT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අසම්පූර්ණ බැවින් තවම සම්පූර්ණ නොවේ. එබැවින් ඉලක්කය 5 අර්ධ වශයෙන් පමණක් සාක්ෂාත් වී ඇත.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ඉදිරිපත් කිරීමෙන් පසු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UAT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සම්පූර්ණ කර එහි ප්‍රතිඵල අනුව අදියර 6 ප්‍රමුඛතා නැවත සකස් කිරීම යෝග්‍යය. පහත සමීක්ෂණ රූප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UAT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සාක්ෂි ලෙස ඉදිරිපත් නොකෙරේ. ඒවා කියවීමට ගතවන කාලය, වැරදි තේරුම් ගැනීම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සම්බන්ධ කනස්සල්ල වැනි අවශ්‍යතා/අවදානම් සන්දර්භය පෙන්වන වක්‍ර සාක්ෂි පමණි.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709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y-ti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0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circular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එකක් කියවීමට ගත වන සාමාන්‍ය කාලය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1664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y-misunderstoo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66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circular misunderstood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වී තිබේද?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4060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y-ai-concer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40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AI systems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පිළිබඳ ප්‍රධාන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concerns</w:t>
      </w:r>
    </w:p>
    <w:p>
      <w:pPr>
        <w:pStyle w:val="Heading2"/>
        <w:spacing w:before="160" w:after="120"/>
      </w:pP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5.6 AI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සහායක සංවර්ධනයේ ප්‍රතිඵල සහ සාකච්ඡාව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කොටස නිපැයුමේ ක්‍රියාකාරී තක්සේරුවට අමතරව, සංවර්ධන ක්‍රියාවලියේදී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generative 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භාවිතයේ ප්‍රතිඵල තක්සේරු කරයි. කොටස 4.6 හි ලේඛනගත කළ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AI-assisted artefacts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දහය අතරින් බොහොමයක්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boilerplate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හෝ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configuration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ස්වභාවයේ වූ අතර නිර්මාණාත්මක හෝ වසම-විශේෂිත තීරණ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වෙත පවරා නොමැත.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ධනාත්මක ප්‍රතිඵලය ලෙස, පුනරාවර්තී සැකසුම් කාර්යයන් සඳහා ගතවන කාලය අඩු වී,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නිරවද්‍යතාව,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hallucination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පාලනය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නිර්මාණය වැනි මූලික අභියෝග සඳහා වැඩි කාලයක් යෙදවීමට හැකි විය. එහෙත්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යෝජනා කිහිපයක වැදගත් දෝෂ තිබුණි: යල් පැන ගිය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library 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upload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මාර්ගයේ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file-type validation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නොමැතිකම,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highlighting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හි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overlapping span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ගැටලුව. මේවා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code review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සහ පරීක්ෂණ මගින් හඳුනාගෙන නිවැරදි කරන ලදී.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නිරීක්ෂණයෙන් ලැබෙන තක්සේරු පාඩම වන්නේ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මෙවලම් සහායක පමණක් බවයි. විශේෂයෙන් 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Unicode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ශ්‍රී ලංකා පරිපාලන ලේඛන ආකෘති වැනි අඩු නියෝජනයක් ඇති වසම්වලදී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යෝජනා විශ්වාසදායක නොවිය හැක. ඵලදායිතා ලාභය ආරක්ෂා කිරීමට හොඳම ක්‍රමය වන්නේ අඩු අවදානම් කාර්යයන්ට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භාවිතය සීමා කර, සෑම යෝජනාවක්ම මානව සමාලෝචනයකින් සහ ස්වයංක්‍රීය පරීක්ෂණයකින් ආවරණය කිරීමයි. අවසාන නිපැයුමේදී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AI-assisted code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සම්බන්ධ දෝෂ ඉතිරි නොවූ බව ස්වයංක්‍රීය පරීක්ෂණ කට්ටලය සමත් වීමෙන් තහවුරු වේ.</w:t>
      </w:r>
    </w:p>
    <w:p>
      <w:pPr>
        <w:pStyle w:val="Heading2"/>
        <w:spacing w:before="160" w:after="120"/>
      </w:pP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5.7 AI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සහායක සංවර්ධනයේ ආචාර ධාර්මික තක්සේරුව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කොටස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generative 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භාවිතයේ ආචාර ධාර්මික සහ අධ්‍යයන අවංකභාවය සම්බන්ධ තක්සේරුවක් ඉදිරිපත් කරයි. විශ්වවිද්‍යාල මාර්ගෝපදේශ අනුව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සහාය ලබා ගත් කේත ප්‍රකාශ කිරීම, ඒවායේ ක්‍රියාකාරිත්වය පැහැදිලි කිරීම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system design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එකට ගැලපෙන ආකාරය ලේඛනගත කිරීම අනිවාර්ය වේ. එම අවශ්‍යතාව කොටස 4.6,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Appendix 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References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ලැයිස්තුව මගින් සම්පූර්ණ කර ඇත.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විනිවිදභාවය අනුව, භාවිත කළ මෙවලම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Harvard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ආකෘතියෙන් උපුටා දක්වා ඇති අතර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AI-assisted artefacts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දහයක් හේතුව, ක්‍රියාකාරිත්වය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design fit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සමඟ ලේඛනගත කර ඇත. අවබෝධය අනුව, සෑම යෝජනාවක්ම කියවා තේරුම් ගැනීම අනිවාර්ය පියවරක් විය. වගකීම අනුව, අවසාන නිපැයුමේ නිරවද්‍යතාව, ආරක්ෂාව සහ ක්‍රියාකාරිත්වය සම්බන්ධයෙන් වගකීම සම්පූර්ණයෙන් ශිෂ්‍යයා දරයි.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දත්ත රහස්‍යතාව අනුව, සැබෑ අමාත්‍යාංශ චක්‍රලේඛ අන්තර්ගතය, පරිශීලක දත්ත හෝ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credentials 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මෙවලම් වෙත යවා නොමැත.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සහාය ලබා ගත්තේ පොදු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programming pattern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library syntax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සම්බන්ධ ප්‍රශ්න සඳහා පමණි. සමස්තයක් ලෙස,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මෙවලම් ඵලදායිතා සහායක ලෙස භාවිත කිරීම පූර්ණ ප්‍රකාශනය සහ පරීක්ෂණ මගින් සත්‍යාපනය සමඟ ඒකාබද්ධ වූ විට අධ්‍යයන අවංකභාවයට හානි නොවන පිළිගත හැකි භාවිතයක් බව තක්සේරු කෙරේ.</w:t>
      </w:r>
    </w:p>
    <w:sectPr w:rsidR="00FC693F" w:rsidRPr="0006063C" w:rsidSect="00034616">
      <w:pgSz w:w="11906" w:h="16838"/>
      <w:pgMar w:top="1440" w:right="1440" w:bottom="1440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