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31408"/>
      </w:tblGrid>
      <w:tr>
        <w:tc>
          <w:tcPr>
            <w:tcW w:type="dxa" w:w="31408"/>
            <w:tcMar>
              <w:top w:w="60" w:type="dxa"/>
              <w:left w:w="100" w:type="dxa"/>
              <w:bottom w:w="60" w:type="dxa"/>
              <w:right w:w="100" w:type="dxa"/>
            </w:tcMar>
            <w:tcBorders>
              <w:top w:val="single" w:sz="6" w:color="1E3A5F" w:space="0"/>
              <w:left w:val="single" w:sz="6" w:color="1E3A5F" w:space="0"/>
              <w:bottom w:val="single" w:sz="6" w:color="1E3A5F" w:space="0"/>
              <w:right w:val="single" w:sz="6" w:color="1E3A5F" w:space="0"/>
            </w:tcBorders>
            <w:vAlign w:val="top"/>
            <w:shd w:fill="1E3A5F" w:val="clear"/>
            <w:tcMar>
              <w:top w:w="120" w:type="dxa"/>
              <w:left w:w="160" w:type="dxa"/>
              <w:bottom w:w="120" w:type="dxa"/>
              <w:right w:w="160" w:type="dxa"/>
            </w:tcMar>
          </w:tcPr>
          <w:p>
            <w:pPr>
              <w:jc w:val="center"/>
            </w:pPr>
            <w:r>
              <w:rPr>
                <w:rFonts w:ascii="Calibri" w:hAnsi="Calibri" w:cs="Calibri" w:eastAsia="Calibri"/>
                <w:b/>
                <w:i w:val="0"/>
                <w:color w:val="FFFFFF"/>
                <w:sz w:val="72"/>
              </w:rPr>
              <w:t>EasyCircular</w:t>
            </w:r>
          </w:p>
          <w:p/>
          <w:p>
            <w:pPr>
              <w:jc w:val="center"/>
            </w:pPr>
            <w:r>
              <w:rPr>
                <w:rFonts w:ascii="Calibri" w:hAnsi="Calibri" w:cs="Calibri" w:eastAsia="Calibri"/>
                <w:b w:val="0"/>
                <w:i w:val="0"/>
                <w:color w:val="E2E8F0"/>
                <w:sz w:val="28"/>
              </w:rPr>
              <w:t>AI-Assisted Web System for Summarising Sri Lanka Ministry of Education (MOE) Circulars</w:t>
            </w:r>
          </w:p>
          <w:p>
            <w:pPr>
              <w:jc w:val="center"/>
            </w:pPr>
            <w:r>
              <w:rPr>
                <w:rFonts w:ascii="Calibri" w:hAnsi="Calibri" w:cs="Calibri" w:eastAsia="Calibri"/>
                <w:b w:val="0"/>
                <w:i w:val="0"/>
                <w:color w:val="94A3B8"/>
                <w:sz w:val="22"/>
              </w:rPr>
              <w:t>ශ්‍රී ලංකා අධ්‍යාපන අමාත්‍යාංශ චක්‍රලේඛ සාරාංශක AI වෙබ් පද්ධතිය</w:t>
            </w:r>
          </w:p>
          <w:p>
            <w:pPr>
              <w:jc w:val="center"/>
            </w:pPr>
            <w:r>
              <w:rPr>
                <w:rFonts w:ascii="Calibri" w:hAnsi="Calibri" w:cs="Calibri" w:eastAsia="Calibri"/>
                <w:b w:val="0"/>
                <w:i w:val="0"/>
                <w:color w:val="CBD5E1"/>
                <w:sz w:val="20"/>
              </w:rPr>
              <w:t>G G M P Kusumsiri (2540881)  ·  Supervisor: Mr. Anuruddha Abeysinghe  ·  The University of Bedfordshire  ·  August 2026</w:t>
            </w:r>
          </w:p>
        </w:tc>
      </w:tr>
    </w:tbl>
    <w:p>
      <w:pPr>
        <w:spacing w:after="1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469"/>
        <w:gridCol w:w="10469"/>
        <w:gridCol w:w="10469"/>
      </w:tblGrid>
      <w:tr>
        <w:tc>
          <w:tcPr>
            <w:tcW w:type="dxa" w:w="10469"/>
            <w:shd w:fill="FFFFFF" w:val="clear"/>
            <w:tcMar>
              <w:top w:w="60" w:type="dxa"/>
              <w:left w:w="100" w:type="dxa"/>
              <w:bottom w:w="60" w:type="dxa"/>
              <w:right w:w="100" w:type="dxa"/>
            </w:tcMar>
            <w:tcBorders>
              <w:top w:val="single" w:sz="6" w:color="CBD5E1" w:space="0"/>
              <w:left w:val="single" w:sz="6" w:color="CBD5E1" w:space="0"/>
              <w:bottom w:val="single" w:sz="6" w:color="CBD5E1" w:space="0"/>
              <w:right w:val="single" w:sz="6" w:color="CBD5E1" w:space="0"/>
            </w:tcBorders>
            <w:vAlign w:val="top"/>
          </w:tcPr>
          <w:p>
            <w:pPr>
              <w:spacing w:after="120" w:before="0"/>
            </w:pPr>
            <w:r>
              <w:rPr>
                <w:rFonts w:ascii="Calibri" w:hAnsi="Calibri" w:cs="Calibri" w:eastAsia="Calibri"/>
                <w:b/>
                <w:i w:val="0"/>
                <w:color w:val="1E3A5F"/>
                <w:sz w:val="26"/>
              </w:rPr>
              <w:t>INTRODUCTION</w:t>
            </w:r>
          </w:p>
          <w:p>
            <w:pPr>
              <w:spacing w:after="80" w:line="276" w:lineRule="auto"/>
            </w:pPr>
            <w:r>
              <w:rPr>
                <w:rFonts w:ascii="Calibri" w:hAnsi="Calibri" w:cs="Calibri" w:eastAsia="Calibri"/>
                <w:b w:val="0"/>
                <w:i w:val="0"/>
                <w:color w:val="334155"/>
                <w:sz w:val="19"/>
              </w:rPr>
              <w:t>MOE educational circulars are long, complex PDF documents (often 5–20 pages) distributed to principals, teachers, and education officers. They contain critical deadlines, legal references, and action items buried in administrative language. Misinterpretation risks compliance failures. EasyCircular is a purpose-built AI web system that extracts text (including scanned Sinhala/Tamil/English OCR), lets users review extracted text, and produces structured summaries with highlighted entities.</w:t>
              <w:br/>
            </w:r>
          </w:p>
        </w:tc>
        <w:tc>
          <w:tcPr>
            <w:tcW w:type="dxa" w:w="10469"/>
            <w:shd w:fill="FFFFFF" w:val="clear"/>
            <w:tcMar>
              <w:top w:w="60" w:type="dxa"/>
              <w:left w:w="100" w:type="dxa"/>
              <w:bottom w:w="60" w:type="dxa"/>
              <w:right w:w="100" w:type="dxa"/>
            </w:tcMar>
            <w:tcBorders>
              <w:top w:val="single" w:sz="6" w:color="CBD5E1" w:space="0"/>
              <w:left w:val="single" w:sz="6" w:color="CBD5E1" w:space="0"/>
              <w:bottom w:val="single" w:sz="6" w:color="CBD5E1" w:space="0"/>
              <w:right w:val="single" w:sz="6" w:color="CBD5E1" w:space="0"/>
            </w:tcBorders>
            <w:vAlign w:val="top"/>
          </w:tcPr>
          <w:p>
            <w:pPr>
              <w:spacing w:after="120" w:before="0"/>
            </w:pPr>
            <w:r>
              <w:rPr>
                <w:rFonts w:ascii="Calibri" w:hAnsi="Calibri" w:cs="Calibri" w:eastAsia="Calibri"/>
                <w:b/>
                <w:i w:val="0"/>
                <w:color w:val="1E3A5F"/>
                <w:sz w:val="26"/>
              </w:rPr>
              <w:t>AIM</w:t>
            </w:r>
          </w:p>
          <w:p>
            <w:pPr>
              <w:spacing w:after="80" w:line="276" w:lineRule="auto"/>
            </w:pPr>
            <w:r>
              <w:rPr>
                <w:rFonts w:ascii="Calibri" w:hAnsi="Calibri" w:cs="Calibri" w:eastAsia="Calibri"/>
                <w:b w:val="0"/>
                <w:i w:val="0"/>
                <w:color w:val="334155"/>
                <w:sz w:val="19"/>
              </w:rPr>
              <w:t>Develop an AI-powered web application using NLP to extract and summarise complex MOE circulars, improving administrative efficiency in Sri Lanka schools.</w:t>
              <w:br/>
            </w:r>
          </w:p>
        </w:tc>
        <w:tc>
          <w:tcPr>
            <w:tcW w:type="dxa" w:w="10469"/>
            <w:shd w:fill="FFFFFF" w:val="clear"/>
            <w:tcMar>
              <w:top w:w="60" w:type="dxa"/>
              <w:left w:w="100" w:type="dxa"/>
              <w:bottom w:w="60" w:type="dxa"/>
              <w:right w:w="100" w:type="dxa"/>
            </w:tcMar>
            <w:tcBorders>
              <w:top w:val="single" w:sz="6" w:color="CBD5E1" w:space="0"/>
              <w:left w:val="single" w:sz="6" w:color="CBD5E1" w:space="0"/>
              <w:bottom w:val="single" w:sz="6" w:color="CBD5E1" w:space="0"/>
              <w:right w:val="single" w:sz="6" w:color="CBD5E1" w:space="0"/>
            </w:tcBorders>
            <w:vAlign w:val="top"/>
          </w:tcPr>
          <w:p>
            <w:pPr>
              <w:spacing w:after="120" w:before="0"/>
            </w:pPr>
            <w:r>
              <w:rPr>
                <w:rFonts w:ascii="Calibri" w:hAnsi="Calibri" w:cs="Calibri" w:eastAsia="Calibri"/>
                <w:b/>
                <w:i w:val="0"/>
                <w:color w:val="1E3A5F"/>
                <w:sz w:val="26"/>
              </w:rPr>
              <w:t>OBJECTIVES</w:t>
            </w:r>
          </w:p>
          <w:p>
            <w:pPr>
              <w:spacing w:after="40"/>
              <w:ind w:left="170" w:hanging="170"/>
            </w:pPr>
            <w:r>
              <w:rPr>
                <w:rFonts w:ascii="Calibri" w:hAnsi="Calibri" w:cs="Calibri" w:eastAsia="Calibri"/>
                <w:b w:val="0"/>
                <w:i w:val="0"/>
                <w:color w:val="334155"/>
                <w:sz w:val="19"/>
              </w:rPr>
              <w:t>1. Evaluate NLP and summarisation techniques for administrative documents</w:t>
            </w:r>
          </w:p>
          <w:p>
            <w:pPr>
              <w:spacing w:after="40"/>
              <w:ind w:left="170" w:hanging="170"/>
            </w:pPr>
            <w:r>
              <w:rPr>
                <w:rFonts w:ascii="Calibri" w:hAnsi="Calibri" w:cs="Calibri" w:eastAsia="Calibri"/>
                <w:b w:val="0"/>
                <w:i w:val="0"/>
                <w:color w:val="334155"/>
                <w:sz w:val="19"/>
              </w:rPr>
              <w:t>2. Build secure PDF ingestion with OCR fallback and human-in-the-loop text review</w:t>
            </w:r>
          </w:p>
          <w:p>
            <w:pPr>
              <w:spacing w:after="40"/>
              <w:ind w:left="170" w:hanging="170"/>
            </w:pPr>
            <w:r>
              <w:rPr>
                <w:rFonts w:ascii="Calibri" w:hAnsi="Calibri" w:cs="Calibri" w:eastAsia="Calibri"/>
                <w:b w:val="0"/>
                <w:i w:val="0"/>
                <w:color w:val="334155"/>
                <w:sz w:val="19"/>
              </w:rPr>
              <w:t>3. Implement NER for dates, organisations, and legal references</w:t>
            </w:r>
          </w:p>
          <w:p>
            <w:pPr>
              <w:spacing w:after="40"/>
              <w:ind w:left="170" w:hanging="170"/>
            </w:pPr>
            <w:r>
              <w:rPr>
                <w:rFonts w:ascii="Calibri" w:hAnsi="Calibri" w:cs="Calibri" w:eastAsia="Calibri"/>
                <w:b w:val="0"/>
                <w:i w:val="0"/>
                <w:color w:val="334155"/>
                <w:sz w:val="19"/>
              </w:rPr>
              <w:t>4. Deliver a dynamic summarisation engine with hallucination guardrails</w:t>
            </w:r>
          </w:p>
          <w:p>
            <w:pPr>
              <w:spacing w:after="40"/>
              <w:ind w:left="170" w:hanging="170"/>
            </w:pPr>
            <w:r>
              <w:rPr>
                <w:rFonts w:ascii="Calibri" w:hAnsi="Calibri" w:cs="Calibri" w:eastAsia="Calibri"/>
                <w:b w:val="0"/>
                <w:i w:val="0"/>
                <w:color w:val="334155"/>
                <w:sz w:val="19"/>
              </w:rPr>
              <w:t>5. Evaluate accuracy (ROUGE, automated tests) and stakeholder needs (n=41 survey)</w:t>
            </w:r>
          </w:p>
        </w:tc>
      </w:tr>
    </w:tbl>
    <w:p>
      <w:pPr>
        <w:spacing w:after="120"/>
      </w:pPr>
    </w:p>
    <w:tbl>
      <w:tblPr>
        <w:tblW w:type="auto" w:w="0"/>
        <w:tblLook w:firstColumn="1" w:firstRow="1" w:lastColumn="0" w:lastRow="0" w:noHBand="0" w:noVBand="1" w:val="04A0"/>
        <w:tblBorders>
          <w:top w:val="nil"/>
          <w:left w:val="nil"/>
          <w:bottom w:val="nil"/>
          <w:right w:val="nil"/>
          <w:insideH w:val="nil"/>
          <w:insideV w:val="nil"/>
        </w:tblBorders>
      </w:tblPr>
      <w:tblGrid>
        <w:gridCol w:w="31408"/>
      </w:tblGrid>
      <w:tr>
        <w:tc>
          <w:tcPr>
            <w:tcW w:type="dxa" w:w="31408"/>
            <w:shd w:fill="FFFFFF" w:val="clear"/>
            <w:tcMar>
              <w:top w:w="60" w:type="dxa"/>
              <w:left w:w="100" w:type="dxa"/>
              <w:bottom w:w="60" w:type="dxa"/>
              <w:right w:w="100" w:type="dxa"/>
            </w:tcMar>
            <w:tcBorders>
              <w:top w:val="single" w:sz="6" w:color="CBD5E1" w:space="0"/>
              <w:left w:val="single" w:sz="6" w:color="CBD5E1" w:space="0"/>
              <w:bottom w:val="single" w:sz="6" w:color="CBD5E1" w:space="0"/>
              <w:right w:val="single" w:sz="6" w:color="CBD5E1" w:space="0"/>
            </w:tcBorders>
            <w:vAlign w:val="top"/>
          </w:tcPr>
          <w:p>
            <w:pPr>
              <w:spacing w:after="120" w:before="0"/>
            </w:pPr>
            <w:r>
              <w:rPr>
                <w:rFonts w:ascii="Calibri" w:hAnsi="Calibri" w:cs="Calibri" w:eastAsia="Calibri"/>
                <w:b/>
                <w:i w:val="0"/>
                <w:color w:val="1E3A5F"/>
                <w:sz w:val="26"/>
              </w:rPr>
              <w:t>METHODOLOGY</w:t>
            </w:r>
          </w:p>
          <w:p>
            <w:pPr>
              <w:spacing w:after="80" w:line="276" w:lineRule="auto"/>
            </w:pPr>
            <w:r>
              <w:rPr>
                <w:rFonts w:ascii="Calibri" w:hAnsi="Calibri" w:cs="Calibri" w:eastAsia="Calibri"/>
                <w:b w:val="0"/>
                <w:i w:val="0"/>
                <w:color w:val="334155"/>
                <w:sz w:val="19"/>
              </w:rPr>
              <w:t>Agile SDLC across 5 phases (10 weeks): Foundation → Ingestion → AI Core → MVP → Validate &amp; Release. Primary research: Google Forms survey (n=41 school stakeholders). Evaluation: ROUGE on 6 MOE circulars, 91+ AI pytest, phase exit-gate scripts.</w:t>
              <w:br/>
            </w:r>
          </w:p>
          <w:p>
            <w:pPr>
              <w:spacing w:before="120"/>
              <w:jc w:val="center"/>
            </w:pPr>
            <w:r>
              <w:rPr>
                <w:rFonts w:ascii="Calibri" w:hAnsi="Calibri" w:cs="Calibri" w:eastAsia="Calibri"/>
                <w:b/>
                <w:i w:val="0"/>
                <w:color w:val="0D9488"/>
                <w:sz w:val="20"/>
              </w:rPr>
              <w:t>Phase 1 Foundation   →   Phase 2 Ingestion   →   Phase 3 AI Core   →   Phase 4 MVP   →   Phase 5 Validate</w:t>
            </w:r>
          </w:p>
        </w:tc>
      </w:tr>
    </w:tbl>
    <w:p>
      <w:pPr>
        <w:spacing w:after="120"/>
      </w:pPr>
    </w:p>
    <w:tbl>
      <w:tblPr>
        <w:tblW w:type="auto" w:w="0"/>
        <w:tblLook w:firstColumn="1" w:firstRow="1" w:lastColumn="0" w:lastRow="0" w:noHBand="0" w:noVBand="1" w:val="04A0"/>
        <w:tblBorders>
          <w:top w:val="nil"/>
          <w:left w:val="nil"/>
          <w:bottom w:val="nil"/>
          <w:right w:val="nil"/>
          <w:insideH w:val="nil"/>
          <w:insideV w:val="nil"/>
        </w:tblBorders>
      </w:tblPr>
      <w:tblGrid>
        <w:gridCol w:w="15704"/>
        <w:gridCol w:w="15704"/>
      </w:tblGrid>
      <w:tr>
        <w:tc>
          <w:tcPr>
            <w:tcW w:type="dxa" w:w="13191"/>
            <w:shd w:fill="FFFFFF" w:val="clear"/>
            <w:tcMar>
              <w:top w:w="60" w:type="dxa"/>
              <w:left w:w="100" w:type="dxa"/>
              <w:bottom w:w="60" w:type="dxa"/>
              <w:right w:w="100" w:type="dxa"/>
            </w:tcMar>
            <w:tcBorders>
              <w:top w:val="single" w:sz="6" w:color="CBD5E1" w:space="0"/>
              <w:left w:val="single" w:sz="6" w:color="CBD5E1" w:space="0"/>
              <w:bottom w:val="single" w:sz="6" w:color="CBD5E1" w:space="0"/>
              <w:right w:val="single" w:sz="6" w:color="CBD5E1" w:space="0"/>
            </w:tcBorders>
            <w:vAlign w:val="top"/>
          </w:tcPr>
          <w:p>
            <w:pPr>
              <w:spacing w:after="120" w:before="0"/>
            </w:pPr>
            <w:r>
              <w:rPr>
                <w:rFonts w:ascii="Calibri" w:hAnsi="Calibri" w:cs="Calibri" w:eastAsia="Calibri"/>
                <w:b/>
                <w:i w:val="0"/>
                <w:color w:val="1E3A5F"/>
                <w:sz w:val="26"/>
              </w:rPr>
              <w:t>SYSTEM ARCHITECTURE</w:t>
            </w:r>
          </w:p>
          <w:p>
            <w:pPr>
              <w:spacing w:after="80" w:line="276" w:lineRule="auto"/>
            </w:pPr>
            <w:r>
              <w:rPr>
                <w:rFonts w:ascii="Calibri" w:hAnsi="Calibri" w:cs="Calibri" w:eastAsia="Calibri"/>
                <w:b w:val="0"/>
                <w:i w:val="0"/>
                <w:color w:val="334155"/>
                <w:sz w:val="18"/>
              </w:rPr>
              <w:t>User Browser → Next.js Frontend (3002)</w:t>
            </w:r>
          </w:p>
          <w:p>
            <w:pPr>
              <w:spacing w:after="80" w:line="276" w:lineRule="auto"/>
            </w:pPr>
            <w:r>
              <w:rPr>
                <w:rFonts w:ascii="Calibri" w:hAnsi="Calibri" w:cs="Calibri" w:eastAsia="Calibri"/>
                <w:b w:val="0"/>
                <w:i w:val="0"/>
                <w:color w:val="334155"/>
                <w:sz w:val="18"/>
              </w:rPr>
              <w:t>→ Express Backend (4000: JWT, cache, rate limit)</w:t>
            </w:r>
          </w:p>
          <w:p>
            <w:pPr>
              <w:spacing w:after="80" w:line="276" w:lineRule="auto"/>
            </w:pPr>
            <w:r>
              <w:rPr>
                <w:rFonts w:ascii="Calibri" w:hAnsi="Calibri" w:cs="Calibri" w:eastAsia="Calibri"/>
                <w:b w:val="0"/>
                <w:i w:val="0"/>
                <w:color w:val="334155"/>
                <w:sz w:val="18"/>
              </w:rPr>
              <w:t>→ FastAPI AI Service (5000: OCR, SpaCy NER, LangChain/Ollama, guardrails)</w:t>
            </w:r>
          </w:p>
          <w:p>
            <w:pPr>
              <w:spacing w:after="80" w:line="276" w:lineRule="auto"/>
            </w:pPr>
            <w:r>
              <w:rPr>
                <w:rFonts w:ascii="Calibri" w:hAnsi="Calibri" w:cs="Calibri" w:eastAsia="Calibri"/>
                <w:b w:val="0"/>
                <w:i w:val="0"/>
                <w:color w:val="334155"/>
                <w:sz w:val="18"/>
              </w:rPr>
              <w:t>→ MongoDB (27017)</w:t>
            </w:r>
          </w:p>
          <w:p/>
          <w:p>
            <w:pPr>
              <w:spacing w:after="80" w:line="276" w:lineRule="auto"/>
            </w:pPr>
            <w:r>
              <w:rPr>
                <w:rFonts w:ascii="Calibri" w:hAnsi="Calibri" w:cs="Calibri" w:eastAsia="Calibri"/>
                <w:b w:val="0"/>
                <w:i w:val="0"/>
                <w:color w:val="334155"/>
                <w:sz w:val="18"/>
              </w:rPr>
              <w:t>Pipeline: Upload PDF → Extract/OCR → Human Edit → Process → Display</w:t>
            </w:r>
          </w:p>
          <w:p>
            <w:pPr>
              <w:spacing w:before="40" w:after="40"/>
              <w:jc w:val="center"/>
            </w:pPr>
            <w:r>
              <w:drawing>
                <wp:inline xmlns:a="http://schemas.openxmlformats.org/drawingml/2006/main" xmlns:pic="http://schemas.openxmlformats.org/drawingml/2006/picture">
                  <wp:extent cx="7578720" cy="487203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7578720" cy="4872034"/>
                          </a:xfrm>
                          <a:prstGeom prst="rect"/>
                        </pic:spPr>
                      </pic:pic>
                    </a:graphicData>
                  </a:graphic>
                </wp:inline>
              </w:drawing>
            </w:r>
          </w:p>
        </w:tc>
        <w:tc>
          <w:tcPr>
            <w:tcW w:type="dxa" w:w="18217"/>
            <w:shd w:fill="FFFFFF" w:val="clear"/>
            <w:tcMar>
              <w:top w:w="60" w:type="dxa"/>
              <w:left w:w="100" w:type="dxa"/>
              <w:bottom w:w="60" w:type="dxa"/>
              <w:right w:w="100" w:type="dxa"/>
            </w:tcMar>
            <w:tcBorders>
              <w:top w:val="single" w:sz="6" w:color="CBD5E1" w:space="0"/>
              <w:left w:val="single" w:sz="6" w:color="CBD5E1" w:space="0"/>
              <w:bottom w:val="single" w:sz="6" w:color="CBD5E1" w:space="0"/>
              <w:right w:val="single" w:sz="6" w:color="CBD5E1" w:space="0"/>
            </w:tcBorders>
            <w:vAlign w:val="top"/>
          </w:tcPr>
          <w:p>
            <w:pPr>
              <w:spacing w:after="120" w:before="0"/>
            </w:pPr>
            <w:r>
              <w:rPr>
                <w:rFonts w:ascii="Calibri" w:hAnsi="Calibri" w:cs="Calibri" w:eastAsia="Calibri"/>
                <w:b/>
                <w:i w:val="0"/>
                <w:color w:val="1E3A5F"/>
                <w:sz w:val="26"/>
              </w:rPr>
              <w:t>APPLICATION SCREENSHOTS</w:t>
            </w:r>
          </w:p>
          <w:p>
            <w:r>
              <w:rPr>
                <w:rFonts w:ascii="Calibri" w:hAnsi="Calibri" w:cs="Calibri" w:eastAsia="Calibri"/>
                <w:b/>
                <w:i w:val="0"/>
                <w:color w:val="64748B"/>
                <w:sz w:val="16"/>
              </w:rPr>
              <w:t>Sign-in</w:t>
            </w:r>
          </w:p>
          <w:p>
            <w:pPr>
              <w:spacing w:before="40" w:after="40"/>
              <w:jc w:val="center"/>
            </w:pPr>
            <w:r>
              <w:drawing>
                <wp:inline xmlns:a="http://schemas.openxmlformats.org/drawingml/2006/main" xmlns:pic="http://schemas.openxmlformats.org/drawingml/2006/picture">
                  <wp:extent cx="10370880" cy="6481800"/>
                  <wp:docPr id="2" name="Picture 2"/>
                  <wp:cNvGraphicFramePr>
                    <a:graphicFrameLocks noChangeAspect="1"/>
                  </wp:cNvGraphicFramePr>
                  <a:graphic>
                    <a:graphicData uri="http://schemas.openxmlformats.org/drawingml/2006/picture">
                      <pic:pic>
                        <pic:nvPicPr>
                          <pic:cNvPr id="0" name="ui-03-signin.png"/>
                          <pic:cNvPicPr/>
                        </pic:nvPicPr>
                        <pic:blipFill>
                          <a:blip r:embed="rId10"/>
                          <a:stretch>
                            <a:fillRect/>
                          </a:stretch>
                        </pic:blipFill>
                        <pic:spPr>
                          <a:xfrm>
                            <a:off x="0" y="0"/>
                            <a:ext cx="10370880" cy="6481800"/>
                          </a:xfrm>
                          <a:prstGeom prst="rect"/>
                        </pic:spPr>
                      </pic:pic>
                    </a:graphicData>
                  </a:graphic>
                </wp:inline>
              </w:drawing>
            </w:r>
          </w:p>
          <w:p>
            <w:r>
              <w:rPr>
                <w:rFonts w:ascii="Calibri" w:hAnsi="Calibri" w:cs="Calibri" w:eastAsia="Calibri"/>
                <w:b/>
                <w:i w:val="0"/>
                <w:color w:val="64748B"/>
                <w:sz w:val="16"/>
              </w:rPr>
              <w:t>PDF upload</w:t>
            </w:r>
          </w:p>
          <w:p>
            <w:pPr>
              <w:spacing w:before="40" w:after="40"/>
              <w:jc w:val="center"/>
            </w:pPr>
            <w:r>
              <w:drawing>
                <wp:inline xmlns:a="http://schemas.openxmlformats.org/drawingml/2006/main" xmlns:pic="http://schemas.openxmlformats.org/drawingml/2006/picture">
                  <wp:extent cx="10370880" cy="6481800"/>
                  <wp:docPr id="3" name="Picture 3"/>
                  <wp:cNvGraphicFramePr>
                    <a:graphicFrameLocks noChangeAspect="1"/>
                  </wp:cNvGraphicFramePr>
                  <a:graphic>
                    <a:graphicData uri="http://schemas.openxmlformats.org/drawingml/2006/picture">
                      <pic:pic>
                        <pic:nvPicPr>
                          <pic:cNvPr id="0" name="ui-02-upload.png"/>
                          <pic:cNvPicPr/>
                        </pic:nvPicPr>
                        <pic:blipFill>
                          <a:blip r:embed="rId11"/>
                          <a:stretch>
                            <a:fillRect/>
                          </a:stretch>
                        </pic:blipFill>
                        <pic:spPr>
                          <a:xfrm>
                            <a:off x="0" y="0"/>
                            <a:ext cx="10370880" cy="6481800"/>
                          </a:xfrm>
                          <a:prstGeom prst="rect"/>
                        </pic:spPr>
                      </pic:pic>
                    </a:graphicData>
                  </a:graphic>
                </wp:inline>
              </w:drawing>
            </w:r>
          </w:p>
          <w:p>
            <w:r>
              <w:rPr>
                <w:rFonts w:ascii="Calibri" w:hAnsi="Calibri" w:cs="Calibri" w:eastAsia="Calibri"/>
                <w:b/>
                <w:i w:val="0"/>
                <w:color w:val="64748B"/>
                <w:sz w:val="16"/>
              </w:rPr>
              <w:t>Human-in-the-loop review</w:t>
            </w:r>
          </w:p>
          <w:p>
            <w:pPr>
              <w:spacing w:before="40" w:after="40"/>
              <w:jc w:val="center"/>
            </w:pPr>
            <w:r>
              <w:drawing>
                <wp:inline xmlns:a="http://schemas.openxmlformats.org/drawingml/2006/main" xmlns:pic="http://schemas.openxmlformats.org/drawingml/2006/picture">
                  <wp:extent cx="10370880" cy="6481800"/>
                  <wp:docPr id="4" name="Picture 4"/>
                  <wp:cNvGraphicFramePr>
                    <a:graphicFrameLocks noChangeAspect="1"/>
                  </wp:cNvGraphicFramePr>
                  <a:graphic>
                    <a:graphicData uri="http://schemas.openxmlformats.org/drawingml/2006/picture">
                      <pic:pic>
                        <pic:nvPicPr>
                          <pic:cNvPr id="0" name="review-text.png"/>
                          <pic:cNvPicPr/>
                        </pic:nvPicPr>
                        <pic:blipFill>
                          <a:blip r:embed="rId12"/>
                          <a:stretch>
                            <a:fillRect/>
                          </a:stretch>
                        </pic:blipFill>
                        <pic:spPr>
                          <a:xfrm>
                            <a:off x="0" y="0"/>
                            <a:ext cx="10370880" cy="6481800"/>
                          </a:xfrm>
                          <a:prstGeom prst="rect"/>
                        </pic:spPr>
                      </pic:pic>
                    </a:graphicData>
                  </a:graphic>
                </wp:inline>
              </w:drawing>
            </w:r>
          </w:p>
          <w:p>
            <w:r>
              <w:rPr>
                <w:rFonts w:ascii="Calibri" w:hAnsi="Calibri" w:cs="Calibri" w:eastAsia="Calibri"/>
                <w:b/>
                <w:i w:val="0"/>
                <w:color w:val="64748B"/>
                <w:sz w:val="16"/>
              </w:rPr>
              <w:t>Summary + entity highlights</w:t>
            </w:r>
          </w:p>
          <w:p>
            <w:pPr>
              <w:spacing w:before="40" w:after="40"/>
              <w:jc w:val="center"/>
            </w:pPr>
            <w:r>
              <w:drawing>
                <wp:inline xmlns:a="http://schemas.openxmlformats.org/drawingml/2006/main" xmlns:pic="http://schemas.openxmlformats.org/drawingml/2006/picture">
                  <wp:extent cx="10370880" cy="6481800"/>
                  <wp:docPr id="5" name="Picture 5"/>
                  <wp:cNvGraphicFramePr>
                    <a:graphicFrameLocks noChangeAspect="1"/>
                  </wp:cNvGraphicFramePr>
                  <a:graphic>
                    <a:graphicData uri="http://schemas.openxmlformats.org/drawingml/2006/picture">
                      <pic:pic>
                        <pic:nvPicPr>
                          <pic:cNvPr id="0" name="ui-06-summary.png"/>
                          <pic:cNvPicPr/>
                        </pic:nvPicPr>
                        <pic:blipFill>
                          <a:blip r:embed="rId13"/>
                          <a:stretch>
                            <a:fillRect/>
                          </a:stretch>
                        </pic:blipFill>
                        <pic:spPr>
                          <a:xfrm>
                            <a:off x="0" y="0"/>
                            <a:ext cx="10370880" cy="6481800"/>
                          </a:xfrm>
                          <a:prstGeom prst="rect"/>
                        </pic:spPr>
                      </pic:pic>
                    </a:graphicData>
                  </a:graphic>
                </wp:inline>
              </w:drawing>
            </w:r>
          </w:p>
          <w:p>
            <w:r>
              <w:rPr>
                <w:rFonts w:ascii="Calibri" w:hAnsi="Calibri" w:cs="Calibri" w:eastAsia="Calibri"/>
                <w:b/>
                <w:i w:val="0"/>
                <w:color w:val="64748B"/>
                <w:sz w:val="16"/>
              </w:rPr>
              <w:t>Mobile summary view</w:t>
            </w:r>
          </w:p>
          <w:p>
            <w:pPr>
              <w:spacing w:before="40" w:after="40"/>
              <w:jc w:val="center"/>
            </w:pPr>
            <w:r>
              <w:drawing>
                <wp:inline xmlns:a="http://schemas.openxmlformats.org/drawingml/2006/main" xmlns:pic="http://schemas.openxmlformats.org/drawingml/2006/picture">
                  <wp:extent cx="1620000" cy="3505846"/>
                  <wp:docPr id="6" name="Picture 6"/>
                  <wp:cNvGraphicFramePr>
                    <a:graphicFrameLocks noChangeAspect="1"/>
                  </wp:cNvGraphicFramePr>
                  <a:graphic>
                    <a:graphicData uri="http://schemas.openxmlformats.org/drawingml/2006/picture">
                      <pic:pic>
                        <pic:nvPicPr>
                          <pic:cNvPr id="0" name="ui-09-mobile-summary.png"/>
                          <pic:cNvPicPr/>
                        </pic:nvPicPr>
                        <pic:blipFill>
                          <a:blip r:embed="rId14"/>
                          <a:stretch>
                            <a:fillRect/>
                          </a:stretch>
                        </pic:blipFill>
                        <pic:spPr>
                          <a:xfrm>
                            <a:off x="0" y="0"/>
                            <a:ext cx="1620000" cy="3505846"/>
                          </a:xfrm>
                          <a:prstGeom prst="rect"/>
                        </pic:spPr>
                      </pic:pic>
                    </a:graphicData>
                  </a:graphic>
                </wp:inline>
              </w:drawing>
            </w:r>
          </w:p>
        </w:tc>
      </w:tr>
    </w:tbl>
    <w:p>
      <w:pPr>
        <w:spacing w:after="120"/>
      </w:pPr>
    </w:p>
    <w:tbl>
      <w:tblPr>
        <w:tblW w:type="auto" w:w="0"/>
        <w:tblLook w:firstColumn="1" w:firstRow="1" w:lastColumn="0" w:lastRow="0" w:noHBand="0" w:noVBand="1" w:val="04A0"/>
        <w:tblBorders>
          <w:top w:val="nil"/>
          <w:left w:val="nil"/>
          <w:bottom w:val="nil"/>
          <w:right w:val="nil"/>
          <w:insideH w:val="nil"/>
          <w:insideV w:val="nil"/>
        </w:tblBorders>
      </w:tblPr>
      <w:tblGrid>
        <w:gridCol w:w="10469"/>
        <w:gridCol w:w="10469"/>
        <w:gridCol w:w="10469"/>
      </w:tblGrid>
      <w:tr>
        <w:tc>
          <w:tcPr>
            <w:tcW w:type="dxa" w:w="10469"/>
            <w:shd w:fill="FFFFFF" w:val="clear"/>
            <w:tcMar>
              <w:top w:w="60" w:type="dxa"/>
              <w:left w:w="100" w:type="dxa"/>
              <w:bottom w:w="60" w:type="dxa"/>
              <w:right w:w="100" w:type="dxa"/>
            </w:tcMar>
            <w:tcBorders>
              <w:top w:val="single" w:sz="6" w:color="CBD5E1" w:space="0"/>
              <w:left w:val="single" w:sz="6" w:color="CBD5E1" w:space="0"/>
              <w:bottom w:val="single" w:sz="6" w:color="CBD5E1" w:space="0"/>
              <w:right w:val="single" w:sz="6" w:color="CBD5E1" w:space="0"/>
            </w:tcBorders>
            <w:vAlign w:val="top"/>
          </w:tcPr>
          <w:p>
            <w:pPr>
              <w:spacing w:after="120" w:before="0"/>
            </w:pPr>
            <w:r>
              <w:rPr>
                <w:rFonts w:ascii="Calibri" w:hAnsi="Calibri" w:cs="Calibri" w:eastAsia="Calibri"/>
                <w:b/>
                <w:i w:val="0"/>
                <w:color w:val="1E3A5F"/>
                <w:sz w:val="26"/>
              </w:rPr>
              <w:t>TECHNOLOGY STACK</w:t>
            </w:r>
          </w:p>
          <w:p>
            <w:pPr>
              <w:spacing w:after="80" w:line="276" w:lineRule="auto"/>
            </w:pPr>
            <w:r>
              <w:rPr>
                <w:rFonts w:ascii="Calibri" w:hAnsi="Calibri" w:cs="Calibri" w:eastAsia="Calibri"/>
                <w:b w:val="0"/>
                <w:i w:val="0"/>
                <w:color w:val="334155"/>
                <w:sz w:val="17"/>
              </w:rPr>
              <w:t>Next.js · Express.js · FastAPI · MongoDB · Docker · SpaCy · LangChain · Ollama · Tesseract OCR · pdfplumber · PyMuPDF · JWT · GitHub Actions CI</w:t>
            </w:r>
          </w:p>
        </w:tc>
        <w:tc>
          <w:tcPr>
            <w:tcW w:type="dxa" w:w="10469"/>
            <w:shd w:fill="FFFFFF" w:val="clear"/>
            <w:tcMar>
              <w:top w:w="60" w:type="dxa"/>
              <w:left w:w="100" w:type="dxa"/>
              <w:bottom w:w="60" w:type="dxa"/>
              <w:right w:w="100" w:type="dxa"/>
            </w:tcMar>
            <w:tcBorders>
              <w:top w:val="single" w:sz="6" w:color="CBD5E1" w:space="0"/>
              <w:left w:val="single" w:sz="6" w:color="CBD5E1" w:space="0"/>
              <w:bottom w:val="single" w:sz="6" w:color="CBD5E1" w:space="0"/>
              <w:right w:val="single" w:sz="6" w:color="CBD5E1" w:space="0"/>
            </w:tcBorders>
            <w:vAlign w:val="top"/>
          </w:tcPr>
          <w:p>
            <w:pPr>
              <w:spacing w:after="120" w:before="0"/>
            </w:pPr>
            <w:r>
              <w:rPr>
                <w:rFonts w:ascii="Calibri" w:hAnsi="Calibri" w:cs="Calibri" w:eastAsia="Calibri"/>
                <w:b/>
                <w:i w:val="0"/>
                <w:color w:val="1E3A5F"/>
                <w:sz w:val="26"/>
              </w:rPr>
              <w:t>KEY REQUIREMENTS</w:t>
            </w:r>
          </w:p>
          <w:p>
            <w:pPr>
              <w:spacing w:after="40"/>
              <w:ind w:left="142" w:hanging="142"/>
            </w:pPr>
            <w:r>
              <w:rPr>
                <w:rFonts w:ascii="Calibri" w:hAnsi="Calibri" w:cs="Calibri" w:eastAsia="Calibri"/>
                <w:b w:val="0"/>
                <w:i w:val="0"/>
                <w:color w:val="334155"/>
                <w:sz w:val="17"/>
              </w:rPr>
              <w:t>• PDF upload with tri-library extraction + Tesseract OCR (sin+eng+tam)</w:t>
            </w:r>
          </w:p>
          <w:p>
            <w:pPr>
              <w:spacing w:after="40"/>
              <w:ind w:left="142" w:hanging="142"/>
            </w:pPr>
            <w:r>
              <w:rPr>
                <w:rFonts w:ascii="Calibri" w:hAnsi="Calibri" w:cs="Calibri" w:eastAsia="Calibri"/>
                <w:b w:val="0"/>
                <w:i w:val="0"/>
                <w:color w:val="334155"/>
                <w:sz w:val="17"/>
              </w:rPr>
              <w:t>• Human-in-the-loop mandatory text review before AI processing</w:t>
            </w:r>
          </w:p>
          <w:p>
            <w:pPr>
              <w:spacing w:after="40"/>
              <w:ind w:left="142" w:hanging="142"/>
            </w:pPr>
            <w:r>
              <w:rPr>
                <w:rFonts w:ascii="Calibri" w:hAnsi="Calibri" w:cs="Calibri" w:eastAsia="Calibri"/>
                <w:b w:val="0"/>
                <w:i w:val="0"/>
                <w:color w:val="334155"/>
                <w:sz w:val="17"/>
              </w:rPr>
              <w:t>• Date guardrails reject hallucinated dates; extractive TextRank fallback</w:t>
            </w:r>
          </w:p>
          <w:p>
            <w:pPr>
              <w:spacing w:after="40"/>
              <w:ind w:left="142" w:hanging="142"/>
            </w:pPr>
            <w:r>
              <w:rPr>
                <w:rFonts w:ascii="Calibri" w:hAnsi="Calibri" w:cs="Calibri" w:eastAsia="Calibri"/>
                <w:b w:val="0"/>
                <w:i w:val="0"/>
                <w:color w:val="334155"/>
                <w:sz w:val="17"/>
              </w:rPr>
              <w:t>• Content-hash caching (~114ms cached response)</w:t>
            </w:r>
          </w:p>
          <w:p>
            <w:pPr>
              <w:spacing w:after="40"/>
              <w:ind w:left="142" w:hanging="142"/>
            </w:pPr>
            <w:r>
              <w:rPr>
                <w:rFonts w:ascii="Calibri" w:hAnsi="Calibri" w:cs="Calibri" w:eastAsia="Calibri"/>
                <w:b w:val="0"/>
                <w:i w:val="0"/>
                <w:color w:val="334155"/>
                <w:sz w:val="17"/>
              </w:rPr>
              <w:t>• JWT auth, rate limiting, mobile-responsive UI</w:t>
            </w:r>
          </w:p>
          <w:p>
            <w:pPr>
              <w:spacing w:after="40"/>
              <w:ind w:left="142" w:hanging="142"/>
            </w:pPr>
            <w:r>
              <w:rPr>
                <w:rFonts w:ascii="Calibri" w:hAnsi="Calibri" w:cs="Calibri" w:eastAsia="Calibri"/>
                <w:b w:val="0"/>
                <w:i w:val="0"/>
                <w:color w:val="334155"/>
                <w:sz w:val="17"/>
              </w:rPr>
              <w:t>• Local Ollama deployment for privacy</w:t>
            </w:r>
          </w:p>
        </w:tc>
        <w:tc>
          <w:tcPr>
            <w:tcW w:type="dxa" w:w="10469"/>
            <w:shd w:fill="FFFFFF" w:val="clear"/>
            <w:tcMar>
              <w:top w:w="60" w:type="dxa"/>
              <w:left w:w="100" w:type="dxa"/>
              <w:bottom w:w="60" w:type="dxa"/>
              <w:right w:w="100" w:type="dxa"/>
            </w:tcMar>
            <w:tcBorders>
              <w:top w:val="single" w:sz="6" w:color="CBD5E1" w:space="0"/>
              <w:left w:val="single" w:sz="6" w:color="CBD5E1" w:space="0"/>
              <w:bottom w:val="single" w:sz="6" w:color="CBD5E1" w:space="0"/>
              <w:right w:val="single" w:sz="6" w:color="CBD5E1" w:space="0"/>
            </w:tcBorders>
            <w:vAlign w:val="top"/>
          </w:tcPr>
          <w:p>
            <w:pPr>
              <w:spacing w:after="120" w:before="0"/>
            </w:pPr>
            <w:r>
              <w:rPr>
                <w:rFonts w:ascii="Calibri" w:hAnsi="Calibri" w:cs="Calibri" w:eastAsia="Calibri"/>
                <w:b/>
                <w:i w:val="0"/>
                <w:color w:val="1E3A5F"/>
                <w:sz w:val="26"/>
              </w:rPr>
              <w:t>EVALUATION &amp; RESULTS</w:t>
            </w:r>
          </w:p>
          <w:p>
            <w:pPr>
              <w:spacing w:after="80" w:line="276" w:lineRule="auto"/>
            </w:pPr>
            <w:r>
              <w:rPr>
                <w:rFonts w:ascii="Calibri" w:hAnsi="Calibri" w:cs="Calibri" w:eastAsia="Calibri"/>
                <w:b w:val="0"/>
                <w:i w:val="0"/>
                <w:color w:val="334155"/>
                <w:sz w:val="17"/>
              </w:rPr>
              <w:t>Survey (n=41): 97.6% want summaries | 78% want entity highlighting | 78% expect efficiency gain | 68.3% hesitant about AI</w:t>
            </w:r>
          </w:p>
          <w:p>
            <w:pPr>
              <w:spacing w:after="80" w:line="276" w:lineRule="auto"/>
            </w:pPr>
            <w:r>
              <w:rPr>
                <w:rFonts w:ascii="Calibri" w:hAnsi="Calibri" w:cs="Calibri" w:eastAsia="Calibri"/>
                <w:b w:val="0"/>
                <w:i w:val="0"/>
                <w:color w:val="334155"/>
                <w:sz w:val="17"/>
              </w:rPr>
              <w:t>ROUGE macro F1: ROUGE-1 0.414 | ROUGE-2 0.215 | ROUGE-L 0.292</w:t>
            </w:r>
          </w:p>
          <w:p>
            <w:pPr>
              <w:spacing w:after="80" w:line="276" w:lineRule="auto"/>
            </w:pPr>
            <w:r>
              <w:rPr>
                <w:rFonts w:ascii="Calibri" w:hAnsi="Calibri" w:cs="Calibri" w:eastAsia="Calibri"/>
                <w:b w:val="0"/>
                <w:i w:val="0"/>
                <w:color w:val="334155"/>
                <w:sz w:val="17"/>
              </w:rPr>
              <w:t>Testing: 91/91 AI pytest | 13/13 backend tests | Phase 1 &amp; 4 verified</w:t>
            </w:r>
          </w:p>
          <w:p>
            <w:pPr>
              <w:spacing w:after="80" w:line="276" w:lineRule="auto"/>
            </w:pPr>
            <w:r>
              <w:rPr>
                <w:rFonts w:ascii="Calibri" w:hAnsi="Calibri" w:cs="Calibri" w:eastAsia="Calibri"/>
                <w:b w:val="0"/>
                <w:i w:val="0"/>
                <w:color w:val="334155"/>
                <w:sz w:val="17"/>
              </w:rPr>
              <w:t>Formal school staff UAT pending</w:t>
            </w:r>
          </w:p>
          <w:p>
            <w:pPr>
              <w:spacing w:before="40" w:after="40"/>
              <w:jc w:val="center"/>
            </w:pPr>
            <w:r>
              <w:drawing>
                <wp:inline xmlns:a="http://schemas.openxmlformats.org/drawingml/2006/main" xmlns:pic="http://schemas.openxmlformats.org/drawingml/2006/picture">
                  <wp:extent cx="6359999" cy="3487206"/>
                  <wp:docPr id="7" name="Picture 7"/>
                  <wp:cNvGraphicFramePr>
                    <a:graphicFrameLocks noChangeAspect="1"/>
                  </wp:cNvGraphicFramePr>
                  <a:graphic>
                    <a:graphicData uri="http://schemas.openxmlformats.org/drawingml/2006/picture">
                      <pic:pic>
                        <pic:nvPicPr>
                          <pic:cNvPr id="0" name="eval-rouge-chart.png"/>
                          <pic:cNvPicPr/>
                        </pic:nvPicPr>
                        <pic:blipFill>
                          <a:blip r:embed="rId15"/>
                          <a:stretch>
                            <a:fillRect/>
                          </a:stretch>
                        </pic:blipFill>
                        <pic:spPr>
                          <a:xfrm>
                            <a:off x="0" y="0"/>
                            <a:ext cx="6359999" cy="3487206"/>
                          </a:xfrm>
                          <a:prstGeom prst="rect"/>
                        </pic:spPr>
                      </pic:pic>
                    </a:graphicData>
                  </a:graphic>
                </wp:inline>
              </w:drawing>
            </w:r>
          </w:p>
        </w:tc>
      </w:tr>
    </w:tbl>
    <w:p>
      <w:pPr>
        <w:spacing w:after="120"/>
      </w:pPr>
    </w:p>
    <w:tbl>
      <w:tblPr>
        <w:tblW w:type="auto" w:w="0"/>
        <w:tblLook w:firstColumn="1" w:firstRow="1" w:lastColumn="0" w:lastRow="0" w:noHBand="0" w:noVBand="1" w:val="04A0"/>
        <w:tblBorders>
          <w:top w:val="nil"/>
          <w:left w:val="nil"/>
          <w:bottom w:val="nil"/>
          <w:right w:val="nil"/>
          <w:insideH w:val="nil"/>
          <w:insideV w:val="nil"/>
        </w:tblBorders>
      </w:tblPr>
      <w:tblGrid>
        <w:gridCol w:w="10469"/>
        <w:gridCol w:w="10469"/>
        <w:gridCol w:w="10469"/>
      </w:tblGrid>
      <w:tr>
        <w:tc>
          <w:tcPr>
            <w:tcW w:type="dxa" w:w="10469"/>
            <w:shd w:fill="FFFFFF" w:val="clear"/>
            <w:tcMar>
              <w:top w:w="60" w:type="dxa"/>
              <w:left w:w="100" w:type="dxa"/>
              <w:bottom w:w="60" w:type="dxa"/>
              <w:right w:w="100" w:type="dxa"/>
            </w:tcMar>
            <w:tcBorders>
              <w:top w:val="single" w:sz="6" w:color="CBD5E1" w:space="0"/>
              <w:left w:val="single" w:sz="6" w:color="CBD5E1" w:space="0"/>
              <w:bottom w:val="single" w:sz="6" w:color="CBD5E1" w:space="0"/>
              <w:right w:val="single" w:sz="6" w:color="CBD5E1" w:space="0"/>
            </w:tcBorders>
            <w:vAlign w:val="top"/>
          </w:tcPr>
          <w:p>
            <w:pPr>
              <w:spacing w:after="120" w:before="0"/>
            </w:pPr>
            <w:r>
              <w:rPr>
                <w:rFonts w:ascii="Calibri" w:hAnsi="Calibri" w:cs="Calibri" w:eastAsia="Calibri"/>
                <w:b/>
                <w:i w:val="0"/>
                <w:color w:val="1E3A5F"/>
                <w:sz w:val="26"/>
              </w:rPr>
              <w:t>ACHIEVEMENTS</w:t>
            </w:r>
          </w:p>
          <w:p>
            <w:pPr>
              <w:spacing w:after="40"/>
              <w:ind w:left="142" w:hanging="142"/>
            </w:pPr>
            <w:r>
              <w:rPr>
                <w:rFonts w:ascii="Calibri" w:hAnsi="Calibri" w:cs="Calibri" w:eastAsia="Calibri"/>
                <w:b w:val="0"/>
                <w:i w:val="0"/>
                <w:color w:val="334155"/>
                <w:sz w:val="17"/>
              </w:rPr>
              <w:t>• End-to-end MVP: upload → extract → edit → summarise → display</w:t>
            </w:r>
          </w:p>
          <w:p>
            <w:pPr>
              <w:spacing w:after="40"/>
              <w:ind w:left="142" w:hanging="142"/>
            </w:pPr>
            <w:r>
              <w:rPr>
                <w:rFonts w:ascii="Calibri" w:hAnsi="Calibri" w:cs="Calibri" w:eastAsia="Calibri"/>
                <w:b w:val="0"/>
                <w:i w:val="0"/>
                <w:color w:val="334155"/>
                <w:sz w:val="17"/>
              </w:rPr>
              <w:t>• Tri-tier Docker deployment with health checks</w:t>
            </w:r>
          </w:p>
          <w:p>
            <w:pPr>
              <w:spacing w:after="40"/>
              <w:ind w:left="142" w:hanging="142"/>
            </w:pPr>
            <w:r>
              <w:rPr>
                <w:rFonts w:ascii="Calibri" w:hAnsi="Calibri" w:cs="Calibri" w:eastAsia="Calibri"/>
                <w:b w:val="0"/>
                <w:i w:val="0"/>
                <w:color w:val="334155"/>
                <w:sz w:val="17"/>
              </w:rPr>
              <w:t>• Guardrails reduce date hallucination (~15% rejection rate)</w:t>
            </w:r>
          </w:p>
          <w:p>
            <w:pPr>
              <w:spacing w:after="40"/>
              <w:ind w:left="142" w:hanging="142"/>
            </w:pPr>
            <w:r>
              <w:rPr>
                <w:rFonts w:ascii="Calibri" w:hAnsi="Calibri" w:cs="Calibri" w:eastAsia="Calibri"/>
                <w:b w:val="0"/>
                <w:i w:val="0"/>
                <w:color w:val="334155"/>
                <w:sz w:val="17"/>
              </w:rPr>
              <w:t>• MOE official catalog import endpoint</w:t>
            </w:r>
          </w:p>
          <w:p>
            <w:pPr>
              <w:spacing w:after="40"/>
              <w:ind w:left="142" w:hanging="142"/>
            </w:pPr>
            <w:r>
              <w:rPr>
                <w:rFonts w:ascii="Calibri" w:hAnsi="Calibri" w:cs="Calibri" w:eastAsia="Calibri"/>
                <w:b w:val="0"/>
                <w:i w:val="0"/>
                <w:color w:val="334155"/>
                <w:sz w:val="17"/>
              </w:rPr>
              <w:t>• Full thesis documentation + AI-assisted development disclosure</w:t>
            </w:r>
          </w:p>
        </w:tc>
        <w:tc>
          <w:tcPr>
            <w:tcW w:type="dxa" w:w="10469"/>
            <w:shd w:fill="FFFFFF" w:val="clear"/>
            <w:tcMar>
              <w:top w:w="60" w:type="dxa"/>
              <w:left w:w="100" w:type="dxa"/>
              <w:bottom w:w="60" w:type="dxa"/>
              <w:right w:w="100" w:type="dxa"/>
            </w:tcMar>
            <w:tcBorders>
              <w:top w:val="single" w:sz="6" w:color="CBD5E1" w:space="0"/>
              <w:left w:val="single" w:sz="6" w:color="CBD5E1" w:space="0"/>
              <w:bottom w:val="single" w:sz="6" w:color="CBD5E1" w:space="0"/>
              <w:right w:val="single" w:sz="6" w:color="CBD5E1" w:space="0"/>
            </w:tcBorders>
            <w:vAlign w:val="top"/>
          </w:tcPr>
          <w:p>
            <w:pPr>
              <w:spacing w:after="120" w:before="0"/>
            </w:pPr>
            <w:r>
              <w:rPr>
                <w:rFonts w:ascii="Calibri" w:hAnsi="Calibri" w:cs="Calibri" w:eastAsia="Calibri"/>
                <w:b/>
                <w:i w:val="0"/>
                <w:color w:val="1E3A5F"/>
                <w:sz w:val="26"/>
              </w:rPr>
              <w:t>CHALLENGES</w:t>
            </w:r>
          </w:p>
          <w:p>
            <w:pPr>
              <w:spacing w:after="40"/>
              <w:ind w:left="142" w:hanging="142"/>
            </w:pPr>
            <w:r>
              <w:rPr>
                <w:rFonts w:ascii="Calibri" w:hAnsi="Calibri" w:cs="Calibri" w:eastAsia="Calibri"/>
                <w:b w:val="0"/>
                <w:i w:val="0"/>
                <w:color w:val="334155"/>
                <w:sz w:val="17"/>
              </w:rPr>
              <w:t>• Scanned Sinhala PDF OCR quality varies — mitigated by human review</w:t>
            </w:r>
          </w:p>
          <w:p>
            <w:pPr>
              <w:spacing w:after="40"/>
              <w:ind w:left="142" w:hanging="142"/>
            </w:pPr>
            <w:r>
              <w:rPr>
                <w:rFonts w:ascii="Calibri" w:hAnsi="Calibri" w:cs="Calibri" w:eastAsia="Calibri"/>
                <w:b w:val="0"/>
                <w:i w:val="0"/>
                <w:color w:val="334155"/>
                <w:sz w:val="17"/>
              </w:rPr>
              <w:t>• Full Sinhala/Tamil NER not yet available (English NER achieved)</w:t>
            </w:r>
          </w:p>
          <w:p>
            <w:pPr>
              <w:spacing w:after="40"/>
              <w:ind w:left="142" w:hanging="142"/>
            </w:pPr>
            <w:r>
              <w:rPr>
                <w:rFonts w:ascii="Calibri" w:hAnsi="Calibri" w:cs="Calibri" w:eastAsia="Calibri"/>
                <w:b w:val="0"/>
                <w:i w:val="0"/>
                <w:color w:val="334155"/>
                <w:sz w:val="17"/>
              </w:rPr>
              <w:t>• LLM summarisation quality vs. privacy trade-off addressed via local Ollama</w:t>
            </w:r>
          </w:p>
          <w:p>
            <w:pPr>
              <w:spacing w:after="40"/>
              <w:ind w:left="142" w:hanging="142"/>
            </w:pPr>
            <w:r>
              <w:rPr>
                <w:rFonts w:ascii="Calibri" w:hAnsi="Calibri" w:cs="Calibri" w:eastAsia="Calibri"/>
                <w:b w:val="0"/>
                <w:i w:val="0"/>
                <w:color w:val="334155"/>
                <w:sz w:val="17"/>
              </w:rPr>
              <w:t>• Single-developer scope; formal UAT not completed before submission</w:t>
            </w:r>
          </w:p>
        </w:tc>
        <w:tc>
          <w:tcPr>
            <w:tcW w:type="dxa" w:w="10469"/>
            <w:shd w:fill="FFFFFF" w:val="clear"/>
            <w:tcMar>
              <w:top w:w="60" w:type="dxa"/>
              <w:left w:w="100" w:type="dxa"/>
              <w:bottom w:w="60" w:type="dxa"/>
              <w:right w:w="100" w:type="dxa"/>
            </w:tcMar>
            <w:tcBorders>
              <w:top w:val="single" w:sz="6" w:color="CBD5E1" w:space="0"/>
              <w:left w:val="single" w:sz="6" w:color="CBD5E1" w:space="0"/>
              <w:bottom w:val="single" w:sz="6" w:color="CBD5E1" w:space="0"/>
              <w:right w:val="single" w:sz="6" w:color="CBD5E1" w:space="0"/>
            </w:tcBorders>
            <w:vAlign w:val="top"/>
          </w:tcPr>
          <w:p>
            <w:pPr>
              <w:spacing w:after="120" w:before="0"/>
            </w:pPr>
            <w:r>
              <w:rPr>
                <w:rFonts w:ascii="Calibri" w:hAnsi="Calibri" w:cs="Calibri" w:eastAsia="Calibri"/>
                <w:b/>
                <w:i w:val="0"/>
                <w:color w:val="1E3A5F"/>
                <w:sz w:val="26"/>
              </w:rPr>
              <w:t>FUTURE WORK (PHASE 6)</w:t>
            </w:r>
          </w:p>
          <w:p>
            <w:pPr>
              <w:spacing w:after="40"/>
              <w:ind w:left="142" w:hanging="142"/>
            </w:pPr>
            <w:r>
              <w:rPr>
                <w:rFonts w:ascii="Calibri" w:hAnsi="Calibri" w:cs="Calibri" w:eastAsia="Calibri"/>
                <w:b w:val="0"/>
                <w:i w:val="0"/>
                <w:color w:val="334155"/>
                <w:sz w:val="17"/>
              </w:rPr>
              <w:t>• Full Sinhala/Tamil NER and bilingual UI</w:t>
            </w:r>
          </w:p>
          <w:p>
            <w:pPr>
              <w:spacing w:after="40"/>
              <w:ind w:left="142" w:hanging="142"/>
            </w:pPr>
            <w:r>
              <w:rPr>
                <w:rFonts w:ascii="Calibri" w:hAnsi="Calibri" w:cs="Calibri" w:eastAsia="Calibri"/>
                <w:b w:val="0"/>
                <w:i w:val="0"/>
                <w:color w:val="334155"/>
                <w:sz w:val="17"/>
              </w:rPr>
              <w:t>• Formal school staff UAT and expanded ROUGE corpus</w:t>
            </w:r>
          </w:p>
          <w:p>
            <w:pPr>
              <w:spacing w:after="40"/>
              <w:ind w:left="142" w:hanging="142"/>
            </w:pPr>
            <w:r>
              <w:rPr>
                <w:rFonts w:ascii="Calibri" w:hAnsi="Calibri" w:cs="Calibri" w:eastAsia="Calibri"/>
                <w:b w:val="0"/>
                <w:i w:val="0"/>
                <w:color w:val="334155"/>
                <w:sz w:val="17"/>
              </w:rPr>
              <w:t>• Async job queue for long documents</w:t>
            </w:r>
          </w:p>
          <w:p>
            <w:pPr>
              <w:spacing w:after="40"/>
              <w:ind w:left="142" w:hanging="142"/>
            </w:pPr>
            <w:r>
              <w:rPr>
                <w:rFonts w:ascii="Calibri" w:hAnsi="Calibri" w:cs="Calibri" w:eastAsia="Calibri"/>
                <w:b w:val="0"/>
                <w:i w:val="0"/>
                <w:color w:val="334155"/>
                <w:sz w:val="17"/>
              </w:rPr>
              <w:t>• Role-based access control and admin analytics dashboard</w:t>
            </w:r>
          </w:p>
          <w:p>
            <w:pPr>
              <w:spacing w:after="40"/>
              <w:ind w:left="142" w:hanging="142"/>
            </w:pPr>
            <w:r>
              <w:rPr>
                <w:rFonts w:ascii="Calibri" w:hAnsi="Calibri" w:cs="Calibri" w:eastAsia="Calibri"/>
                <w:b w:val="0"/>
                <w:i w:val="0"/>
                <w:color w:val="334155"/>
                <w:sz w:val="17"/>
              </w:rPr>
              <w:t>• Production cloud deployment with MOE integration</w:t>
            </w:r>
          </w:p>
        </w:tc>
      </w:tr>
    </w:tbl>
    <w:p>
      <w:pPr>
        <w:spacing w:after="120"/>
      </w:pPr>
    </w:p>
    <w:tbl>
      <w:tblPr>
        <w:tblW w:type="auto" w:w="0"/>
        <w:tblLook w:firstColumn="1" w:firstRow="1" w:lastColumn="0" w:lastRow="0" w:noHBand="0" w:noVBand="1" w:val="04A0"/>
        <w:tblBorders>
          <w:top w:val="nil"/>
          <w:left w:val="nil"/>
          <w:bottom w:val="nil"/>
          <w:right w:val="nil"/>
          <w:insideH w:val="nil"/>
          <w:insideV w:val="nil"/>
        </w:tblBorders>
      </w:tblPr>
      <w:tblGrid>
        <w:gridCol w:w="31408"/>
      </w:tblGrid>
      <w:tr>
        <w:tc>
          <w:tcPr>
            <w:tcW w:type="dxa" w:w="31408"/>
            <w:shd w:fill="FFFFFF" w:val="clear"/>
            <w:tcMar>
              <w:top w:w="60" w:type="dxa"/>
              <w:left w:w="100" w:type="dxa"/>
              <w:bottom w:w="60" w:type="dxa"/>
              <w:right w:w="100" w:type="dxa"/>
            </w:tcMar>
            <w:tcBorders>
              <w:top w:val="single" w:sz="6" w:color="CBD5E1" w:space="0"/>
              <w:left w:val="single" w:sz="6" w:color="CBD5E1" w:space="0"/>
              <w:bottom w:val="single" w:sz="6" w:color="CBD5E1" w:space="0"/>
              <w:right w:val="single" w:sz="6" w:color="CBD5E1" w:space="0"/>
            </w:tcBorders>
            <w:vAlign w:val="top"/>
          </w:tcPr>
          <w:p>
            <w:pPr>
              <w:spacing w:after="120" w:before="0"/>
            </w:pPr>
            <w:r>
              <w:rPr>
                <w:rFonts w:ascii="Calibri" w:hAnsi="Calibri" w:cs="Calibri" w:eastAsia="Calibri"/>
                <w:b/>
                <w:i w:val="0"/>
                <w:color w:val="1E3A5F"/>
                <w:sz w:val="26"/>
              </w:rPr>
              <w:t>REFERENCES</w:t>
            </w:r>
          </w:p>
          <w:p>
            <w:pPr>
              <w:spacing w:after="20"/>
            </w:pPr>
            <w:r>
              <w:rPr>
                <w:rFonts w:ascii="Calibri" w:hAnsi="Calibri" w:cs="Calibri" w:eastAsia="Calibri"/>
                <w:b w:val="0"/>
                <w:i w:val="0"/>
                <w:color w:val="64748B"/>
                <w:sz w:val="15"/>
              </w:rPr>
              <w:t>Lin, C.Y. (2004) ROUGE: a package for automatic evaluation of summaries</w:t>
            </w:r>
          </w:p>
          <w:p>
            <w:pPr>
              <w:spacing w:after="20"/>
            </w:pPr>
            <w:r>
              <w:rPr>
                <w:rFonts w:ascii="Calibri" w:hAnsi="Calibri" w:cs="Calibri" w:eastAsia="Calibri"/>
                <w:b w:val="0"/>
                <w:i w:val="0"/>
                <w:color w:val="64748B"/>
                <w:sz w:val="15"/>
              </w:rPr>
              <w:t>Nadkarni, P.M. et al. (2011) Natural language processing: an introduction</w:t>
            </w:r>
          </w:p>
          <w:p>
            <w:pPr>
              <w:spacing w:after="20"/>
            </w:pPr>
            <w:r>
              <w:rPr>
                <w:rFonts w:ascii="Calibri" w:hAnsi="Calibri" w:cs="Calibri" w:eastAsia="Calibri"/>
                <w:b w:val="0"/>
                <w:i w:val="0"/>
                <w:color w:val="64748B"/>
                <w:sz w:val="15"/>
              </w:rPr>
              <w:t>Ministry of Education Sri Lanka (2026) Official circulars portal — moe.gov.lk</w:t>
            </w:r>
          </w:p>
          <w:p>
            <w:pPr>
              <w:spacing w:after="20"/>
            </w:pPr>
            <w:r>
              <w:rPr>
                <w:rFonts w:ascii="Calibri" w:hAnsi="Calibri" w:cs="Calibri" w:eastAsia="Calibri"/>
                <w:b w:val="0"/>
                <w:i w:val="0"/>
                <w:color w:val="64748B"/>
                <w:sz w:val="15"/>
              </w:rPr>
              <w:t>Honnibal, M. and Montani, I. (2017) spaCy</w:t>
            </w:r>
          </w:p>
          <w:p>
            <w:pPr>
              <w:spacing w:after="20"/>
            </w:pPr>
            <w:r>
              <w:rPr>
                <w:rFonts w:ascii="Calibri" w:hAnsi="Calibri" w:cs="Calibri" w:eastAsia="Calibri"/>
                <w:b w:val="0"/>
                <w:i w:val="0"/>
                <w:color w:val="64748B"/>
                <w:sz w:val="15"/>
              </w:rPr>
              <w:t>Sumathi, S. et al. (2025) A LangChain integration approach</w:t>
            </w:r>
          </w:p>
          <w:p>
            <w:pPr>
              <w:spacing w:after="20"/>
            </w:pPr>
            <w:r>
              <w:rPr>
                <w:rFonts w:ascii="Calibri" w:hAnsi="Calibri" w:cs="Calibri" w:eastAsia="Calibri"/>
                <w:b w:val="0"/>
                <w:i w:val="0"/>
                <w:color w:val="64748B"/>
                <w:sz w:val="15"/>
              </w:rPr>
              <w:t>OpenAI (2024) ChatGPT — AI-assisted development disclosure</w:t>
            </w:r>
          </w:p>
        </w:tc>
      </w:tr>
    </w:tbl>
    <w:p>
      <w:pPr>
        <w:spacing w:after="80"/>
      </w:pPr>
    </w:p>
    <w:tbl>
      <w:tblPr>
        <w:tblW w:type="auto" w:w="0"/>
        <w:tblLook w:firstColumn="1" w:firstRow="1" w:lastColumn="0" w:lastRow="0" w:noHBand="0" w:noVBand="1" w:val="04A0"/>
        <w:tblBorders>
          <w:top w:val="nil"/>
          <w:left w:val="nil"/>
          <w:bottom w:val="nil"/>
          <w:right w:val="nil"/>
          <w:insideH w:val="nil"/>
          <w:insideV w:val="nil"/>
        </w:tblBorders>
      </w:tblPr>
      <w:tblGrid>
        <w:gridCol w:w="31408"/>
      </w:tblGrid>
      <w:tr>
        <w:tc>
          <w:tcPr>
            <w:tcW w:type="dxa" w:w="31408"/>
            <w:shd w:fill="1E3A5F" w:val="clear"/>
            <w:tcMar>
              <w:top w:w="80" w:type="dxa"/>
              <w:left w:w="140" w:type="dxa"/>
              <w:bottom w:w="80" w:type="dxa"/>
              <w:right w:w="140" w:type="dxa"/>
            </w:tcMar>
          </w:tcPr>
          <w:p>
            <w:pPr>
              <w:jc w:val="center"/>
            </w:pPr>
            <w:r>
              <w:rPr>
                <w:rFonts w:ascii="Calibri" w:hAnsi="Calibri" w:cs="Calibri" w:eastAsia="Calibri"/>
                <w:b/>
                <w:i w:val="0"/>
                <w:color w:val="FFFFFF"/>
                <w:sz w:val="20"/>
              </w:rPr>
              <w:t>G G M P Kusumsiri | 2540881  ·  Supervisor: Mr. Anuruddha Abeysinghe  ·  The University of Bedfordshire | BSc (Hons) Computer Science | August 2026</w:t>
            </w:r>
          </w:p>
        </w:tc>
      </w:tr>
    </w:tbl>
    <w:sectPr w:rsidR="00FC693F" w:rsidRPr="0006063C" w:rsidSect="00034616">
      <w:pgSz w:w="33676" w:h="47679"/>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EasyCircular A1 Project Poster</dc:title>
  <dc:subject>AI-Assisted Web System for Summarising Sri Lanka Ministry of Education (MOE) Circulars</dc:subject>
  <dc:creator>G G M P Kusumsiri</dc:creator>
  <cp:keywords/>
  <dc:description>generated by python-docx</dc:description>
  <cp:lastModifiedBy/>
  <cp:revision>1</cp:revision>
  <dcterms:created xsi:type="dcterms:W3CDTF">2013-12-23T23:15:00Z</dcterms:created>
  <dcterms:modified xsi:type="dcterms:W3CDTF">2013-12-23T23:15:00Z</dcterms:modified>
  <cp:category/>
</cp:coreProperties>
</file>