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480"/>
        <w:gridCol w:w="2880"/>
      </w:tblGrid>
      <w:tr>
        <w:tc>
          <w:tcPr>
            <w:tcW w:type="dxa" w:w="4680"/>
          </w:tcPr>
          <w:p>
            <w:pPr>
              <w:spacing w:after="40"/>
            </w:pPr>
            <w:r>
              <w:rPr>
                <w:b/>
                <w:color w:val="000000"/>
                <w:sz w:val="48"/>
              </w:rPr>
              <w:t>Kavindi Senanayake</w:t>
            </w:r>
          </w:p>
          <w:p>
            <w:pPr>
              <w:spacing w:after="0"/>
            </w:pPr>
            <w:r>
              <w:rPr>
                <w:i/>
                <w:color w:val="505050"/>
                <w:sz w:val="26"/>
              </w:rPr>
              <w:t>Associate Software Engineer</w:t>
            </w:r>
          </w:p>
        </w:tc>
        <w:tc>
          <w:tcPr>
            <w:tcW w:type="dxa" w:w="4680"/>
          </w:tcPr>
          <w:p>
            <w:pPr>
              <w:spacing w:after="0"/>
              <w:jc w:val="right"/>
            </w:pPr>
            <w:r>
              <w:rPr>
                <w:color w:val="505050"/>
                <w:sz w:val="19"/>
              </w:rPr>
              <w:t>kavindisena@gmail.com</w:t>
              <w:br/>
              <w:t>+94 77 561 2284</w:t>
            </w:r>
          </w:p>
        </w:tc>
      </w:tr>
    </w:tbl>
    <w:p>
      <w:pPr>
        <w:spacing w:before="80" w:after="240"/>
        <w:pBdr>
          <w:bottom w:val="single" w:sz="12" w:space="4" w:color="000000"/>
        </w:pBdr>
      </w:pPr>
    </w:p>
    <w:p>
      <w:pPr>
        <w:spacing w:before="200" w:after="80"/>
      </w:pPr>
      <w:r>
        <w:rPr>
          <w:b/>
          <w:color w:val="000000"/>
          <w:sz w:val="26"/>
        </w:rPr>
        <w:t>PROFESSIONAL SUMMARY</w:t>
      </w:r>
    </w:p>
    <w:p>
      <w:pPr>
        <w:spacing w:after="280" w:line="276" w:lineRule="auto"/>
      </w:pPr>
      <w:r>
        <w:rPr>
          <w:color w:val="000000"/>
        </w:rPr>
        <w:t>Enthusiastic and adaptable software developer specializing in Python and Django backend infrastructure. Proven track record of designing reliable, RESTful APIs and managing complex database architectures at 99X. Experienced in Moratuwa's rigorous technical environment.</w:t>
      </w:r>
    </w:p>
    <w:p>
      <w:pPr>
        <w:spacing w:before="200" w:after="120"/>
      </w:pPr>
      <w:r>
        <w:rPr>
          <w:b/>
          <w:color w:val="000000"/>
          <w:sz w:val="26"/>
        </w:rPr>
        <w:t>CORE STRENGTHS &amp; SKILLS</w:t>
      </w:r>
    </w:p>
    <w:p>
      <w:pPr>
        <w:spacing w:after="280" w:line="288" w:lineRule="auto"/>
      </w:pPr>
      <w:r>
        <w:rPr>
          <w:b/>
          <w:color w:val="000000"/>
          <w:sz w:val="22"/>
        </w:rPr>
        <w:t>Python  ·  Django  ·  REST APIs  ·  PostgreSQL  ·  JavaScript</w:t>
      </w:r>
    </w:p>
    <w:p>
      <w:pPr>
        <w:spacing w:before="200" w:after="120"/>
      </w:pPr>
      <w:r>
        <w:rPr>
          <w:b/>
          <w:color w:val="000000"/>
          <w:sz w:val="26"/>
        </w:rPr>
        <w:t>PROFESSIONAL EXPERIENCE</w:t>
      </w:r>
    </w:p>
    <w:tbl>
      <w:tblPr>
        <w:tblW w:type="auto" w:w="0"/>
        <w:tblLayout w:type="fixed"/>
        <w:tblLook w:firstColumn="1" w:firstRow="1" w:lastColumn="0" w:lastRow="0" w:noHBand="0" w:noVBand="1" w:val="04A0"/>
      </w:tblPr>
      <w:tblGrid>
        <w:gridCol w:w="6480"/>
        <w:gridCol w:w="2880"/>
      </w:tblGrid>
      <w:tr>
        <w:tc>
          <w:tcPr>
            <w:tcW w:type="dxa" w:w="4680"/>
          </w:tcPr>
          <w:p>
            <w:pPr>
              <w:spacing w:after="0"/>
            </w:pPr>
            <w:r>
              <w:rPr>
                <w:b/>
                <w:color w:val="000000"/>
                <w:sz w:val="24"/>
              </w:rPr>
              <w:t>Associate Software Engineer</w:t>
            </w:r>
          </w:p>
        </w:tc>
        <w:tc>
          <w:tcPr>
            <w:tcW w:type="dxa" w:w="4680"/>
          </w:tcPr>
          <w:p>
            <w:pPr>
              <w:spacing w:after="0"/>
              <w:jc w:val="right"/>
            </w:pPr>
            <w:r>
              <w:rPr>
                <w:i/>
                <w:color w:val="505050"/>
              </w:rPr>
              <w:t>99X  |  1.5 years (2024 - Present)</w:t>
            </w:r>
          </w:p>
        </w:tc>
      </w:tr>
    </w:tbl>
    <w:p>
      <w:pPr>
        <w:pStyle w:val="ListBullet"/>
        <w:spacing w:before="0" w:after="60" w:line="276" w:lineRule="auto"/>
      </w:pPr>
      <w:r>
        <w:rPr>
          <w:color w:val="000000"/>
        </w:rPr>
        <w:t>Developed scalable backend workflows and REST API endpoints utilizing Django and Python, ensuring high reliability.</w:t>
      </w:r>
    </w:p>
    <w:p>
      <w:pPr>
        <w:pStyle w:val="ListBullet"/>
        <w:spacing w:before="0" w:after="60" w:line="276" w:lineRule="auto"/>
      </w:pPr>
      <w:r>
        <w:rPr>
          <w:color w:val="000000"/>
        </w:rPr>
        <w:t>Collaborated in architectural discussions to refactor legacy Python modules, achieving a 15% reduction in CPU utilization.</w:t>
      </w:r>
    </w:p>
    <w:p>
      <w:pPr>
        <w:pStyle w:val="ListBullet"/>
        <w:spacing w:before="0" w:after="60" w:line="276" w:lineRule="auto"/>
      </w:pPr>
      <w:r>
        <w:rPr>
          <w:color w:val="000000"/>
        </w:rPr>
        <w:t>Designed schema migrations and query optimizations in PostgreSQL, managing high volumes of relational candidate records.</w:t>
      </w:r>
    </w:p>
    <w:p>
      <w:pPr>
        <w:pStyle w:val="ListBullet"/>
        <w:spacing w:before="0" w:after="60" w:line="276" w:lineRule="auto"/>
      </w:pPr>
      <w:r>
        <w:rPr>
          <w:color w:val="000000"/>
        </w:rPr>
        <w:t>Participated actively in automated integration testing and unit testing to secure high quality code coverage.</w:t>
      </w:r>
    </w:p>
    <w:p>
      <w:pPr>
        <w:pStyle w:val="ListBullet"/>
        <w:spacing w:before="0" w:after="60" w:line="276" w:lineRule="auto"/>
      </w:pPr>
      <w:r>
        <w:rPr>
          <w:color w:val="000000"/>
        </w:rPr>
        <w:t>Contributed to dynamic frontend modules using Vanilla JavaScript and modern UI libraries.</w:t>
      </w:r>
    </w:p>
    <w:p>
      <w:pPr>
        <w:spacing w:after="160"/>
      </w:pPr>
    </w:p>
    <w:p>
      <w:pPr>
        <w:spacing w:before="200" w:after="120"/>
      </w:pPr>
      <w:r>
        <w:rPr>
          <w:b/>
          <w:color w:val="000000"/>
          <w:sz w:val="26"/>
        </w:rPr>
        <w:t>EDUCATIONAL QUALIFICATIONS</w:t>
      </w:r>
    </w:p>
    <w:tbl>
      <w:tblPr>
        <w:tblW w:type="auto" w:w="0"/>
        <w:tblLayout w:type="fixed"/>
        <w:tblLook w:firstColumn="1" w:firstRow="1" w:lastColumn="0" w:lastRow="0" w:noHBand="0" w:noVBand="1" w:val="04A0"/>
      </w:tblPr>
      <w:tblGrid>
        <w:gridCol w:w="6480"/>
        <w:gridCol w:w="2880"/>
      </w:tblGrid>
      <w:tr>
        <w:tc>
          <w:tcPr>
            <w:tcW w:type="dxa" w:w="4680"/>
          </w:tcPr>
          <w:p>
            <w:pPr>
              <w:spacing w:after="0"/>
            </w:pPr>
            <w:r>
              <w:rPr>
                <w:b/>
                <w:color w:val="000000"/>
                <w:sz w:val="24"/>
              </w:rPr>
              <w:t>BSc in Information Technology</w:t>
            </w:r>
          </w:p>
        </w:tc>
        <w:tc>
          <w:tcPr>
            <w:tcW w:type="dxa" w:w="4680"/>
          </w:tcPr>
          <w:p>
            <w:pPr>
              <w:spacing w:after="0"/>
              <w:jc w:val="right"/>
            </w:pPr>
            <w:r>
              <w:rPr>
                <w:i/>
                <w:color w:val="505050"/>
              </w:rPr>
              <w:t>University of Moratuwa</w:t>
            </w:r>
          </w:p>
        </w:tc>
      </w:tr>
    </w:tbl>
    <w:p>
      <w:pPr>
        <w:spacing w:before="80" w:after="200" w:line="276" w:lineRule="auto"/>
      </w:pPr>
      <w:r>
        <w:rPr>
          <w:i/>
          <w:color w:val="505050"/>
          <w:sz w:val="21"/>
        </w:rPr>
        <w:t>BSc in Information Technology – Faculty of Information Technology, University of Moratuwa. Specialized in Database Systems and Distributed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