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48"/>
          <w:szCs w:val="48"/>
        </w:rPr>
      </w:pPr>
      <w:r>
        <w:rPr>
          <w:sz w:val="48"/>
          <w:szCs w:val="48"/>
          <w:rtl w:val="0"/>
        </w:rPr>
        <w:t xml:space="preserve">   Predictive Academic Analytics: Visualization   Techniques for Student Performance and Outcome   Forecasting</w:t>
      </w:r>
      <w:r>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Pr>
          <w:b w:val="1"/>
          <w:bCs w:val="1"/>
          <w:rtl w:val="0"/>
        </w:rPr>
        <w:t xml:space="preserve">First Author</w:t>
      </w:r>
      <w:r>
        <w:rPr>
          <w:rtl w:val="0"/>
        </w:rPr>
      </w:r>
    </w:p>
    <w:p w:rsidR="00000000" w:rsidDel="00000000" w:rsidP="00000000" w:rsidRDefault="00000000" w:rsidRPr="00000000" w14:paraId="00000003">
      <w:pPr>
        <w:spacing w:after="20" w:lineRule="auto"/>
        <w:jc w:val="center"/>
        <w:rPr/>
      </w:pPr>
      <w:r>
        <w:rPr>
          <w:i w:val="1"/>
          <w:iCs w:val="1"/>
          <w:sz w:val="18"/>
          <w:szCs w:val="18"/>
          <w:rtl w:val="0"/>
        </w:rPr>
        <w:t xml:space="preserve">Department of Computer Science &amp; Engineering, Chaitanya Bharathi Institute of Technology(A)</w:t>
      </w:r>
      <w:r>
        <w:rPr>
          <w:rtl w:val="0"/>
        </w:rPr>
      </w:r>
    </w:p>
    <w:p w:rsidR="00000000" w:rsidDel="00000000" w:rsidP="00000000" w:rsidRDefault="00000000" w:rsidRPr="00000000" w14:paraId="00000004">
      <w:pPr>
        <w:spacing w:after="120" w:lineRule="auto"/>
        <w:jc w:val="center"/>
        <w:rPr/>
      </w:pPr>
      <w:r>
        <w:rPr>
          <w:i w:val="1"/>
          <w:iCs w:val="1"/>
          <w:sz w:val="18"/>
          <w:szCs w:val="18"/>
          <w:rtl w:val="0"/>
        </w:rPr>
        <w:t xml:space="preserve">Hyderabad, India</w:t>
      </w:r>
      <w:r>
        <w:rPr>
          <w:rtl w:val="0"/>
        </w:rPr>
      </w:r>
    </w:p>
    <w:p w:rsidR="00000000" w:rsidDel="00000000" w:rsidP="00000000" w:rsidRDefault="00000000" w:rsidRPr="00000000" w14:paraId="00000005">
      <w:pPr>
        <w:spacing w:before="120" w:lineRule="auto"/>
        <w:rPr/>
      </w:pPr>
      <w:r>
        <w:rPr>
          <w:b w:val="1"/>
          <w:bCs w:val="1"/>
          <w:i w:val="1"/>
          <w:iCs w:val="1"/>
          <w:rtl w:val="0"/>
        </w:rPr>
        <w:t xml:space="preserve">Abstract</w:t>
      </w:r>
      <w:r>
        <w:rPr>
          <w:rtl w:val="0"/>
        </w:rPr>
        <w:t xml:space="preserve"> — Predictive academic analytics has emerged as a powerful approach for improving student performance and institutional decision-making through data-driven insights. This paper presents a comprehensive framework that integrates predictive modeling with interactive data visualization techniques to analyze and forecast student academic outcomes. The primary objective of this study is to identify key performance indicators and patterns that influence student success using historical academic data. Various machine learning algorithms are applied to predict future performance, while visualization tools are utilized to present the results in an intuitive and interpretable manner. The proposed system enables early identification of at-risk students, allowing timely interventions and personalized learning strategies. Experimental results demonstrate improved prediction accuracy and enhanced understanding of academic trends through visual representation. The findings highlight the effectiveness of combining predictive analytics with visualization in educational environments. This approach not only supports educators in decision-making but also empowers students to monitor and improve their academic progress. The study concludes that integrating predictive techniques with visual analytics can significantly contribute to academic success and institutional efficiency.</w:t>
      </w:r>
    </w:p>
    <w:p w:rsidR="00000000" w:rsidDel="00000000" w:rsidP="00000000" w:rsidRDefault="00000000" w:rsidRPr="00000000" w14:paraId="00000006">
      <w:pPr>
        <w:spacing w:before="120" w:lineRule="auto"/>
        <w:rPr/>
      </w:pPr>
      <w:r>
        <w:rPr>
          <w:rtl w:val="0"/>
        </w:rPr>
      </w:r>
    </w:p>
    <w:p w:rsidR="00000000" w:rsidDel="00000000" w:rsidP="00000000" w:rsidRDefault="00000000" w:rsidRPr="00000000" w14:paraId="00000007">
      <w:pPr>
        <w:spacing w:before="80" w:lineRule="auto"/>
        <w:rPr/>
      </w:pPr>
      <w:r>
        <w:rPr>
          <w:i w:val="1"/>
          <w:iCs w:val="1"/>
          <w:rtl w:val="0"/>
        </w:rPr>
        <w:t xml:space="preserve">Keywords — </w:t>
      </w:r>
      <w:r>
        <w:rPr>
          <w:rtl w:val="0"/>
        </w:rPr>
        <w:t xml:space="preserve">Predictive analytics, academic performance, data visualization, machine learning, student success, educational data mining</w:t>
      </w:r>
    </w:p>
    <w:p w:rsidR="00000000" w:rsidDel="00000000" w:rsidP="00000000" w:rsidRDefault="00000000" w:rsidRPr="00000000" w14:paraId="00000008">
      <w:pPr>
        <w:pBdr>
          <w:bottom w:color="000000" w:space="1" w:sz="6" w:val="single"/>
        </w:pBdr>
        <w:spacing w:after="120" w:lineRule="auto"/>
        <w:rPr/>
        <w:sectPr>
          <w:pgSz w:h="15840" w:w="12240" w:orient="portrait"/>
          <w:pgMar w:bottom="1440" w:top="1440" w:left="1080" w:right="1080" w:header="708" w:footer="708"/>
          <w:pgNumType w:start="1"/>
        </w:sectPr>
      </w:pPr>
      <w:r>
        <w:rPr>
          <w:rtl w:val="0"/>
        </w:rPr>
      </w:r>
    </w:p>
    <w:p w:rsidR="00000000" w:rsidDel="00000000" w:rsidP="00000000" w:rsidRDefault="00000000" w:rsidRPr="00000000" w14:paraId="00000009">
      <w:pPr>
        <w:spacing w:after="60" w:before="120" w:lineRule="auto"/>
        <w:jc w:val="center"/>
        <w:rPr/>
      </w:pPr>
      <w:r>
        <w:rPr>
          <w:b w:val="1"/>
          <w:bCs w:val="1"/>
          <w:rtl w:val="0"/>
        </w:rPr>
        <w:t xml:space="preserve">I. INTRODUCTION</w:t>
      </w:r>
      <w:r>
        <w:rPr>
          <w:rtl w:val="0"/>
        </w:rPr>
      </w:r>
    </w:p>
    <w:p w:rsidR="00000000" w:rsidDel="00000000" w:rsidP="00000000" w:rsidRDefault="00000000" w:rsidRPr="00000000" w14:paraId="0000000A">
      <w:pPr>
        <w:spacing w:after="240" w:before="240" w:lineRule="auto"/>
        <w:rPr/>
      </w:pPr>
      <w:r>
        <w:rPr>
          <w:rtl w:val="0"/>
        </w:rPr>
        <w:t>In recent years, the use of data-driven approaches in education has significantly increased, enabling institutions to improve student performance and decision-making processes. Predictive academic analytics has emerged as a key technique for analyzing large volumes of student data to identify patterns and forecast academic outcomes. With the growing availability of educational data, there is a strong need for effective tools that can transform raw data into meaningful insights.</w:t>
      </w:r>
    </w:p>
    <w:p w:rsidR="00000000" w:rsidDel="00000000" w:rsidP="00000000" w:rsidRDefault="00000000" w:rsidRPr="00000000" w14:paraId="0000000B">
      <w:pPr>
        <w:spacing w:after="240" w:before="240" w:lineRule="auto"/>
        <w:rPr/>
      </w:pPr>
      <w:r>
        <w:rPr>
          <w:rtl w:val="0"/>
        </w:rPr>
        <w:t xml:space="preserve">Traditional methods of evaluating student performance often rely on static reports and manual analysis, which may fail to identify early warning signs of poor performance. Existing research has explored the use of machine learning techniques for predicting student outcomes; however, many approaches lack effective visualization methods to make the results easily understandable for educators and students.</w:t>
      </w:r>
    </w:p>
    <w:p w:rsidR="00000000" w:rsidDel="00000000" w:rsidP="00000000" w:rsidRDefault="00000000" w:rsidRPr="00000000" w14:paraId="0000000C">
      <w:pPr>
        <w:spacing w:after="240" w:before="240" w:lineRule="auto"/>
        <w:rPr/>
      </w:pPr>
      <w:r>
        <w:rPr>
          <w:rtl w:val="0"/>
        </w:rPr>
        <w:t xml:space="preserve">This paper addresses this gap by proposing a framework that integrates predictive analytics with interactive data visualization. The objective is to not only improve prediction accuracy but also enhance interpretability through visual representation of academic data. By combining these techniques, the system enables early identification of at-risk students and supports timely academic interventions.</w:t>
      </w:r>
    </w:p>
    <w:p w:rsidR="00000000" w:rsidDel="00000000" w:rsidP="00000000" w:rsidRDefault="00000000" w:rsidRPr="00000000" w14:paraId="0000000D">
      <w:pPr>
        <w:spacing w:after="240" w:before="240" w:lineRule="auto"/>
        <w:rPr/>
      </w:pPr>
      <w:r>
        <w:rPr>
          <w:rtl w:val="0"/>
        </w:rPr>
        <w:t xml:space="preserve">The remainder of this paper is organized as follows: Section II discusses related work, Section III describes the proposed methodology, Section IV presents the results and analysis, and Section V concludes the paper with future directions.</w:t>
      </w:r>
    </w:p>
    <w:p w:rsidR="00000000" w:rsidDel="00000000" w:rsidP="00000000" w:rsidRDefault="00000000" w:rsidRPr="00000000" w14:paraId="0000000E">
      <w:pPr>
        <w:rPr/>
      </w:pPr>
      <w:r>
        <w:rPr>
          <w:rtl w:val="0"/>
        </w:rPr>
      </w:r>
    </w:p>
    <w:p w:rsidR="00000000" w:rsidDel="00000000" w:rsidP="00000000" w:rsidRDefault="00000000" w:rsidRPr="00000000" w14:paraId="0000000F">
      <w:pPr>
        <w:spacing w:after="60" w:before="120" w:lineRule="auto"/>
        <w:jc w:val="center"/>
        <w:rPr/>
      </w:pPr>
      <w:r>
        <w:rPr>
          <w:b w:val="1"/>
          <w:bCs w:val="1"/>
          <w:rtl w:val="0"/>
        </w:rPr>
        <w:t xml:space="preserve">II. RELATED WORK</w:t>
      </w:r>
      <w:r>
        <w:rPr>
          <w:rtl w:val="0"/>
        </w:rPr>
      </w:r>
    </w:p>
    <w:p w:rsidR="00000000" w:rsidDel="00000000" w:rsidP="00000000" w:rsidRDefault="00000000" w:rsidRPr="00000000" w14:paraId="00000010">
      <w:pPr>
        <w:spacing w:after="60" w:lineRule="auto"/>
        <w:ind w:firstLine="360"/>
        <w:jc w:val="both"/>
        <w:rPr/>
      </w:pPr>
      <w:r>
        <w:rPr>
          <w:rtl w:val="0"/>
        </w:rPr>
        <w:t xml:space="preserve">Educational data mining and learning analytics have attracted considerable research interest in recent years. Romero and Ventura [1] provided a comprehensive survey of data mining techniques applied to educational systems, demonstrating that classification and regression methods are particularly effective for predicting student outcomes. Their work highlighted that study habits and attendance records are among the strongest predictors of academic performance.</w:t>
      </w:r>
    </w:p>
    <w:p w:rsidR="00000000" w:rsidDel="00000000" w:rsidP="00000000" w:rsidRDefault="00000000" w:rsidRPr="00000000" w14:paraId="00000011">
      <w:pPr>
        <w:spacing w:after="60" w:lineRule="auto"/>
        <w:ind w:firstLine="360"/>
        <w:jc w:val="both"/>
        <w:rPr/>
      </w:pPr>
      <w:r>
        <w:rPr>
          <w:rtl w:val="0"/>
        </w:rPr>
        <w:t xml:space="preserve">Cortez and Silva [2] applied decision trees, neural networks, and support vector machines to predict secondary school student performance using demographic and study-time attributes. Their findings confirmed that study time, past academic failures, and family support significantly influence final grades, achieving prediction accuracies of up to 93%. However, their system lacked real-time interactivity and personalized prescriptive feedback for individual students.</w:t>
      </w:r>
    </w:p>
    <w:p w:rsidR="00000000" w:rsidDel="00000000" w:rsidP="00000000" w:rsidRDefault="00000000" w:rsidRPr="00000000" w14:paraId="00000011A">
      <w:pPr>
        <w:spacing w:after="60" w:lineRule="auto"/>
        <w:ind w:firstLine="360"/>
        <w:jc w:val="both"/>
        <w:rPr/>
      </w:pPr>
      <w:r>
        <w:rPr>
          <w:rtl w:val="0"/>
        </w:rPr>
        <w:t xml:space="preserve">Baker and Inventado [3] examined the role of visualization in learning analytics dashboards, arguing that the gap between raw model output and educator comprehension is best bridged through interactive charts and visual summaries. Systems such as Course Signals at Purdue University used traffic-light indicators derived from regression models to alert instructors about at-risk students [4]. While effective, such systems operated as back-end institutional tools and were not directly accessible to students for self-monitoring.</w:t>
      </w:r>
    </w:p>
    <w:p w:rsidR="00000000" w:rsidDel="00000000" w:rsidP="00000000" w:rsidRDefault="00000000" w:rsidRPr="00000000" w14:paraId="00000011B">
      <w:pPr>
        <w:spacing w:after="60" w:lineRule="auto"/>
        <w:ind w:firstLine="360"/>
        <w:jc w:val="both"/>
        <w:rPr/>
      </w:pPr>
      <w:r>
        <w:rPr>
          <w:rtl w:val="0"/>
        </w:rPr>
        <w:t xml:space="preserve">Memory retention and spaced repetition have been studied extensively since Ebbinghaus [5] first formalized the forgetting curve in 1885. More recent work by Cepeda et al. [6] quantified optimal inter-study intervals, finding that regularly spaced revision sessions substantially outperform massed practice. Despite this, existing academic support tools rarely integrate memory science models into their analytics dashboards.</w:t>
      </w:r>
    </w:p>
    <w:p w:rsidR="00000000" w:rsidDel="00000000" w:rsidP="00000000" w:rsidRDefault="00000000" w:rsidRPr="00000000" w14:paraId="00000011C">
      <w:pPr>
        <w:spacing w:after="60" w:lineRule="auto"/>
        <w:ind w:firstLine="360"/>
        <w:jc w:val="both"/>
        <w:rPr/>
      </w:pPr>
      <w:r>
        <w:rPr>
          <w:rtl w:val="0"/>
        </w:rPr>
        <w:t xml:space="preserve">The present work differs from prior systems in three key respects: (i) it combines predictive, prescriptive, and scenario-based analytics within a single student-facing application; (ii) it integrates an Ebbinghaus-based memory retention visualizer with configurable revision frequency; and (iii) it operates as a zero-dependency, self-hosted web application requiring only Python 3, making it accessible without institutional IT infrastructure.</w:t>
      </w:r>
    </w:p>
    <w:p w:rsidR="00000000" w:rsidDel="00000000" w:rsidP="00000000" w:rsidRDefault="00000000" w:rsidRPr="00000000" w14:paraId="00000012">
      <w:pPr>
        <w:rPr/>
      </w:pPr>
      <w:r>
        <w:rPr>
          <w:rtl w:val="0"/>
        </w:rPr>
      </w:r>
    </w:p>
    <w:p w:rsidR="00000000" w:rsidDel="00000000" w:rsidP="00000000" w:rsidRDefault="00000000" w:rsidRPr="00000000" w14:paraId="00000013">
      <w:pPr>
        <w:spacing w:after="60" w:before="120" w:lineRule="auto"/>
        <w:jc w:val="center"/>
        <w:rPr/>
      </w:pPr>
      <w:r>
        <w:rPr>
          <w:b w:val="1"/>
          <w:bCs w:val="1"/>
          <w:rtl w:val="0"/>
        </w:rPr>
        <w:t xml:space="preserve">III. METHODOLOGY</w:t>
      </w:r>
      <w:r>
        <w:rPr>
          <w:rtl w:val="0"/>
        </w:rPr>
      </w:r>
    </w:p>
    <w:p w:rsidR="00000000" w:rsidDel="00000000" w:rsidP="00000000" w:rsidRDefault="00000000" w:rsidRPr="00000000" w14:paraId="00000014">
      <w:pPr>
        <w:spacing w:after="60" w:lineRule="auto"/>
        <w:ind w:firstLine="360"/>
        <w:jc w:val="both"/>
        <w:rPr/>
      </w:pPr>
      <w:r>
        <w:rPr>
          <w:rtl w:val="0"/>
        </w:rPr>
        <w:t xml:space="preserve">The Academic Decision Support System (Academic DSS) is a full-stack web application designed to provide students with data-driven insights into their academic performance. The system follows a three-tier architecture: a Python-based HTTP server (backend), an SQLite relational database (data layer), and a single-page application frontend served as a self-contained HTML file with embedded JavaScript and CSS.</w:t>
      </w:r>
    </w:p>
    <w:p w:rsidR="00000000" w:rsidDel="00000000" w:rsidP="00000000" w:rsidRDefault="00000000" w:rsidRPr="00000000" w14:paraId="00000015">
      <w:pPr>
        <w:spacing w:after="60" w:before="180" w:lineRule="auto"/>
        <w:jc w:val="center"/>
        <w:rPr/>
      </w:pPr>
      <w:r>
        <w:rPr>
          <w:b w:val="1"/>
          <w:bCs w:val="1"/>
          <w:smallCaps w:val="1"/>
          <w:rtl w:val="0"/>
        </w:rPr>
        <w:t xml:space="preserve">A. System Design</w:t>
      </w:r>
    </w:p>
    <w:p w:rsidR="00000000" w:rsidDel="00000000" w:rsidP="00000000" w:rsidRDefault="00000000" w:rsidRPr="00000000" w14:paraId="00000016">
      <w:pPr>
        <w:spacing w:after="60" w:lineRule="auto"/>
        <w:ind w:firstLine="360"/>
        <w:jc w:val="both"/>
        <w:rPr/>
      </w:pPr>
      <w:r>
        <w:rPr>
          <w:rtl w:val="0"/>
        </w:rPr>
        <w:t xml:space="preserve">The backend is implemented using Python’s built-in http.server and sqlite3 modules, requiring no third-party packages. Authentication is handled via a custom token scheme using HMAC-SHA256 and PBKDF2 password hashing with 100,000 iterations and a random salt, ensuring secure credential storage without external dependencies. The server exposes RESTful endpoints for registration, login, mark prediction, prescriptive recommendations, scenario forecasting, memory curve computation, prediction history retrieval, and AI chatbot interaction. The frontend is a zero-framework single-page application that communicates with the backend over the same origin using the Fetch API, and renders interactive bar and line charts through Chart.js 4.4.1.</w:t>
      </w:r>
    </w:p>
    <w:p w:rsidR="00000000" w:rsidDel="00000000" w:rsidP="00000000" w:rsidRDefault="00000000" w:rsidRPr="00000000" w14:paraId="00000017">
      <w:pPr>
        <w:spacing w:after="60" w:before="120" w:lineRule="auto"/>
        <w:rPr/>
      </w:pPr>
      <w:r>
        <w:rPr>
          <w:i w:val="1"/>
          <w:iCs w:val="1"/>
          <w:rtl w:val="0"/>
        </w:rPr>
        <w:t xml:space="preserve">B. Predictive Model</w:t>
      </w:r>
    </w:p>
    <w:p w:rsidR="00000000" w:rsidDel="00000000" w:rsidP="00000000" w:rsidRDefault="00000000" w:rsidRPr="00000000" w14:paraId="00000018">
      <w:pPr>
        <w:spacing w:after="60" w:lineRule="auto"/>
        <w:ind w:firstLine="360"/>
        <w:jc w:val="both"/>
        <w:rPr/>
      </w:pPr>
      <w:r>
        <w:rPr>
          <w:rtl w:val="0"/>
        </w:rPr>
        <w:t xml:space="preserve">A Multiple Linear Regression model was trained on a dataset of student academic records using four input features: daily study hours (h), attendance percentage (a), nightly sleep hours (s), and weekly revision sessions (r). The fitted model achieved a coefficient of determination R² = 0.937, indicating that approximately 93.7% of variance in final marks is explained by these four variables. The prediction equation is given by:</w:t>
      </w:r>
    </w:p>
    <w:p w:rsidR="00000000" w:rsidDel="00000000" w:rsidP="00000000" w:rsidRDefault="00000000" w:rsidRPr="00000000" w14:paraId="00000018A">
      <w:pPr>
        <w:spacing w:after="60" w:before="60" w:lineRule="auto"/>
        <w:jc w:val="center"/>
        <w:rPr/>
      </w:pPr>
      <w:r>
        <w:rPr>
          <w:i w:val="1"/>
          <w:iCs w:val="1"/>
          <w:rtl w:val="0"/>
        </w:rPr>
        <w:t xml:space="preserve">Marks = 4.624 + 5.007h + 0.256a + 1.842s + 3.167r</w:t>
      </w:r>
    </w:p>
    <w:p w:rsidR="00000000" w:rsidDel="00000000" w:rsidP="00000000" w:rsidRDefault="00000000" w:rsidRPr="00000000" w14:paraId="00000018B">
      <w:pPr>
        <w:spacing w:after="60" w:lineRule="auto"/>
        <w:ind w:firstLine="360"/>
        <w:jc w:val="both"/>
        <w:rPr/>
      </w:pPr>
      <w:r>
        <w:rPr>
          <w:rtl w:val="0"/>
        </w:rPr>
        <w:t xml:space="preserve">Study hours carry the largest coefficient (5.007), confirming their dominant influence on academic outcomes. The predicted value is clamped to the range [0, 100] to represent valid percentage marks. A reverse-engineering function additionally accepts a target mark as input and computes the minimum recommended values for each feature using the model coefficients, providing prescriptive guidance.</w:t>
      </w:r>
    </w:p>
    <w:p w:rsidR="00000000" w:rsidDel="00000000" w:rsidP="00000000" w:rsidRDefault="00000000" w:rsidRPr="00000000" w14:paraId="00000018C">
      <w:pPr>
        <w:spacing w:after="60" w:before="120" w:lineRule="auto"/>
        <w:rPr/>
      </w:pPr>
      <w:r>
        <w:rPr>
          <w:i w:val="1"/>
          <w:iCs w:val="1"/>
          <w:rtl w:val="0"/>
        </w:rPr>
        <w:t xml:space="preserve">C. Scenario Forecasting and Memory Curve</w:t>
      </w:r>
    </w:p>
    <w:p w:rsidR="00000000" w:rsidDel="00000000" w:rsidP="00000000" w:rsidRDefault="00000000" w:rsidRPr="00000000" w14:paraId="00000018D">
      <w:pPr>
        <w:spacing w:after="60" w:lineRule="auto"/>
        <w:ind w:firstLine="360"/>
        <w:jc w:val="both"/>
        <w:rPr/>
      </w:pPr>
      <w:r>
        <w:rPr>
          <w:rtl w:val="0"/>
        </w:rPr>
        <w:t xml:space="preserve">The scenario forecasting module applies the regression model to three predefined effort profiles: High Effort (8h study, 95% attendance, 8h sleep, 6 revisions/week), Medium Effort (5h, 75%, 7h, 3/week), and Low Effort (2h, 50%, 6h, 1/week). Results are displayed as colour-coded summary cards and a comparative bar chart. The memory retention module implements the Ebbinghaus forgetting curve with an 8% daily decay rate and a configurable revision boost of +15% per session. Retention values are computed over a 30-day window and rendered as a line chart with green markers at each revision day, making the optimal revision schedule visually apparent.</w:t>
      </w:r>
    </w:p>
    <w:p w:rsidR="00000000" w:rsidDel="00000000" w:rsidP="00000000" w:rsidRDefault="00000000" w:rsidRPr="00000000" w14:paraId="00000019">
      <w:pPr>
        <w:rPr/>
      </w:pPr>
      <w:r>
        <w:rPr>
          <w:rtl w:val="0"/>
        </w:rPr>
      </w:r>
    </w:p>
    <w:p w:rsidR="00000000" w:rsidDel="00000000" w:rsidP="00000000" w:rsidRDefault="00000000" w:rsidRPr="00000000" w14:paraId="0000001A">
      <w:pPr>
        <w:spacing w:after="60" w:before="120" w:lineRule="auto"/>
        <w:jc w:val="center"/>
        <w:rPr/>
      </w:pPr>
      <w:r>
        <w:rPr>
          <w:b w:val="1"/>
          <w:bCs w:val="1"/>
          <w:rtl w:val="0"/>
        </w:rPr>
        <w:t xml:space="preserve">IV. RESULTS</w:t>
      </w:r>
      <w:r>
        <w:rPr>
          <w:rtl w:val="0"/>
        </w:rPr>
      </w:r>
    </w:p>
    <w:p w:rsidR="00000000" w:rsidDel="00000000" w:rsidP="00000000" w:rsidRDefault="00000000" w:rsidRPr="00000000" w14:paraId="0000001B">
      <w:pPr>
        <w:spacing w:after="60" w:lineRule="auto"/>
        <w:ind w:firstLine="360"/>
        <w:jc w:val="both"/>
        <w:rPr/>
      </w:pPr>
      <w:r>
        <w:rPr>
          <w:rtl w:val="0"/>
        </w:rPr>
        <w:t xml:space="preserve">The Academic DSS was evaluated across all analytical modules. The predictive model achieved R² = 0.937 on the validation dataset, demonstrating strong explanatory power. Table I summarises the feature coefficients and their contribution to predicted marks for a representative student profile (6h study, 80% attendance, 7h sleep, 4 revisions/week), yielding a prediction of 79.79 marks (Grade A, Very Good). The system was further stress-tested against 13 functional test cases covering registration, login, mark prediction, prescriptive reverse-engineering, scenario forecasting, memory curve generation, prediction history retrieval, and chatbot interactions, all of which passed without error.</w:t>
      </w:r>
    </w:p>
    <w:p w:rsidR="00000000" w:rsidDel="00000000" w:rsidP="00000000" w:rsidRDefault="00000000" w:rsidRPr="00000000" w14:paraId="0000001C">
      <w:pPr>
        <w:spacing w:after="40" w:before="120" w:lineRule="auto"/>
        <w:jc w:val="center"/>
        <w:rPr/>
      </w:pPr>
      <w:r>
        <w:rPr>
          <w:b w:val="1"/>
          <w:bCs w:val="1"/>
          <w:smallCaps w:val="1"/>
          <w:sz w:val="18"/>
          <w:szCs w:val="18"/>
          <w:rtl w:val="0"/>
        </w:rPr>
        <w:t xml:space="preserve">TABLE I</w:t>
      </w:r>
      <w:r>
        <w:rPr>
          <w:rtl w:val="0"/>
        </w:rPr>
      </w:r>
    </w:p>
    <w:p w:rsidR="00000000" w:rsidDel="00000000" w:rsidP="00000000" w:rsidRDefault="00000000" w:rsidRPr="00000000" w14:paraId="0000001D">
      <w:pPr>
        <w:spacing w:after="80" w:lineRule="auto"/>
        <w:jc w:val="center"/>
        <w:rPr/>
      </w:pPr>
      <w:r>
        <w:rPr>
          <w:b w:val="1"/>
          <w:bCs w:val="1"/>
          <w:sz w:val="18"/>
          <w:szCs w:val="18"/>
          <w:rtl w:val="0"/>
        </w:rPr>
        <w:t xml:space="preserve">Regression Model Feature Coefficients and Mark Contributions</w:t>
      </w:r>
      <w:r>
        <w:rPr>
          <w:rtl w:val="0"/>
        </w:rPr>
      </w:r>
    </w:p>
    <w:tbl>
      <w:tblPr>
        <w:tblStyle w:val="Table1"/>
        <w:tblW w:w="4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40"/>
        <w:gridCol w:w="1440"/>
        <w:tblGridChange w:id="0">
          <w:tblGrid>
            <w:gridCol w:w="1800"/>
            <w:gridCol w:w="1440"/>
            <w:gridCol w:w="14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Mar>
              <w:top w:w="60.0" w:type="dxa"/>
              <w:left w:w="80.0" w:type="dxa"/>
              <w:bottom w:w="60.0" w:type="dxa"/>
              <w:right w:w="80.0" w:type="dxa"/>
            </w:tcMar>
          </w:tcPr>
          <w:p w:rsidR="00000000" w:rsidDel="00000000" w:rsidP="00000000" w:rsidRDefault="00000000" w:rsidRPr="00000000" w14:paraId="0000001E">
            <w:pPr>
              <w:jc w:val="center"/>
              <w:rPr/>
            </w:pPr>
            <w:r>
              <w:rPr>
                <w:b w:val="1"/>
                <w:bCs w:val="1"/>
                <w:sz w:val="18"/>
                <w:szCs w:val="18"/>
                <w:rtl w:val="0"/>
              </w:rPr>
              <w:t xml:space="preserve">Feature</w:t>
            </w:r>
            <w:r>
              <w:rPr>
                <w:rtl w:val="0"/>
              </w:rPr>
            </w:r>
          </w:p>
        </w:tc>
        <w:tc>
          <w:tcPr>
            <w:tcBorders>
              <w:top w:color="000000" w:space="0" w:sz="4" w:val="single"/>
              <w:left w:color="000000" w:space="0" w:sz="4" w:val="single"/>
              <w:bottom w:color="000000" w:space="0" w:sz="4" w:val="single"/>
              <w:right w:color="000000" w:space="0" w:sz="4" w:val="single"/>
            </w:tcBorders>
            <w:shd w:fill="dddddd" w:val="clear"/>
            <w:tcMar>
              <w:top w:w="60.0" w:type="dxa"/>
              <w:left w:w="80.0" w:type="dxa"/>
              <w:bottom w:w="60.0" w:type="dxa"/>
              <w:right w:w="80.0" w:type="dxa"/>
            </w:tcMar>
          </w:tcPr>
          <w:p w:rsidR="00000000" w:rsidDel="00000000" w:rsidP="00000000" w:rsidRDefault="00000000" w:rsidRPr="00000000" w14:paraId="0000001F">
            <w:pPr>
              <w:jc w:val="center"/>
              <w:rPr/>
            </w:pPr>
            <w:r>
              <w:rPr>
                <w:b w:val="1"/>
                <w:bCs w:val="1"/>
                <w:sz w:val="18"/>
                <w:szCs w:val="18"/>
                <w:rtl w:val="0"/>
              </w:rPr>
              <w:t xml:space="preserve">Coefficient</w:t>
            </w:r>
            <w:r>
              <w:rPr>
                <w:rtl w:val="0"/>
              </w:rPr>
            </w:r>
          </w:p>
        </w:tc>
        <w:tc>
          <w:tcPr>
            <w:tcBorders>
              <w:top w:color="000000" w:space="0" w:sz="4" w:val="single"/>
              <w:left w:color="000000" w:space="0" w:sz="4" w:val="single"/>
              <w:bottom w:color="000000" w:space="0" w:sz="4" w:val="single"/>
              <w:right w:color="000000" w:space="0" w:sz="4" w:val="single"/>
            </w:tcBorders>
            <w:shd w:fill="dddddd" w:val="clear"/>
            <w:tcMar>
              <w:top w:w="60.0" w:type="dxa"/>
              <w:left w:w="80.0" w:type="dxa"/>
              <w:bottom w:w="60.0" w:type="dxa"/>
              <w:right w:w="80.0" w:type="dxa"/>
            </w:tcMar>
          </w:tcPr>
          <w:p w:rsidR="00000000" w:rsidDel="00000000" w:rsidP="00000000" w:rsidRDefault="00000000" w:rsidRPr="00000000" w14:paraId="00000020">
            <w:pPr>
              <w:jc w:val="center"/>
              <w:rPr/>
            </w:pPr>
            <w:r>
              <w:rPr>
                <w:b w:val="1"/>
                <w:bCs w:val="1"/>
                <w:sz w:val="18"/>
                <w:szCs w:val="18"/>
                <w:rtl w:val="0"/>
              </w:rPr>
              <w:t xml:space="preserve">Mark Contribution (sample)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21">
            <w:pPr>
              <w:rPr/>
            </w:pPr>
            <w:r>
              <w:rPr>
                <w:sz w:val="18"/>
                <w:szCs w:val="18"/>
                <w:rtl w:val="0"/>
              </w:rPr>
              <w:t xml:space="preserve">Study Hours (h)</w:t>
            </w:r>
            <w:r>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22">
            <w:pPr>
              <w:jc w:val="center"/>
              <w:rPr/>
            </w:pPr>
            <w:r>
              <w:rPr>
                <w:sz w:val="18"/>
                <w:szCs w:val="18"/>
                <w:rtl w:val="0"/>
              </w:rPr>
              <w:t xml:space="preserve">5.007</w:t>
            </w:r>
            <w:r>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23">
            <w:pPr>
              <w:jc w:val="center"/>
              <w:rPr/>
            </w:pPr>
            <w:r>
              <w:rPr>
                <w:sz w:val="18"/>
                <w:szCs w:val="18"/>
                <w:rtl w:val="0"/>
              </w:rPr>
              <w:t xml:space="preserve">+30.04 (6h)</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24">
            <w:pPr>
              <w:rPr/>
            </w:pPr>
            <w:r>
              <w:rPr>
                <w:sz w:val="18"/>
                <w:szCs w:val="18"/>
                <w:rtl w:val="0"/>
              </w:rPr>
              <w:t xml:space="preserve">Attendance % (a)</w:t>
            </w:r>
            <w:r>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25">
            <w:pPr>
              <w:jc w:val="center"/>
              <w:rPr/>
            </w:pPr>
            <w:r>
              <w:rPr>
                <w:sz w:val="18"/>
                <w:szCs w:val="18"/>
                <w:rtl w:val="0"/>
              </w:rPr>
              <w:t xml:space="preserve">0.256</w:t>
            </w:r>
            <w:r>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26">
            <w:pPr>
              <w:jc w:val="center"/>
              <w:rPr/>
            </w:pPr>
            <w:r>
              <w:rPr>
                <w:sz w:val="18"/>
                <w:szCs w:val="18"/>
                <w:rtl w:val="0"/>
              </w:rPr>
              <w:t xml:space="preserve">+20.48 (80%)</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27">
            <w:pPr>
              <w:rPr/>
            </w:pPr>
            <w:r>
              <w:rPr>
                <w:sz w:val="18"/>
                <w:szCs w:val="18"/>
                <w:rtl w:val="0"/>
              </w:rPr>
              <w:t xml:space="preserve">Sleep Hours (s)</w:t>
            </w:r>
            <w:r>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28">
            <w:pPr>
              <w:jc w:val="center"/>
              <w:rPr/>
            </w:pPr>
            <w:r>
              <w:rPr>
                <w:sz w:val="18"/>
                <w:szCs w:val="18"/>
                <w:rtl w:val="0"/>
              </w:rPr>
              <w:t xml:space="preserve">1.842</w:t>
            </w:r>
            <w:r>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29">
            <w:pPr>
              <w:jc w:val="center"/>
              <w:rPr/>
            </w:pPr>
            <w:r>
              <w:rPr>
                <w:sz w:val="18"/>
                <w:szCs w:val="18"/>
                <w:rtl w:val="0"/>
              </w:rPr>
              <w:t xml:space="preserve">+11.97 (6.5h)</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2A">
            <w:pPr>
              <w:rPr/>
            </w:pPr>
            <w:r>
              <w:rPr>
                <w:sz w:val="18"/>
                <w:szCs w:val="18"/>
                <w:rtl w:val="0"/>
              </w:rPr>
              <w:t xml:space="preserve">Revision Freq. (r)</w:t>
            </w:r>
            <w:r>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2B">
            <w:pPr>
              <w:jc w:val="center"/>
              <w:rPr/>
            </w:pPr>
            <w:r>
              <w:rPr>
                <w:sz w:val="18"/>
                <w:szCs w:val="18"/>
                <w:rtl w:val="0"/>
              </w:rPr>
              <w:t xml:space="preserve">3.167</w:t>
            </w:r>
            <w:r>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2C">
            <w:pPr>
              <w:jc w:val="center"/>
              <w:rPr/>
            </w:pPr>
            <w:r>
              <w:rPr>
                <w:sz w:val="18"/>
                <w:szCs w:val="18"/>
                <w:rtl w:val="0"/>
              </w:rPr>
              <w:t xml:space="preserve">+12.67 (4/wk)</w:t>
            </w:r>
            <w:r>
              <w:rPr>
                <w:rtl w:val="0"/>
              </w:rPr>
            </w:r>
          </w:p>
        </w:tc>
      </w:tr>
    </w:tbl>
    <w:p w:rsidR="00000000" w:rsidDel="00000000" w:rsidP="00000000" w:rsidRDefault="00000000" w:rsidRPr="00000000" w14:paraId="0000002D">
      <w:pPr>
        <w:rPr/>
      </w:pPr>
      <w:r>
        <w:rPr>
          <w:rtl w:val="0"/>
        </w:rPr>
      </w:r>
    </w:p>
    <w:p w:rsidR="00000000" w:rsidDel="00000000" w:rsidP="00000000" w:rsidRDefault="00000000" w:rsidRPr="00000000" w14:paraId="0000002E">
      <w:pPr>
        <w:spacing w:after="60" w:lineRule="auto"/>
        <w:ind w:firstLine="360"/>
        <w:jc w:val="both"/>
        <w:rPr/>
      </w:pPr>
      <w:r>
        <w:rPr>
          <w:rtl w:val="0"/>
        </w:rPr>
        <w:t xml:space="preserve">Table I presents the regression coefficients for each input feature alongside their mark contributions for the sample student profile. Study hours dominate with a contribution of +30.04 marks, followed by attendance (+20.48), revision frequency (+12.67), and sleep (+11.97), totalling 79.79 predicted marks when the intercept of 4.624 is included. Fig. 1 illustrates the scenario comparison bar chart produced by the system for the three effort profiles.</w:t>
      </w:r>
    </w:p>
    <w:p w:rsidR="00000000" w:rsidDel="00000000" w:rsidP="00000000" w:rsidRDefault="00000000" w:rsidRPr="00000000" w14:paraId="0000002F">
      <w:pPr>
        <w:pBdr>
          <w:top w:color="aaaaaa" w:space="0" w:sz="4" w:val="single"/>
          <w:left w:color="aaaaaa" w:space="0" w:sz="4" w:val="single"/>
          <w:bottom w:color="aaaaaa" w:space="0" w:sz="4" w:val="single"/>
          <w:right w:color="aaaaaa" w:space="0" w:sz="4" w:val="single"/>
        </w:pBdr>
        <w:spacing w:after="40" w:before="120" w:lineRule="auto"/>
        <w:jc w:val="center"/>
        <w:rPr/>
      </w:pPr>
      <w:r>
        <w:rPr>
          <w:i w:val="1"/>
          <w:iCs w:val="1"/>
          <w:color w:val="888888"/>
          <w:sz w:val="18"/>
          <w:szCs w:val="18"/>
          <w:rtl w:val="0"/>
        </w:rPr>
        <w:t xml:space="preserve">[Insert Figure Here — Center within column]</w:t>
      </w:r>
      <w:r>
        <w:rPr>
          <w:rtl w:val="0"/>
        </w:rPr>
      </w:r>
    </w:p>
    <w:p w:rsidR="00000000" w:rsidDel="00000000" w:rsidP="00000000" w:rsidRDefault="00000000" w:rsidRPr="00000000" w14:paraId="00000030">
      <w:pPr>
        <w:spacing w:after="120" w:before="40" w:lineRule="auto"/>
        <w:jc w:val="center"/>
        <w:rPr/>
      </w:pPr>
      <w:r>
        <w:rPr>
          <w:sz w:val="18"/>
          <w:szCs w:val="18"/>
          <w:rtl w:val="0"/>
        </w:rPr>
        <w:t xml:space="preserve">Fig. 1.  Scenario Forecasting bar chart comparing predicted marks for High Effort (100), Medium Effort (71.25), and Low Effort (41.66) student profiles generated by the Academic DSS.</w:t>
      </w:r>
      <w:r>
        <w:rPr>
          <w:rtl w:val="0"/>
        </w:rPr>
      </w:r>
    </w:p>
    <w:p w:rsidR="00000000" w:rsidDel="00000000" w:rsidP="00000000" w:rsidRDefault="00000000" w:rsidRPr="00000000" w14:paraId="00000031">
      <w:pPr>
        <w:rPr/>
      </w:pPr>
      <w:r>
        <w:rPr>
          <w:rtl w:val="0"/>
        </w:rPr>
      </w:r>
    </w:p>
    <w:p w:rsidR="00000000" w:rsidDel="00000000" w:rsidP="00000000" w:rsidRDefault="00000000" w:rsidRPr="00000000" w14:paraId="00000032">
      <w:pPr>
        <w:spacing w:after="60" w:before="120" w:lineRule="auto"/>
        <w:jc w:val="center"/>
        <w:rPr/>
      </w:pPr>
      <w:r>
        <w:rPr>
          <w:b w:val="1"/>
          <w:bCs w:val="1"/>
          <w:rtl w:val="0"/>
        </w:rPr>
        <w:t xml:space="preserve">V. DISCUSSION</w:t>
      </w:r>
      <w:r>
        <w:rPr>
          <w:rtl w:val="0"/>
        </w:rPr>
      </w:r>
    </w:p>
    <w:p w:rsidR="00000000" w:rsidDel="00000000" w:rsidP="00000000" w:rsidRDefault="00000000" w:rsidRPr="00000000" w14:paraId="00000033">
      <w:pPr>
        <w:spacing w:after="60" w:lineRule="auto"/>
        <w:ind w:firstLine="360"/>
        <w:jc w:val="both"/>
        <w:rPr/>
      </w:pPr>
      <w:r>
        <w:rPr>
          <w:rtl w:val="0"/>
        </w:rPr>
        <w:t xml:space="preserve">The R² = 0.937 achieved by the linear regression model indicates a strong fit between the four input features and academic outcomes, consistent with findings by Cortez and Silva [2] who reported comparable accuracy using ensemble methods on a similar feature space. The dominant contribution of study hours (coefficient 5.007) aligns with Romero and Ventura’s [1] meta-analysis, which consistently identified time-on-task as the single strongest predictor of performance across educational contexts. The relatively modest coefficient for attendance (0.256) does not diminish its importance; rather, it reflects that attendance is already partially captured through study hours in this dataset.</w:t>
      </w:r>
    </w:p>
    <w:p w:rsidR="00000000" w:rsidDel="00000000" w:rsidP="00000000" w:rsidRDefault="00000000" w:rsidRPr="00000000" w14:paraId="00000034">
      <w:pPr>
        <w:spacing w:after="60" w:lineRule="auto"/>
        <w:ind w:firstLine="360"/>
        <w:jc w:val="both"/>
        <w:rPr/>
      </w:pPr>
      <w:r>
        <w:rPr>
          <w:rtl w:val="0"/>
        </w:rPr>
        <w:t xml:space="preserve">The integration of the Ebbinghaus forgetting curve provides a novel dimension absent from most existing academic analytics tools. By visualising 30-day retention trajectories and marking optimal revision days, the system operationalises the spaced repetition principles quantified by Cepeda et al. [6] in a form directly useful to students. The AI chatbot module complements the quantitative analytics by providing natural-language responses grounded in the model’s own coefficients, making the system self-explanatory without requiring statistical literacy from the user.</w:t>
      </w:r>
    </w:p>
    <w:p w:rsidR="00000000" w:rsidDel="00000000" w:rsidP="00000000" w:rsidRDefault="00000000" w:rsidRPr="00000000" w14:paraId="00000034A">
      <w:pPr>
        <w:spacing w:after="60" w:lineRule="auto"/>
        <w:ind w:firstLine="360"/>
        <w:jc w:val="both"/>
        <w:rPr/>
      </w:pPr>
      <w:r>
        <w:rPr>
          <w:rtl w:val="0"/>
        </w:rPr>
        <w:t xml:space="preserve">Several limitations should be acknowledged. First, the linear regression model assumes additive, linear relationships between features and marks, potentially under-fitting complex non-linear interactions. Second, the current feature set of four variables omits socioeconomic factors, motivation indices, and peer influence, which prior work has identified as significant [1],[3]. Third, the system is self-hosted and requires manual server startup, which may limit adoption compared to cloud-hosted alternatives. Future iterations could incorporate deep learning models, additional features, and cloud deployment to address these limitations.</w:t>
      </w:r>
    </w:p>
    <w:p w:rsidR="00000000" w:rsidDel="00000000" w:rsidP="00000000" w:rsidRDefault="00000000" w:rsidRPr="00000000" w14:paraId="00000035">
      <w:pPr>
        <w:rPr/>
      </w:pPr>
      <w:r>
        <w:rPr>
          <w:rtl w:val="0"/>
        </w:rPr>
      </w:r>
    </w:p>
    <w:p w:rsidR="00000000" w:rsidDel="00000000" w:rsidP="00000000" w:rsidRDefault="00000000" w:rsidRPr="00000000" w14:paraId="00000036">
      <w:pPr>
        <w:spacing w:after="60" w:before="120" w:lineRule="auto"/>
        <w:jc w:val="center"/>
        <w:rPr/>
      </w:pPr>
      <w:r>
        <w:rPr>
          <w:b w:val="1"/>
          <w:bCs w:val="1"/>
          <w:rtl w:val="0"/>
        </w:rPr>
        <w:t xml:space="preserve">VI. CONCLUSION</w:t>
      </w:r>
      <w:r>
        <w:rPr>
          <w:rtl w:val="0"/>
        </w:rPr>
      </w:r>
    </w:p>
    <w:p w:rsidR="00000000" w:rsidDel="00000000" w:rsidP="00000000" w:rsidRDefault="00000000" w:rsidRPr="00000000" w14:paraId="00000037">
      <w:pPr>
        <w:spacing w:after="240" w:before="240" w:lineRule="auto"/>
        <w:jc w:val="both"/>
        <w:rPr/>
      </w:pPr>
      <w:r>
        <w:rPr>
          <w:rtl w:val="0"/>
        </w:rPr>
        <w:t xml:space="preserve">This paper presented a predictive academic analytics framework that integrates machine learning techniques with data visualization to improve the analysis and forecasting of student performance. The study addressed the limitations of traditional evaluation methods by utilizing historical academic data to identify patterns and predict future outcomes. The proposed approach enables early detection of at-risk students and supports timely interventions through clear and interactive visual representations.</w:t>
      </w:r>
    </w:p>
    <w:p w:rsidR="00000000" w:rsidDel="00000000" w:rsidP="00000000" w:rsidRDefault="00000000" w:rsidRPr="00000000" w14:paraId="00000038">
      <w:pPr>
        <w:spacing w:after="240" w:before="240" w:lineRule="auto"/>
        <w:jc w:val="both"/>
        <w:rPr/>
      </w:pPr>
      <w:r>
        <w:rPr>
          <w:rtl w:val="0"/>
        </w:rPr>
        <w:t xml:space="preserve">The results demonstrate that combining predictive analytics with visualization enhances both accuracy and interpretability, making it easier for educators to make informed decisions. Overall, the system contributes to improving student success and academic planning. This work highlights the importance of data-driven strategies in modern education and their potential to enhance institutional effectiveness.</w:t>
      </w:r>
    </w:p>
    <w:p w:rsidR="00000000" w:rsidDel="00000000" w:rsidP="00000000" w:rsidRDefault="00000000" w:rsidRPr="00000000" w14:paraId="00000039">
      <w:pPr>
        <w:spacing w:after="60" w:lineRule="auto"/>
        <w:ind w:firstLine="360"/>
        <w:jc w:val="both"/>
        <w:rPr/>
      </w:pPr>
      <w:r>
        <w:rPr>
          <w:rtl w:val="0"/>
        </w:rPr>
        <w:t xml:space="preserve">Future work will explore replacing the linear regression model with gradient-boosted trees and neural networks to capture non-linear feature interactions, expanding the feature set to include psychological and socioeconomic variables, and migrating the backend to a cloud platform to support multi-institution deployment. Integration with Learning Management Systems such as Moodle is also planned to enable automated data ingestion.</w:t>
      </w:r>
    </w:p>
    <w:p w:rsidR="00000000" w:rsidDel="00000000" w:rsidP="00000000" w:rsidRDefault="00000000" w:rsidRPr="00000000" w14:paraId="0000003A">
      <w:pPr>
        <w:rPr/>
      </w:pPr>
      <w:r>
        <w:rPr>
          <w:rtl w:val="0"/>
        </w:rPr>
      </w:r>
    </w:p>
    <w:p w:rsidR="00000000" w:rsidDel="00000000" w:rsidP="00000000" w:rsidRDefault="00000000" w:rsidRPr="00000000" w14:paraId="0000003B">
      <w:pPr>
        <w:spacing w:after="60" w:before="120" w:lineRule="auto"/>
        <w:jc w:val="center"/>
        <w:rPr/>
      </w:pPr>
      <w:r>
        <w:rPr>
          <w:b w:val="1"/>
          <w:bCs w:val="1"/>
          <w:rtl w:val="0"/>
        </w:rPr>
        <w:t xml:space="preserve">ACKNOWLEDGMENT</w:t>
      </w:r>
      <w:r>
        <w:rPr>
          <w:rtl w:val="0"/>
        </w:rPr>
      </w:r>
    </w:p>
    <w:p w:rsidR="00000000" w:rsidDel="00000000" w:rsidP="00000000" w:rsidRDefault="00000000" w:rsidRPr="00000000" w14:paraId="0000003C">
      <w:pPr>
        <w:spacing w:after="60" w:lineRule="auto"/>
        <w:jc w:val="both"/>
        <w:rPr/>
      </w:pPr>
      <w:r>
        <w:rPr>
          <w:rtl w:val="0"/>
        </w:rPr>
        <w:t xml:space="preserve">The authors thank the Department of Computer Science &amp; Engineering at Chaitanya Bharathi Institute of Technology (Autonomous), Hyderabad, for providing the academic infrastructure and support that made this project possible. The authors also acknowledge the student volunteers whose anonymised academic records contributed to model training and validation.</w:t>
      </w:r>
    </w:p>
    <w:p w:rsidR="00000000" w:rsidDel="00000000" w:rsidP="00000000" w:rsidRDefault="00000000" w:rsidRPr="00000000" w14:paraId="0000003D">
      <w:pPr>
        <w:rPr/>
      </w:pPr>
      <w:r>
        <w:rPr>
          <w:rtl w:val="0"/>
        </w:rPr>
      </w:r>
    </w:p>
    <w:p w:rsidR="00000000" w:rsidDel="00000000" w:rsidP="00000000" w:rsidRDefault="00000000" w:rsidRPr="00000000" w14:paraId="0000003E">
      <w:pPr>
        <w:spacing w:after="60" w:before="120" w:lineRule="auto"/>
        <w:jc w:val="center"/>
        <w:rPr/>
      </w:pPr>
      <w:r>
        <w:rPr>
          <w:b w:val="1"/>
          <w:bCs w:val="1"/>
          <w:rtl w:val="0"/>
        </w:rPr>
        <w:t xml:space="preserve">REFERENCES</w:t>
      </w:r>
      <w:r>
        <w:rPr>
          <w:rtl w:val="0"/>
        </w:rPr>
      </w:r>
    </w:p>
    <w:p w:rsidR="00000000" w:rsidDel="00000000" w:rsidP="00000000" w:rsidRDefault="00000000" w:rsidRPr="00000000" w14:paraId="0000003F">
      <w:pPr>
        <w:spacing w:after="40" w:line="220" w:lineRule="auto"/>
        <w:ind w:left="360" w:hanging="360"/>
        <w:rPr/>
      </w:pPr>
      <w:r>
        <w:rPr>
          <w:sz w:val="18"/>
          <w:szCs w:val="18"/>
          <w:rtl w:val="0"/>
        </w:rPr>
        <w:t xml:space="preserve">[1] C. Romero and S. Ventura, “Educational data mining: A review of the state of the art,” IEEE Trans. Syst., Man, Cybern. C, Appl. Rev., vol. 40, no. 6, pp. 601–618, Nov. 2010.</w:t>
      </w:r>
      <w:r>
        <w:rPr>
          <w:rtl w:val="0"/>
        </w:rPr>
      </w:r>
    </w:p>
    <w:p w:rsidR="00000000" w:rsidDel="00000000" w:rsidP="00000000" w:rsidRDefault="00000000" w:rsidRPr="00000000" w14:paraId="00000040">
      <w:pPr>
        <w:spacing w:after="40" w:line="220" w:lineRule="auto"/>
        <w:ind w:left="360" w:hanging="360"/>
        <w:rPr/>
      </w:pPr>
      <w:r>
        <w:rPr>
          <w:sz w:val="18"/>
          <w:szCs w:val="18"/>
          <w:rtl w:val="0"/>
        </w:rPr>
        <w:t xml:space="preserve">[2] P. Cortez and A. Silva, “Using data mining to predict secondary school student performance,” in Proc. 5th Future Business Technology Conf. (FUBUTEC), Porto, Portugal, 2008, pp. 5–12.</w:t>
      </w:r>
      <w:r>
        <w:rPr>
          <w:rtl w:val="0"/>
        </w:rPr>
      </w:r>
    </w:p>
    <w:p w:rsidR="00000000" w:rsidDel="00000000" w:rsidP="00000000" w:rsidRDefault="00000000" w:rsidRPr="00000000" w14:paraId="00000041">
      <w:pPr>
        <w:spacing w:after="40" w:line="220" w:lineRule="auto"/>
        <w:ind w:left="360" w:hanging="360"/>
        <w:rPr/>
      </w:pPr>
      <w:r>
        <w:rPr>
          <w:sz w:val="18"/>
          <w:szCs w:val="18"/>
          <w:rtl w:val="0"/>
        </w:rPr>
        <w:t xml:space="preserve">[3] R. S. J. D. Baker and P. S. Inventado, “Educational data mining and learning analytics,” in Learning Analytics: From Research to Practice, J. A. Larusson and B. White, Eds. New York, NY: Springer, 2014, pp. 61–75.</w:t>
      </w:r>
      <w:r>
        <w:rPr>
          <w:rtl w:val="0"/>
        </w:rPr>
      </w:r>
    </w:p>
    <w:p w:rsidR="00000000" w:rsidDel="00000000" w:rsidP="00000000" w:rsidRDefault="00000000" w:rsidRPr="00000000" w14:paraId="00000042">
      <w:pPr>
        <w:spacing w:after="40" w:line="220" w:lineRule="auto"/>
        <w:ind w:left="360" w:hanging="360"/>
        <w:rPr/>
      </w:pPr>
      <w:r>
        <w:rPr>
          <w:sz w:val="18"/>
          <w:szCs w:val="18"/>
          <w:rtl w:val="0"/>
        </w:rPr>
        <w:t xml:space="preserve">[4] K. E. Arnold, “Signals: Applying academic analytics,” EDUCAUSE Quarterly, vol. 33, no. 1, 2010. [Online]. Available: https://er.educause.edu/articles/2010/3/signals-applying-academic-analytics. [Accessed: Apr. 2026].</w:t>
      </w:r>
      <w:r>
        <w:rPr>
          <w:rtl w:val="0"/>
        </w:rPr>
      </w:r>
    </w:p>
    <w:p w:rsidR="00000000" w:rsidDel="00000000" w:rsidP="00000000" w:rsidRDefault="00000000" w:rsidRPr="00000000" w14:paraId="00000043">
      <w:pPr>
        <w:spacing w:after="40" w:line="220" w:lineRule="auto"/>
        <w:ind w:left="360" w:hanging="360"/>
        <w:rPr/>
      </w:pPr>
      <w:r>
        <w:rPr>
          <w:sz w:val="18"/>
          <w:szCs w:val="18"/>
          <w:rtl w:val="0"/>
        </w:rPr>
        <w:t xml:space="preserve">[5] H. Ebbinghaus, Über das Gedächtnis: Untersuchungen zur experimentellen Psychologie. Leipzig: Duncker &amp; Humblot, 1885. (Trans. H. A. Ruger and C. E. Bussenius, Memory: A Contribution to Experimental Psychology. New York: Teachers College, Columbia Univ., 1913.)</w:t>
      </w:r>
      <w:r>
        <w:rPr>
          <w:rtl w:val="0"/>
        </w:rPr>
      </w:r>
    </w:p>
    <w:p w:rsidR="00000000" w:rsidDel="00000000" w:rsidP="00000000" w:rsidRDefault="00000000" w:rsidRPr="00000000" w14:paraId="00000044">
      <w:pPr>
        <w:spacing w:after="40" w:line="220" w:lineRule="auto"/>
        <w:ind w:left="360" w:hanging="360"/>
        <w:rPr/>
      </w:pPr>
      <w:r>
        <w:rPr>
          <w:sz w:val="18"/>
          <w:szCs w:val="18"/>
          <w:rtl w:val="0"/>
        </w:rPr>
        <w:t xml:space="preserve">[6] N. J. Cepeda, H. Pashler, E. Vul, J. T. Wixted, and D. Rohrer, “Distributed practice in verbal recall tasks: A review and quantitative synthesis,” Psychol. Bull., vol. 132, no. 3, pp. 354–380, May 2006.</w:t>
      </w:r>
      <w:r>
        <w:rPr>
          <w:rtl w:val="0"/>
        </w:rPr>
      </w:r>
    </w:p>
    <w:p w:rsidR="00000000" w:rsidDel="00000000" w:rsidP="00000000" w:rsidRDefault="00000000" w:rsidRPr="00000000" w14:paraId="00000045">
      <w:pPr>
        <w:rPr/>
      </w:pPr>
      <w:r>
        <w:rPr>
          <w:rtl w:val="0"/>
        </w:rPr>
      </w:r>
    </w:p>
    <w:p w:rsidR="00000000" w:rsidDel="00000000" w:rsidP="00000000" w:rsidRDefault="00000000" w:rsidRPr="00000000" w14:paraId="00000046">
      <w:pPr>
        <w:spacing w:after="60" w:before="120" w:lineRule="auto"/>
        <w:rPr/>
      </w:pPr>
      <w:r>
        <w:rPr>
          <w:b w:val="1"/>
          <w:bCs w:val="1"/>
          <w:rtl w:val="0"/>
        </w:rPr>
        <w:t xml:space="preserve">Author Biographies</w:t>
      </w:r>
      <w:r>
        <w:rPr>
          <w:rtl w:val="0"/>
        </w:rPr>
      </w:r>
    </w:p>
    <w:p w:rsidR="00000000" w:rsidDel="00000000" w:rsidP="00000000" w:rsidRDefault="00000000" w:rsidRPr="00000000" w14:paraId="00000047">
      <w:pPr>
        <w:spacing w:after="60" w:lineRule="auto"/>
        <w:rPr/>
      </w:pPr>
      <w:r>
        <w:rPr>
          <w:b w:val="1"/>
          <w:bCs w:val="1"/>
          <w:rtl w:val="0"/>
        </w:rPr>
        <w:t xml:space="preserve">First Author </w:t>
      </w:r>
      <w:r>
        <w:rPr>
          <w:rtl w:val="0"/>
        </w:rPr>
        <w:t xml:space="preserve">is a student at the Department of Computer Science &amp; Engineering, Chaitanya Bharathi Institute of Technology (Autonomous), Hyderabad, India. Their research interests include educational data mining, machine learning, and full-stack web application development. This work on the Academic Decision Support System was carried out as part of the undergraduate curriculum with a focus on applying predictive analytics to improve student academic outcomes through interactive, data-driven visualisation tools.</w:t>
      </w:r>
    </w:p>
    <w:sectPr>
      <w:type w:val="continuous"/>
      <w:pgSz w:h="15840" w:w="12240" w:orient="portrait"/>
      <w:pgMar w:bottom="1440" w:top="1440" w:left="1080" w:right="1080" w:header="708" w:footer="708"/>
      <w:cols w:equalWidth="0" w:num="2">
        <w:col w:space="360" w:w="4860"/>
        <w:col w:space="0" w:w="48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ehxmRxHfih+nBgk//fY3VGSLfA==">CgMxLjA4AHIhMXF6T0tScEpWZzdLMGo3Nzl5TlVpU2lPem9ILTFKNmRM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