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Credit Card Fraud Detection</w:t>
      </w:r>
    </w:p>
    <w:p>
      <w:pPr>
        <w:spacing w:after="300"/>
      </w:pPr>
      <w:r>
        <w:rPr>
          <w:color w:val="595959"/>
          <w:sz w:val="28"/>
          <w:szCs w:val="28"/>
        </w:rPr>
        <w:t xml:space="preserve">Analysis Report</w:t>
      </w:r>
    </w:p>
    <w:p>
      <w:pPr>
        <w:pBdr>
          <w:bottom w:val="single" w:color="999999" w:sz="6" w:space="1"/>
        </w:pBdr>
        <w:spacing w:after="200"/>
      </w:pPr>
    </w:p>
    <w:p>
      <w:pPr>
        <w:pStyle w:val="Heading1"/>
        <w:spacing w:after="160" w:before="320"/>
      </w:pPr>
      <w:r>
        <w:t xml:space="preserve">1. Objective</w:t>
      </w:r>
    </w:p>
    <w:p>
      <w:pPr>
        <w:spacing w:after="160"/>
      </w:pPr>
      <w:r>
        <w:t xml:space="preserve">This project builds and evaluates machine learning models to detect fraudulent credit card transactions. The central challenge is severe class imbalance: fraudulent transactions make up a very small fraction of all transactions, so the report compares model performance with and without class-balancing techniques, using precision, recall and F1-score (not just accuracy) as the deciding metrics.</w:t>
      </w:r>
    </w:p>
    <w:p>
      <w:pPr>
        <w:pStyle w:val="Heading1"/>
        <w:spacing w:after="160" w:before="320"/>
      </w:pPr>
      <w:r>
        <w:t xml:space="preserve">2. Dataset</w:t>
      </w:r>
    </w:p>
    <w:p>
      <w:pPr>
        <w:pStyle w:val="ListParagraph"/>
        <w:numPr>
          <w:ilvl w:val="0"/>
          <w:numId w:val="1"/>
        </w:numPr>
        <w:spacing w:after="80"/>
      </w:pPr>
      <w:r>
        <w:t xml:space="preserve">Source file: creditcard.csv</w:t>
      </w:r>
    </w:p>
    <w:p>
      <w:pPr>
        <w:pStyle w:val="ListParagraph"/>
        <w:numPr>
          <w:ilvl w:val="0"/>
          <w:numId w:val="1"/>
        </w:numPr>
        <w:spacing w:after="80"/>
      </w:pPr>
      <w:r>
        <w:t xml:space="preserve">284,807 transactions, 31 columns: Time, V1–V28 (PCA-transformed, anonymized features), Amount, and Class (target).</w:t>
      </w:r>
    </w:p>
    <w:p>
      <w:pPr>
        <w:pStyle w:val="ListParagraph"/>
        <w:numPr>
          <w:ilvl w:val="0"/>
          <w:numId w:val="1"/>
        </w:numPr>
        <w:spacing w:after="80"/>
      </w:pPr>
      <w:r>
        <w:t xml:space="preserve">Class = 0: normal transaction, Class = 1: fraudulent transaction.</w:t>
      </w:r>
    </w:p>
    <w:p>
      <w:pPr>
        <w:pStyle w:val="ListParagraph"/>
        <w:numPr>
          <w:ilvl w:val="0"/>
          <w:numId w:val="1"/>
        </w:numPr>
        <w:spacing w:after="80"/>
      </w:pPr>
      <w:r>
        <w:t xml:space="preserve">No missing values were found in any column.</w:t>
      </w:r>
    </w:p>
    <w:p>
      <w:pPr>
        <w:pStyle w:val="ListParagraph"/>
        <w:numPr>
          <w:ilvl w:val="0"/>
          <w:numId w:val="1"/>
        </w:numPr>
        <w:spacing w:after="80"/>
      </w:pPr>
      <w:r>
        <w:t xml:space="preserve">9,144 duplicate rows were identified and removed, leaving 275,663 transactions.</w:t>
      </w:r>
    </w:p>
    <w:p>
      <w:pPr>
        <w:pStyle w:val="ListParagraph"/>
        <w:numPr>
          <w:ilvl w:val="0"/>
          <w:numId w:val="1"/>
        </w:numPr>
        <w:spacing w:after="80"/>
      </w:pPr>
      <w:r>
        <w:t xml:space="preserve">Class distribution after de-duplication: 275,190 normal vs. 473 fraud — fraud accounts for roughly 0.17% of transactions, confirming extreme class imbalance.</w:t>
      </w:r>
    </w:p>
    <w:p>
      <w:pPr>
        <w:pStyle w:val="Heading1"/>
        <w:spacing w:after="160" w:before="320"/>
      </w:pPr>
      <w:r>
        <w:t xml:space="preserve">3. Data Preparation</w:t>
      </w:r>
    </w:p>
    <w:p>
      <w:pPr>
        <w:pStyle w:val="Heading2"/>
        <w:spacing w:after="120" w:before="260"/>
      </w:pPr>
      <w:r>
        <w:t xml:space="preserve">3.1 Feature Scaling</w:t>
      </w:r>
    </w:p>
    <w:p>
      <w:pPr>
        <w:spacing w:after="160"/>
      </w:pPr>
      <w:r>
        <w:t xml:space="preserve">The Amount feature spans a very large range of values compared to the PCA-derived V1–V28 features, which are already on a similar, standardized scale. Amount was standardized using scikit-learn's StandardScaler so that x = (x − mean) / std, putting it on a comparable scale to the other features.</w:t>
      </w:r>
    </w:p>
    <w:p>
      <w:pPr>
        <w:pStyle w:val="Heading2"/>
        <w:spacing w:after="120" w:before="260"/>
      </w:pPr>
      <w:r>
        <w:t xml:space="preserve">3.2 Feature and Duplicate Cleanup</w:t>
      </w:r>
    </w:p>
    <w:p>
      <w:pPr>
        <w:spacing w:after="160"/>
      </w:pPr>
      <w:r>
        <w:t xml:space="preserve">The Time column was dropped as it does not carry predictive signal for this modeling approach (it only records seconds elapsed since the first transaction). Duplicate rows were then removed to prevent data leakage and inflated performance estimates between train and test splits.</w:t>
      </w:r>
    </w:p>
    <w:p>
      <w:pPr>
        <w:pStyle w:val="Heading1"/>
        <w:spacing w:after="160" w:before="320"/>
      </w:pPr>
      <w:r>
        <w:t xml:space="preserve">4. Modeling Approach</w:t>
      </w:r>
    </w:p>
    <w:p>
      <w:pPr>
        <w:spacing w:after="160"/>
      </w:pPr>
      <w:r>
        <w:t xml:space="preserve">Three scenarios were tested to isolate the effect of class imbalance on model quality:</w:t>
      </w:r>
    </w:p>
    <w:p>
      <w:pPr>
        <w:pStyle w:val="ListParagraph"/>
        <w:numPr>
          <w:ilvl w:val="0"/>
          <w:numId w:val="1"/>
        </w:numPr>
        <w:spacing w:after="80"/>
      </w:pPr>
      <w:r>
        <w:t xml:space="preserve">Baseline: models trained directly on the imbalanced dataset (no resampling).</w:t>
      </w:r>
    </w:p>
    <w:p>
      <w:pPr>
        <w:pStyle w:val="ListParagraph"/>
        <w:numPr>
          <w:ilvl w:val="0"/>
          <w:numId w:val="1"/>
        </w:numPr>
        <w:spacing w:after="80"/>
      </w:pPr>
      <w:r>
        <w:t xml:space="preserve">Undersampling: the majority (normal) class was randomly downsampled to match the minority (fraud) class size (473 vs. 473), producing a balanced 946-row dataset.</w:t>
      </w:r>
    </w:p>
    <w:p>
      <w:pPr>
        <w:pStyle w:val="ListParagraph"/>
        <w:numPr>
          <w:ilvl w:val="0"/>
          <w:numId w:val="1"/>
        </w:numPr>
        <w:spacing w:after="80"/>
      </w:pPr>
      <w:r>
        <w:t xml:space="preserve">Oversampling (SMOTE): the Synthetic Minority Over-sampling Technique was used to synthetically generate new fraud examples until both classes were equal (275,190 vs. 275,190).</w:t>
      </w:r>
    </w:p>
    <w:p>
      <w:pPr>
        <w:spacing w:after="160"/>
      </w:pPr>
      <w:r>
        <w:t xml:space="preserve">Two classifiers were evaluated across these scenarios: Logistic Regression and Decision Tree Classifier. Accuracy, precision, recall and F1-score were computed for each combination.</w:t>
      </w:r>
    </w:p>
    <w:p>
      <w:pPr>
        <w:pStyle w:val="Heading1"/>
        <w:spacing w:after="160" w:before="320"/>
      </w:pPr>
      <w:r>
        <w:t xml:space="preserve">5. Results</w:t>
      </w:r>
    </w:p>
    <w:p>
      <w:pPr>
        <w:pStyle w:val="Heading2"/>
        <w:spacing w:after="120" w:before="260"/>
      </w:pPr>
      <w:r>
        <w:t xml:space="preserve">5.1 Baseline — No Class Balancing (Logistic Regression)</w:t>
      </w:r>
    </w:p>
    <w:p>
      <w:pPr>
        <w:spacing w:after="160"/>
      </w:pPr>
      <w:r>
        <w:t xml:space="preserve">Trained on the full imbalanced dataset (75/25 train-test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F5496" w:val="clear"/>
          </w:tcPr>
          <w:p>
            <w:r>
              <w:rPr>
                <w:b/>
                <w:bCs/>
                <w:color w:val="FFFFFF"/>
                <w:sz w:val="20"/>
                <w:szCs w:val="20"/>
              </w:rPr>
              <w:t xml:space="preserve">Metric</w:t>
            </w:r>
          </w:p>
        </w:tc>
        <w:tc>
          <w:tcPr>
            <w:tcW w:type="dxa" w:w="4500"/>
            <w:shd w:fill="2F5496" w:val="clear"/>
          </w:tcPr>
          <w:p>
            <w:r>
              <w:rPr>
                <w:b/>
                <w:bCs/>
                <w:color w:val="FFFFFF"/>
                <w:sz w:val="20"/>
                <w:szCs w:val="20"/>
              </w:rPr>
              <w:t xml:space="preserve">Score</w:t>
            </w:r>
          </w:p>
        </w:tc>
      </w:tr>
      <w:tr>
        <w:tc>
          <w:tcPr>
            <w:tcW w:type="dxa" w:w="4500"/>
            <w:shd w:fill="F2F2F2" w:val="clear"/>
          </w:tcPr>
          <w:p>
            <w:r>
              <w:rPr>
                <w:sz w:val="20"/>
                <w:szCs w:val="20"/>
              </w:rPr>
              <w:t xml:space="preserve">Accuracy</w:t>
            </w:r>
          </w:p>
        </w:tc>
        <w:tc>
          <w:tcPr>
            <w:tcW w:type="dxa" w:w="4500"/>
            <w:shd w:fill="F2F2F2" w:val="clear"/>
          </w:tcPr>
          <w:p>
            <w:r>
              <w:rPr>
                <w:sz w:val="20"/>
                <w:szCs w:val="20"/>
              </w:rPr>
              <w:t xml:space="preserve">0.9992</w:t>
            </w:r>
          </w:p>
        </w:tc>
      </w:tr>
      <w:tr>
        <w:tc>
          <w:tcPr>
            <w:tcW w:type="dxa" w:w="4500"/>
            <w:shd w:fill="FFFFFF" w:val="clear"/>
          </w:tcPr>
          <w:p>
            <w:r>
              <w:rPr>
                <w:sz w:val="20"/>
                <w:szCs w:val="20"/>
              </w:rPr>
              <w:t xml:space="preserve">Precision</w:t>
            </w:r>
          </w:p>
        </w:tc>
        <w:tc>
          <w:tcPr>
            <w:tcW w:type="dxa" w:w="4500"/>
            <w:shd w:fill="FFFFFF" w:val="clear"/>
          </w:tcPr>
          <w:p>
            <w:r>
              <w:rPr>
                <w:sz w:val="20"/>
                <w:szCs w:val="20"/>
              </w:rPr>
              <w:t xml:space="preserve">0.8649</w:t>
            </w:r>
          </w:p>
        </w:tc>
      </w:tr>
      <w:tr>
        <w:tc>
          <w:tcPr>
            <w:tcW w:type="dxa" w:w="4500"/>
            <w:shd w:fill="F2F2F2" w:val="clear"/>
          </w:tcPr>
          <w:p>
            <w:r>
              <w:rPr>
                <w:sz w:val="20"/>
                <w:szCs w:val="20"/>
              </w:rPr>
              <w:t xml:space="preserve">Recall</w:t>
            </w:r>
          </w:p>
        </w:tc>
        <w:tc>
          <w:tcPr>
            <w:tcW w:type="dxa" w:w="4500"/>
            <w:shd w:fill="F2F2F2" w:val="clear"/>
          </w:tcPr>
          <w:p>
            <w:r>
              <w:rPr>
                <w:sz w:val="20"/>
                <w:szCs w:val="20"/>
              </w:rPr>
              <w:t xml:space="preserve">0.5818</w:t>
            </w:r>
          </w:p>
        </w:tc>
      </w:tr>
      <w:tr>
        <w:tc>
          <w:tcPr>
            <w:tcW w:type="dxa" w:w="4500"/>
            <w:shd w:fill="FFFFFF" w:val="clear"/>
          </w:tcPr>
          <w:p>
            <w:r>
              <w:rPr>
                <w:sz w:val="20"/>
                <w:szCs w:val="20"/>
              </w:rPr>
              <w:t xml:space="preserve">F1-score</w:t>
            </w:r>
          </w:p>
        </w:tc>
        <w:tc>
          <w:tcPr>
            <w:tcW w:type="dxa" w:w="4500"/>
            <w:shd w:fill="FFFFFF" w:val="clear"/>
          </w:tcPr>
          <w:p>
            <w:r>
              <w:rPr>
                <w:sz w:val="20"/>
                <w:szCs w:val="20"/>
              </w:rPr>
              <w:t xml:space="preserve">0.6957</w:t>
            </w:r>
          </w:p>
        </w:tc>
      </w:tr>
    </w:tbl>
    <w:p>
      <w:pPr>
        <w:spacing w:after="240" w:before="160"/>
      </w:pPr>
      <w:r>
        <w:rPr>
          <w:i/>
          <w:iCs/>
          <w:color w:val="444444"/>
          <w:sz w:val="20"/>
          <w:szCs w:val="20"/>
        </w:rPr>
        <w:t xml:space="preserve">Interpretation: accuracy is misleadingly high (99.9%) because the model can score well simply by predicting “normal” most of the time. Recall of 0.58 means the model misses roughly 42% of actual fraud cases — a poor outcome for a fraud detector, where missed fraud is the costliest type of error.</w:t>
      </w:r>
    </w:p>
    <w:p>
      <w:pPr>
        <w:pStyle w:val="Heading2"/>
        <w:spacing w:after="120" w:before="260"/>
      </w:pPr>
      <w:r>
        <w:t xml:space="preserve">5.2 Undersampling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c>
          <w:tcPr>
            <w:tcW w:type="dxa" w:w="3000"/>
            <w:shd w:fill="2F5496" w:val="clear"/>
          </w:tcPr>
          <w:p>
            <w:r>
              <w:rPr>
                <w:b/>
                <w:bCs/>
                <w:color w:val="FFFFFF"/>
                <w:sz w:val="20"/>
                <w:szCs w:val="20"/>
              </w:rPr>
              <w:t xml:space="preserve">Model</w:t>
            </w:r>
          </w:p>
        </w:tc>
        <w:tc>
          <w:tcPr>
            <w:tcW w:type="dxa" w:w="1500"/>
            <w:shd w:fill="2F5496" w:val="clear"/>
          </w:tcPr>
          <w:p>
            <w:r>
              <w:rPr>
                <w:b/>
                <w:bCs/>
                <w:color w:val="FFFFFF"/>
                <w:sz w:val="20"/>
                <w:szCs w:val="20"/>
              </w:rPr>
              <w:t xml:space="preserve">Accuracy</w:t>
            </w:r>
          </w:p>
        </w:tc>
        <w:tc>
          <w:tcPr>
            <w:tcW w:type="dxa" w:w="1500"/>
            <w:shd w:fill="2F5496" w:val="clear"/>
          </w:tcPr>
          <w:p>
            <w:r>
              <w:rPr>
                <w:b/>
                <w:bCs/>
                <w:color w:val="FFFFFF"/>
                <w:sz w:val="20"/>
                <w:szCs w:val="20"/>
              </w:rPr>
              <w:t xml:space="preserve">Precision</w:t>
            </w:r>
          </w:p>
        </w:tc>
        <w:tc>
          <w:tcPr>
            <w:tcW w:type="dxa" w:w="1500"/>
            <w:shd w:fill="2F5496" w:val="clear"/>
          </w:tcPr>
          <w:p>
            <w:r>
              <w:rPr>
                <w:b/>
                <w:bCs/>
                <w:color w:val="FFFFFF"/>
                <w:sz w:val="20"/>
                <w:szCs w:val="20"/>
              </w:rPr>
              <w:t xml:space="preserve">Recall</w:t>
            </w:r>
          </w:p>
        </w:tc>
        <w:tc>
          <w:tcPr>
            <w:tcW w:type="dxa" w:w="1500"/>
            <w:shd w:fill="2F5496" w:val="clear"/>
          </w:tcPr>
          <w:p>
            <w:r>
              <w:rPr>
                <w:b/>
                <w:bCs/>
                <w:color w:val="FFFFFF"/>
                <w:sz w:val="20"/>
                <w:szCs w:val="20"/>
              </w:rPr>
              <w:t xml:space="preserve">F1-score</w:t>
            </w:r>
          </w:p>
        </w:tc>
      </w:tr>
      <w:tr>
        <w:tc>
          <w:tcPr>
            <w:tcW w:type="dxa" w:w="3000"/>
            <w:shd w:fill="F2F2F2" w:val="clear"/>
          </w:tcPr>
          <w:p>
            <w:r>
              <w:rPr>
                <w:sz w:val="20"/>
                <w:szCs w:val="20"/>
              </w:rPr>
              <w:t xml:space="preserve">Logistic Regression</w:t>
            </w:r>
          </w:p>
        </w:tc>
        <w:tc>
          <w:tcPr>
            <w:tcW w:type="dxa" w:w="1500"/>
            <w:shd w:fill="F2F2F2" w:val="clear"/>
          </w:tcPr>
          <w:p>
            <w:r>
              <w:rPr>
                <w:sz w:val="20"/>
                <w:szCs w:val="20"/>
              </w:rPr>
              <w:t xml:space="preserve">0.9684</w:t>
            </w:r>
          </w:p>
        </w:tc>
        <w:tc>
          <w:tcPr>
            <w:tcW w:type="dxa" w:w="1500"/>
            <w:shd w:fill="F2F2F2" w:val="clear"/>
          </w:tcPr>
          <w:p>
            <w:r>
              <w:rPr>
                <w:sz w:val="20"/>
                <w:szCs w:val="20"/>
              </w:rPr>
              <w:t xml:space="preserve">0.9886</w:t>
            </w:r>
          </w:p>
        </w:tc>
        <w:tc>
          <w:tcPr>
            <w:tcW w:type="dxa" w:w="1500"/>
            <w:shd w:fill="F2F2F2" w:val="clear"/>
          </w:tcPr>
          <w:p>
            <w:r>
              <w:rPr>
                <w:sz w:val="20"/>
                <w:szCs w:val="20"/>
              </w:rPr>
              <w:t xml:space="preserve">0.9457</w:t>
            </w:r>
          </w:p>
        </w:tc>
        <w:tc>
          <w:tcPr>
            <w:tcW w:type="dxa" w:w="1500"/>
            <w:shd w:fill="F2F2F2" w:val="clear"/>
          </w:tcPr>
          <w:p>
            <w:r>
              <w:rPr>
                <w:sz w:val="20"/>
                <w:szCs w:val="20"/>
              </w:rPr>
              <w:t xml:space="preserve">0.9667</w:t>
            </w:r>
          </w:p>
        </w:tc>
      </w:tr>
      <w:tr>
        <w:tc>
          <w:tcPr>
            <w:tcW w:type="dxa" w:w="3000"/>
            <w:shd w:fill="FFFFFF" w:val="clear"/>
          </w:tcPr>
          <w:p>
            <w:r>
              <w:rPr>
                <w:sz w:val="20"/>
                <w:szCs w:val="20"/>
              </w:rPr>
              <w:t xml:space="preserve">Decision Tree</w:t>
            </w:r>
          </w:p>
        </w:tc>
        <w:tc>
          <w:tcPr>
            <w:tcW w:type="dxa" w:w="1500"/>
            <w:shd w:fill="FFFFFF" w:val="clear"/>
          </w:tcPr>
          <w:p>
            <w:r>
              <w:rPr>
                <w:sz w:val="20"/>
                <w:szCs w:val="20"/>
              </w:rPr>
              <w:t xml:space="preserve">0.9526</w:t>
            </w:r>
          </w:p>
        </w:tc>
        <w:tc>
          <w:tcPr>
            <w:tcW w:type="dxa" w:w="1500"/>
            <w:shd w:fill="FFFFFF" w:val="clear"/>
          </w:tcPr>
          <w:p>
            <w:r>
              <w:rPr>
                <w:sz w:val="20"/>
                <w:szCs w:val="20"/>
              </w:rPr>
              <w:t xml:space="preserve">0.9462</w:t>
            </w:r>
          </w:p>
        </w:tc>
        <w:tc>
          <w:tcPr>
            <w:tcW w:type="dxa" w:w="1500"/>
            <w:shd w:fill="FFFFFF" w:val="clear"/>
          </w:tcPr>
          <w:p>
            <w:r>
              <w:rPr>
                <w:sz w:val="20"/>
                <w:szCs w:val="20"/>
              </w:rPr>
              <w:t xml:space="preserve">0.9565</w:t>
            </w:r>
          </w:p>
        </w:tc>
        <w:tc>
          <w:tcPr>
            <w:tcW w:type="dxa" w:w="1500"/>
            <w:shd w:fill="FFFFFF" w:val="clear"/>
          </w:tcPr>
          <w:p>
            <w:r>
              <w:rPr>
                <w:sz w:val="20"/>
                <w:szCs w:val="20"/>
              </w:rPr>
              <w:t xml:space="preserve">0.9514</w:t>
            </w:r>
          </w:p>
        </w:tc>
      </w:tr>
    </w:tbl>
    <w:p>
      <w:pPr>
        <w:spacing w:after="0" w:before="200"/>
      </w:pPr>
    </w:p>
    <w:p>
      <w:pPr>
        <w:pStyle w:val="Heading2"/>
        <w:spacing w:after="120" w:before="260"/>
      </w:pPr>
      <w:r>
        <w:t xml:space="preserve">5.3 Oversampling (SMOTE)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c>
          <w:tcPr>
            <w:tcW w:type="dxa" w:w="3000"/>
            <w:shd w:fill="2F5496" w:val="clear"/>
          </w:tcPr>
          <w:p>
            <w:r>
              <w:rPr>
                <w:b/>
                <w:bCs/>
                <w:color w:val="FFFFFF"/>
                <w:sz w:val="20"/>
                <w:szCs w:val="20"/>
              </w:rPr>
              <w:t xml:space="preserve">Model</w:t>
            </w:r>
          </w:p>
        </w:tc>
        <w:tc>
          <w:tcPr>
            <w:tcW w:type="dxa" w:w="1500"/>
            <w:shd w:fill="2F5496" w:val="clear"/>
          </w:tcPr>
          <w:p>
            <w:r>
              <w:rPr>
                <w:b/>
                <w:bCs/>
                <w:color w:val="FFFFFF"/>
                <w:sz w:val="20"/>
                <w:szCs w:val="20"/>
              </w:rPr>
              <w:t xml:space="preserve">Accuracy</w:t>
            </w:r>
          </w:p>
        </w:tc>
        <w:tc>
          <w:tcPr>
            <w:tcW w:type="dxa" w:w="1500"/>
            <w:shd w:fill="2F5496" w:val="clear"/>
          </w:tcPr>
          <w:p>
            <w:r>
              <w:rPr>
                <w:b/>
                <w:bCs/>
                <w:color w:val="FFFFFF"/>
                <w:sz w:val="20"/>
                <w:szCs w:val="20"/>
              </w:rPr>
              <w:t xml:space="preserve">Precision</w:t>
            </w:r>
          </w:p>
        </w:tc>
        <w:tc>
          <w:tcPr>
            <w:tcW w:type="dxa" w:w="1500"/>
            <w:shd w:fill="2F5496" w:val="clear"/>
          </w:tcPr>
          <w:p>
            <w:r>
              <w:rPr>
                <w:b/>
                <w:bCs/>
                <w:color w:val="FFFFFF"/>
                <w:sz w:val="20"/>
                <w:szCs w:val="20"/>
              </w:rPr>
              <w:t xml:space="preserve">Recall</w:t>
            </w:r>
          </w:p>
        </w:tc>
        <w:tc>
          <w:tcPr>
            <w:tcW w:type="dxa" w:w="1500"/>
            <w:shd w:fill="2F5496" w:val="clear"/>
          </w:tcPr>
          <w:p>
            <w:r>
              <w:rPr>
                <w:b/>
                <w:bCs/>
                <w:color w:val="FFFFFF"/>
                <w:sz w:val="20"/>
                <w:szCs w:val="20"/>
              </w:rPr>
              <w:t xml:space="preserve">F1-score</w:t>
            </w:r>
          </w:p>
        </w:tc>
      </w:tr>
      <w:tr>
        <w:tc>
          <w:tcPr>
            <w:tcW w:type="dxa" w:w="3000"/>
            <w:shd w:fill="F2F2F2" w:val="clear"/>
          </w:tcPr>
          <w:p>
            <w:r>
              <w:rPr>
                <w:sz w:val="20"/>
                <w:szCs w:val="20"/>
              </w:rPr>
              <w:t xml:space="preserve">Logistic Regression</w:t>
            </w:r>
          </w:p>
        </w:tc>
        <w:tc>
          <w:tcPr>
            <w:tcW w:type="dxa" w:w="1500"/>
            <w:shd w:fill="F2F2F2" w:val="clear"/>
          </w:tcPr>
          <w:p>
            <w:r>
              <w:rPr>
                <w:sz w:val="20"/>
                <w:szCs w:val="20"/>
              </w:rPr>
              <w:t xml:space="preserve">0.9455</w:t>
            </w:r>
          </w:p>
        </w:tc>
        <w:tc>
          <w:tcPr>
            <w:tcW w:type="dxa" w:w="1500"/>
            <w:shd w:fill="F2F2F2" w:val="clear"/>
          </w:tcPr>
          <w:p>
            <w:r>
              <w:rPr>
                <w:sz w:val="20"/>
                <w:szCs w:val="20"/>
              </w:rPr>
              <w:t xml:space="preserve">0.9742</w:t>
            </w:r>
          </w:p>
        </w:tc>
        <w:tc>
          <w:tcPr>
            <w:tcW w:type="dxa" w:w="1500"/>
            <w:shd w:fill="F2F2F2" w:val="clear"/>
          </w:tcPr>
          <w:p>
            <w:r>
              <w:rPr>
                <w:sz w:val="20"/>
                <w:szCs w:val="20"/>
              </w:rPr>
              <w:t xml:space="preserve">0.9150</w:t>
            </w:r>
          </w:p>
        </w:tc>
        <w:tc>
          <w:tcPr>
            <w:tcW w:type="dxa" w:w="1500"/>
            <w:shd w:fill="F2F2F2" w:val="clear"/>
          </w:tcPr>
          <w:p>
            <w:r>
              <w:rPr>
                <w:sz w:val="20"/>
                <w:szCs w:val="20"/>
              </w:rPr>
              <w:t xml:space="preserve">0.9437</w:t>
            </w:r>
          </w:p>
        </w:tc>
      </w:tr>
      <w:tr>
        <w:tc>
          <w:tcPr>
            <w:tcW w:type="dxa" w:w="3000"/>
            <w:shd w:fill="FFFFFF" w:val="clear"/>
          </w:tcPr>
          <w:p>
            <w:r>
              <w:rPr>
                <w:sz w:val="20"/>
                <w:szCs w:val="20"/>
              </w:rPr>
              <w:t xml:space="preserve">Decision Tree</w:t>
            </w:r>
          </w:p>
        </w:tc>
        <w:tc>
          <w:tcPr>
            <w:tcW w:type="dxa" w:w="1500"/>
            <w:shd w:fill="FFFFFF" w:val="clear"/>
          </w:tcPr>
          <w:p>
            <w:r>
              <w:rPr>
                <w:sz w:val="20"/>
                <w:szCs w:val="20"/>
              </w:rPr>
              <w:t xml:space="preserve">0.9983</w:t>
            </w:r>
          </w:p>
        </w:tc>
        <w:tc>
          <w:tcPr>
            <w:tcW w:type="dxa" w:w="1500"/>
            <w:shd w:fill="FFFFFF" w:val="clear"/>
          </w:tcPr>
          <w:p>
            <w:r>
              <w:rPr>
                <w:sz w:val="20"/>
                <w:szCs w:val="20"/>
              </w:rPr>
              <w:t xml:space="preserve">0.9978</w:t>
            </w:r>
          </w:p>
        </w:tc>
        <w:tc>
          <w:tcPr>
            <w:tcW w:type="dxa" w:w="1500"/>
            <w:shd w:fill="FFFFFF" w:val="clear"/>
          </w:tcPr>
          <w:p>
            <w:r>
              <w:rPr>
                <w:sz w:val="20"/>
                <w:szCs w:val="20"/>
              </w:rPr>
              <w:t xml:space="preserve">0.9988</w:t>
            </w:r>
          </w:p>
        </w:tc>
        <w:tc>
          <w:tcPr>
            <w:tcW w:type="dxa" w:w="1500"/>
            <w:shd w:fill="FFFFFF" w:val="clear"/>
          </w:tcPr>
          <w:p>
            <w:r>
              <w:rPr>
                <w:sz w:val="20"/>
                <w:szCs w:val="20"/>
              </w:rPr>
              <w:t xml:space="preserve">0.9983</w:t>
            </w:r>
          </w:p>
        </w:tc>
      </w:tr>
    </w:tbl>
    <w:p>
      <w:pPr>
        <w:pStyle w:val="Heading1"/>
        <w:spacing w:after="160" w:before="320"/>
      </w:pPr>
      <w:r>
        <w:t xml:space="preserve">6. Key Findings</w:t>
      </w:r>
    </w:p>
    <w:p>
      <w:pPr>
        <w:pStyle w:val="ListParagraph"/>
        <w:numPr>
          <w:ilvl w:val="0"/>
          <w:numId w:val="1"/>
        </w:numPr>
        <w:spacing w:after="80"/>
      </w:pPr>
      <w:r>
        <w:t xml:space="preserve">Class imbalance is the central problem: an unbalanced model reaches 99.9% accuracy while still missing over 40% of fraud cases, showing accuracy alone is not a trustworthy metric for this task.</w:t>
      </w:r>
    </w:p>
    <w:p>
      <w:pPr>
        <w:pStyle w:val="ListParagraph"/>
        <w:numPr>
          <w:ilvl w:val="0"/>
          <w:numId w:val="1"/>
        </w:numPr>
        <w:spacing w:after="80"/>
      </w:pPr>
      <w:r>
        <w:t xml:space="preserve">Both resampling strategies substantially improved recall and F1-score over the baseline.</w:t>
      </w:r>
    </w:p>
    <w:p>
      <w:pPr>
        <w:pStyle w:val="ListParagraph"/>
        <w:numPr>
          <w:ilvl w:val="0"/>
          <w:numId w:val="1"/>
        </w:numPr>
        <w:spacing w:after="80"/>
      </w:pPr>
      <w:r>
        <w:t xml:space="preserve">SMOTE (oversampling) combined with a Decision Tree produced the best overall result: accuracy, precision, recall and F1-score all above 0.997.</w:t>
      </w:r>
    </w:p>
    <w:p>
      <w:pPr>
        <w:pStyle w:val="ListParagraph"/>
        <w:numPr>
          <w:ilvl w:val="0"/>
          <w:numId w:val="1"/>
        </w:numPr>
        <w:spacing w:after="80"/>
      </w:pPr>
      <w:r>
        <w:t xml:space="preserve">Undersampling gave strong, well-balanced results (F1 ≈ 0.95–0.97) using far less data, which is useful when training speed or resources are constrained — but it discards a large amount of legitimate-transaction data, which can reduce robustness on unseen data.</w:t>
      </w:r>
    </w:p>
    <w:p>
      <w:pPr>
        <w:pStyle w:val="ListParagraph"/>
        <w:numPr>
          <w:ilvl w:val="0"/>
          <w:numId w:val="1"/>
        </w:numPr>
        <w:spacing w:after="80"/>
      </w:pPr>
      <w:r>
        <w:t xml:space="preserve">Logistic Regression is a solid, more interpretable baseline in both resampling scenarios, but the Decision Tree paired with SMOTE outperformed it, particularly on recall.</w:t>
      </w:r>
    </w:p>
    <w:p>
      <w:pPr>
        <w:pStyle w:val="Heading1"/>
        <w:spacing w:after="160" w:before="320"/>
      </w:pPr>
      <w:r>
        <w:t xml:space="preserve">7. Recommendations &amp; Next Steps</w:t>
      </w:r>
    </w:p>
    <w:p>
      <w:pPr>
        <w:pStyle w:val="ListParagraph"/>
        <w:numPr>
          <w:ilvl w:val="0"/>
          <w:numId w:val="1"/>
        </w:numPr>
        <w:spacing w:after="80"/>
      </w:pPr>
      <w:r>
        <w:t xml:space="preserve">Favor recall and F1-score (or precision-recall AUC) over raw accuracy when selecting and tuning fraud models.</w:t>
      </w:r>
    </w:p>
    <w:p>
      <w:pPr>
        <w:pStyle w:val="ListParagraph"/>
        <w:numPr>
          <w:ilvl w:val="0"/>
          <w:numId w:val="1"/>
        </w:numPr>
        <w:spacing w:after="80"/>
      </w:pPr>
      <w:r>
        <w:t xml:space="preserve">Validate the SMOTE + Decision Tree result with k-fold cross-validation to check for overfitting, since SMOTE-generated samples can leak similar synthetic points across train/test splits.</w:t>
      </w:r>
    </w:p>
    <w:p>
      <w:pPr>
        <w:pStyle w:val="ListParagraph"/>
        <w:numPr>
          <w:ilvl w:val="0"/>
          <w:numId w:val="1"/>
        </w:numPr>
        <w:spacing w:after="80"/>
      </w:pPr>
      <w:r>
        <w:t xml:space="preserve">Test additional models (e.g., Random Forest, Gradient Boosting/XGBoost) and threshold tuning to further balance precision vs. recall for the business cost of false positives vs. false negatives.</w:t>
      </w:r>
    </w:p>
    <w:p>
      <w:pPr>
        <w:pStyle w:val="ListParagraph"/>
        <w:numPr>
          <w:ilvl w:val="0"/>
          <w:numId w:val="1"/>
        </w:numPr>
        <w:spacing w:after="80"/>
      </w:pPr>
      <w:r>
        <w:t xml:space="preserve">Evaluate on a held-out, untouched test set that was never exposed to SMOTE-generated samples to obtain an unbiased performance estimate.</w:t>
      </w:r>
    </w:p>
    <w:p>
      <w:pPr>
        <w:pStyle w:val="ListParagraph"/>
        <w:numPr>
          <w:ilvl w:val="0"/>
          <w:numId w:val="1"/>
        </w:numPr>
        <w:spacing w:after="80"/>
      </w:pPr>
      <w:r>
        <w:t xml:space="preserve">Consider cost-sensitive learning (class weights) as an alternative or complement to resampling.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2026-08-14T11:27:08.011Z</dcterms:created>
  <dcterms:modified xsi:type="dcterms:W3CDTF">2026-08-14T11:27:08.027Z</dcterms:modified>
</cp:coreProperties>
</file>

<file path=docProps/custom.xml><?xml version="1.0" encoding="utf-8"?>
<Properties xmlns="http://schemas.openxmlformats.org/officeDocument/2006/custom-properties" xmlns:vt="http://schemas.openxmlformats.org/officeDocument/2006/docPropsVTypes"/>
</file>