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Georgia" w:cs="Georgia" w:eastAsia="Georgia" w:hAnsi="Georgia"/>
          <w:b/>
          <w:bCs/>
          <w:color w:val="2F5D4C"/>
          <w:sz w:val="44"/>
          <w:szCs w:val="44"/>
        </w:rPr>
        <w:t xml:space="preserve">Real Estate CRM &amp; Project Pipeline</w:t>
      </w:r>
    </w:p>
    <w:p>
      <w:pPr>
        <w:spacing w:after="220"/>
      </w:pPr>
      <w:r>
        <w:rPr>
          <w:rFonts w:ascii="Georgia" w:cs="Georgia" w:eastAsia="Georgia" w:hAnsi="Georgia"/>
          <w:i/>
          <w:iCs/>
          <w:color w:val="6B7570"/>
          <w:sz w:val="28"/>
          <w:szCs w:val="28"/>
        </w:rPr>
        <w:t xml:space="preserve">Monthly Performance Report</w:t>
      </w:r>
    </w:p>
    <w:tbl>
      <w:tblPr>
        <w:tblW w:type="dxa" w:w="9360"/>
        <w:tblBorders>
          <w:top w:val="single" w:color="2F5D4C" w:sz="8"/>
          <w:left w:val="none" w:color="FFFFFF" w:sz="0"/>
          <w:bottom w:val="single" w:color="D5DAD6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pPr>
              <w:spacing w:after="10"/>
            </w:pPr>
            <w:r>
              <w:rPr>
                <w:rFonts w:ascii="Calibri" w:cs="Calibri" w:eastAsia="Calibri" w:hAnsi="Calibri"/>
                <w:b/>
                <w:bCs/>
                <w:color w:val="6B7570"/>
                <w:spacing w:val="20"/>
                <w:sz w:val="15"/>
                <w:szCs w:val="15"/>
              </w:rPr>
              <w:t xml:space="preserve">REPORTING PERIOD</w:t>
            </w:r>
          </w:p>
          <w:p>
            <w:r>
              <w:rPr>
                <w:rFonts w:ascii="Calibri" w:cs="Calibri" w:eastAsia="Calibri" w:hAnsi="Calibri"/>
                <w:color w:val="1F2A26"/>
                <w:sz w:val="21"/>
                <w:szCs w:val="21"/>
              </w:rPr>
              <w:t xml:space="preserve">September 2026</w:t>
            </w:r>
          </w:p>
        </w:tc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pPr>
              <w:spacing w:after="10"/>
            </w:pPr>
            <w:r>
              <w:rPr>
                <w:rFonts w:ascii="Calibri" w:cs="Calibri" w:eastAsia="Calibri" w:hAnsi="Calibri"/>
                <w:b/>
                <w:bCs/>
                <w:color w:val="6B7570"/>
                <w:spacing w:val="20"/>
                <w:sz w:val="15"/>
                <w:szCs w:val="15"/>
              </w:rPr>
              <w:t xml:space="preserve">PREPARED BY</w:t>
            </w:r>
          </w:p>
          <w:p>
            <w:r>
              <w:rPr>
                <w:rFonts w:ascii="Calibri" w:cs="Calibri" w:eastAsia="Calibri" w:hAnsi="Calibri"/>
                <w:color w:val="1F2A26"/>
                <w:sz w:val="21"/>
                <w:szCs w:val="21"/>
              </w:rPr>
              <w:t xml:space="preserve">Princess Erika Mahinay</w:t>
            </w:r>
          </w:p>
        </w:tc>
      </w:tr>
      <w:tr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pPr>
              <w:spacing w:after="10"/>
            </w:pPr>
            <w:r>
              <w:rPr>
                <w:rFonts w:ascii="Calibri" w:cs="Calibri" w:eastAsia="Calibri" w:hAnsi="Calibri"/>
                <w:b/>
                <w:bCs/>
                <w:color w:val="6B7570"/>
                <w:spacing w:val="20"/>
                <w:sz w:val="15"/>
                <w:szCs w:val="15"/>
              </w:rPr>
              <w:t xml:space="preserve">FUNCTION</w:t>
            </w:r>
          </w:p>
          <w:p>
            <w:r>
              <w:rPr>
                <w:rFonts w:ascii="Calibri" w:cs="Calibri" w:eastAsia="Calibri" w:hAnsi="Calibri"/>
                <w:color w:val="1F2A26"/>
                <w:sz w:val="21"/>
                <w:szCs w:val="21"/>
              </w:rPr>
              <w:t xml:space="preserve">CRM, project tracking &amp; follow-up support</w:t>
            </w:r>
          </w:p>
        </w:tc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pPr>
              <w:spacing w:after="10"/>
            </w:pPr>
            <w:r>
              <w:rPr>
                <w:rFonts w:ascii="Calibri" w:cs="Calibri" w:eastAsia="Calibri" w:hAnsi="Calibri"/>
                <w:b/>
                <w:bCs/>
                <w:color w:val="6B7570"/>
                <w:spacing w:val="20"/>
                <w:sz w:val="15"/>
                <w:szCs w:val="15"/>
              </w:rPr>
              <w:t xml:space="preserve">STATUS</w:t>
            </w:r>
          </w:p>
          <w:p>
            <w:r>
              <w:rPr>
                <w:rFonts w:ascii="Calibri" w:cs="Calibri" w:eastAsia="Calibri" w:hAnsi="Calibri"/>
                <w:color w:val="1F2A26"/>
                <w:sz w:val="21"/>
                <w:szCs w:val="21"/>
              </w:rPr>
              <w:t xml:space="preserve">Portfolio demonstration</w:t>
            </w:r>
          </w:p>
        </w:tc>
      </w:tr>
    </w:tbl>
    <w:p>
      <w:pPr>
        <w:spacing w:after="0" w:before="140" w:line="252"/>
      </w:pPr>
      <w:r>
        <w:rPr>
          <w:rFonts w:ascii="Calibri" w:cs="Calibri" w:eastAsia="Calibri" w:hAnsi="Calibri"/>
          <w:b/>
          <w:bCs/>
          <w:color w:val="6B7570"/>
          <w:sz w:val="18"/>
          <w:szCs w:val="18"/>
        </w:rPr>
        <w:t xml:space="preserve">Note: </w:t>
      </w:r>
      <w:r>
        <w:rPr>
          <w:rFonts w:ascii="Calibri" w:cs="Calibri" w:eastAsia="Calibri" w:hAnsi="Calibri"/>
          <w:i/>
          <w:iCs/>
          <w:color w:val="6B7570"/>
          <w:sz w:val="18"/>
          <w:szCs w:val="18"/>
        </w:rPr>
        <w:t xml:space="preserve">All company names, project names, amounts, and performance figures in this report are fictional sample data created to demonstrate reporting and CRM support skills.</w:t>
      </w:r>
    </w:p>
    <w:p>
      <w:pPr>
        <w:keepNext/>
        <w:pBdr>
          <w:bottom w:val="single" w:color="D5DAD6" w:sz="6"/>
        </w:pBdr>
        <w:spacing w:after="110" w:before="240"/>
      </w:pPr>
      <w:r>
        <w:rPr>
          <w:rFonts w:ascii="Georgia" w:cs="Georgia" w:eastAsia="Georgia" w:hAnsi="Georgia"/>
          <w:b/>
          <w:bCs/>
          <w:color w:val="2F5D4C"/>
          <w:sz w:val="26"/>
          <w:szCs w:val="26"/>
        </w:rPr>
        <w:t xml:space="preserve">Monthly snapshot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none" w:color="FFFFFF" w:sz="0"/>
              <w:left w:val="none" w:color="FFFFFF" w:sz="0"/>
              <w:bottom w:val="single" w:color="D5DAD6" w:sz="4"/>
              <w:right w:val="none" w:color="FFFFFF" w:sz="0"/>
            </w:tcBorders>
            <w:tcMar>
              <w:top w:type="dxa" w:w="140"/>
              <w:left w:type="dxa" w:w="0"/>
              <w:bottom w:type="dxa" w:w="140"/>
              <w:right w:type="dxa" w:w="12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color w:val="2F5D4C"/>
                <w:sz w:val="52"/>
                <w:szCs w:val="52"/>
              </w:rPr>
              <w:t xml:space="preserve">18</w:t>
            </w:r>
          </w:p>
          <w:p>
            <w:r>
              <w:rPr>
                <w:rFonts w:ascii="Calibri" w:cs="Calibri" w:eastAsia="Calibri" w:hAnsi="Calibri"/>
                <w:color w:val="6B7570"/>
                <w:sz w:val="19"/>
                <w:szCs w:val="19"/>
              </w:rPr>
              <w:t xml:space="preserve">Active projects</w:t>
            </w:r>
          </w:p>
        </w:tc>
        <w:tc>
          <w:tcPr>
            <w:tcW w:type="dxa" w:w="3120"/>
            <w:tcBorders>
              <w:top w:val="none" w:color="FFFFFF" w:sz="0"/>
              <w:left w:val="single" w:color="D5DAD6" w:sz="4"/>
              <w:bottom w:val="single" w:color="D5DAD6" w:sz="4"/>
              <w:right w:val="none" w:color="FFFFFF" w:sz="0"/>
            </w:tcBorders>
            <w:tcMar>
              <w:top w:type="dxa" w:w="140"/>
              <w:left w:type="dxa" w:w="220"/>
              <w:bottom w:type="dxa" w:w="140"/>
              <w:right w:type="dxa" w:w="12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color w:val="2F5D4C"/>
                <w:sz w:val="52"/>
                <w:szCs w:val="52"/>
              </w:rPr>
              <w:t xml:space="preserve">12</w:t>
            </w:r>
          </w:p>
          <w:p>
            <w:r>
              <w:rPr>
                <w:rFonts w:ascii="Calibri" w:cs="Calibri" w:eastAsia="Calibri" w:hAnsi="Calibri"/>
                <w:color w:val="6B7570"/>
                <w:sz w:val="19"/>
                <w:szCs w:val="19"/>
              </w:rPr>
              <w:t xml:space="preserve">New opportunities</w:t>
            </w:r>
          </w:p>
        </w:tc>
        <w:tc>
          <w:tcPr>
            <w:tcW w:type="dxa" w:w="3120"/>
            <w:tcBorders>
              <w:top w:val="none" w:color="FFFFFF" w:sz="0"/>
              <w:left w:val="single" w:color="D5DAD6" w:sz="4"/>
              <w:bottom w:val="single" w:color="D5DAD6" w:sz="4"/>
              <w:right w:val="none" w:color="FFFFFF" w:sz="0"/>
            </w:tcBorders>
            <w:tcMar>
              <w:top w:type="dxa" w:w="140"/>
              <w:left w:type="dxa" w:w="220"/>
              <w:bottom w:type="dxa" w:w="140"/>
              <w:right w:type="dxa" w:w="12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color w:val="2F5D4C"/>
                <w:sz w:val="52"/>
                <w:szCs w:val="52"/>
              </w:rPr>
              <w:t xml:space="preserve">6</w:t>
            </w:r>
          </w:p>
          <w:p>
            <w:r>
              <w:rPr>
                <w:rFonts w:ascii="Calibri" w:cs="Calibri" w:eastAsia="Calibri" w:hAnsi="Calibri"/>
                <w:color w:val="6B7570"/>
                <w:sz w:val="19"/>
                <w:szCs w:val="19"/>
              </w:rPr>
              <w:t xml:space="preserve">Proposals sent</w:t>
            </w:r>
          </w:p>
        </w:tc>
      </w:tr>
      <w:tr>
        <w:tc>
          <w:tcPr>
            <w:tcW w:type="dxa" w:w="3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40"/>
              <w:left w:type="dxa" w:w="0"/>
              <w:bottom w:type="dxa" w:w="140"/>
              <w:right w:type="dxa" w:w="12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color w:val="2F5D4C"/>
                <w:sz w:val="52"/>
                <w:szCs w:val="52"/>
              </w:rPr>
              <w:t xml:space="preserve">4</w:t>
            </w:r>
          </w:p>
          <w:p>
            <w:r>
              <w:rPr>
                <w:rFonts w:ascii="Calibri" w:cs="Calibri" w:eastAsia="Calibri" w:hAnsi="Calibri"/>
                <w:color w:val="6B7570"/>
                <w:sz w:val="19"/>
                <w:szCs w:val="19"/>
              </w:rPr>
              <w:t xml:space="preserve">Projects awarded</w:t>
            </w:r>
          </w:p>
        </w:tc>
        <w:tc>
          <w:tcPr>
            <w:tcW w:type="dxa" w:w="3120"/>
            <w:tcBorders>
              <w:top w:val="none" w:color="FFFFFF" w:sz="0"/>
              <w:left w:val="single" w:color="D5DAD6" w:sz="4"/>
              <w:bottom w:val="none" w:color="FFFFFF" w:sz="0"/>
              <w:right w:val="none" w:color="FFFFFF" w:sz="0"/>
            </w:tcBorders>
            <w:tcMar>
              <w:top w:type="dxa" w:w="140"/>
              <w:left w:type="dxa" w:w="220"/>
              <w:bottom w:type="dxa" w:w="140"/>
              <w:right w:type="dxa" w:w="12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color w:val="2F5D4C"/>
                <w:sz w:val="52"/>
                <w:szCs w:val="52"/>
              </w:rPr>
              <w:t xml:space="preserve">5</w:t>
            </w:r>
          </w:p>
          <w:p>
            <w:r>
              <w:rPr>
                <w:rFonts w:ascii="Calibri" w:cs="Calibri" w:eastAsia="Calibri" w:hAnsi="Calibri"/>
                <w:color w:val="6B7570"/>
                <w:sz w:val="19"/>
                <w:szCs w:val="19"/>
              </w:rPr>
              <w:t xml:space="preserve">Projects closed</w:t>
            </w:r>
          </w:p>
        </w:tc>
        <w:tc>
          <w:tcPr>
            <w:tcW w:type="dxa" w:w="3120"/>
            <w:tcBorders>
              <w:top w:val="none" w:color="FFFFFF" w:sz="0"/>
              <w:left w:val="single" w:color="D5DAD6" w:sz="4"/>
              <w:bottom w:val="none" w:color="FFFFFF" w:sz="0"/>
              <w:right w:val="none" w:color="FFFFFF" w:sz="0"/>
            </w:tcBorders>
            <w:tcMar>
              <w:top w:type="dxa" w:w="140"/>
              <w:left w:type="dxa" w:w="220"/>
              <w:bottom w:type="dxa" w:w="140"/>
              <w:right w:type="dxa" w:w="12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color w:val="2F5D4C"/>
                <w:sz w:val="52"/>
                <w:szCs w:val="52"/>
              </w:rPr>
              <w:t xml:space="preserve">$72K</w:t>
            </w:r>
          </w:p>
          <w:p>
            <w:r>
              <w:rPr>
                <w:rFonts w:ascii="Calibri" w:cs="Calibri" w:eastAsia="Calibri" w:hAnsi="Calibri"/>
                <w:color w:val="6B7570"/>
                <w:sz w:val="19"/>
                <w:szCs w:val="19"/>
              </w:rPr>
              <w:t xml:space="preserve">Closed project value</w:t>
            </w:r>
          </w:p>
        </w:tc>
      </w:tr>
    </w:tbl>
    <w:p>
      <w:pPr>
        <w:keepNext/>
        <w:pBdr>
          <w:bottom w:val="single" w:color="D5DAD6" w:sz="6"/>
        </w:pBdr>
        <w:spacing w:after="110" w:before="240"/>
      </w:pPr>
      <w:r>
        <w:rPr>
          <w:rFonts w:ascii="Georgia" w:cs="Georgia" w:eastAsia="Georgia" w:hAnsi="Georgia"/>
          <w:b/>
          <w:bCs/>
          <w:color w:val="2F5D4C"/>
          <w:sz w:val="26"/>
          <w:szCs w:val="26"/>
        </w:rPr>
        <w:t xml:space="preserve">Pipeline status</w:t>
      </w:r>
    </w:p>
    <w:p>
      <w:pPr>
        <w:keepNext/>
        <w:spacing w:after="120" w:line="276"/>
      </w:pPr>
      <w:r>
        <w:rPr>
          <w:rFonts w:ascii="Calibri" w:cs="Calibri" w:eastAsia="Calibri" w:hAnsi="Calibri"/>
          <w:color w:val="1F2A26"/>
          <w:sz w:val="21"/>
          <w:szCs w:val="21"/>
        </w:rPr>
        <w:t xml:space="preserve">The pipeline remained active across bidding, proposal, and in-progress stages. Five projects were moved to Closed during the month.</w:t>
      </w:r>
    </w:p>
    <w:p>
      <w:pPr>
        <w:spacing w:after="40" w:before="100"/>
      </w:pPr>
      <w:r>
        <w:drawing>
          <wp:inline distT="0" distB="0" distL="0" distR="0">
            <wp:extent cx="4762500" cy="2124075"/>
            <wp:effectExtent t="0" r="0" b="0" l="0"/>
            <wp:docPr id="1" name="chart" descr="Bar chart: New/Unreviewed 8, Qualified 6, Bidding/Estimate 7, Proposal Sent 6, Awarded 4, In Progress 9, Closed 5" title="Projects by pipeline st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124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/>
      </w:pPr>
      <w:r>
        <w:rPr>
          <w:rFonts w:ascii="Calibri" w:cs="Calibri" w:eastAsia="Calibri" w:hAnsi="Calibri"/>
          <w:i/>
          <w:iCs/>
          <w:color w:val="6B7570"/>
          <w:sz w:val="18"/>
          <w:szCs w:val="18"/>
        </w:rPr>
        <w:t xml:space="preserve">Projects by pipeline stage</w:t>
      </w:r>
    </w:p>
    <w:p>
      <w:pPr>
        <w:keepNext/>
        <w:pageBreakBefore/>
        <w:pBdr>
          <w:bottom w:val="single" w:color="D5DAD6" w:sz="6"/>
        </w:pBdr>
        <w:spacing w:after="110" w:before="240"/>
      </w:pPr>
      <w:r>
        <w:rPr>
          <w:rFonts w:ascii="Georgia" w:cs="Georgia" w:eastAsia="Georgia" w:hAnsi="Georgia"/>
          <w:b/>
          <w:bCs/>
          <w:color w:val="2F5D4C"/>
          <w:sz w:val="26"/>
          <w:szCs w:val="26"/>
        </w:rPr>
        <w:t xml:space="preserve">Closed projects</w:t>
      </w:r>
    </w:p>
    <w:p>
      <w:pPr>
        <w:keepNext/>
        <w:spacing w:after="120" w:line="276"/>
      </w:pPr>
      <w:r>
        <w:rPr>
          <w:rFonts w:ascii="Calibri" w:cs="Calibri" w:eastAsia="Calibri" w:hAnsi="Calibri"/>
          <w:color w:val="1F2A26"/>
          <w:sz w:val="21"/>
          <w:szCs w:val="21"/>
        </w:rPr>
        <w:t xml:space="preserve">Five projects were completed and closed during the reporting period. Records were updated to reflect final status and project value.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500"/>
        <w:gridCol w:w="2500"/>
        <w:gridCol w:w="1700"/>
        <w:gridCol w:w="1660"/>
      </w:tblGrid>
      <w:tr>
        <w:trPr>
          <w:tblHeader/>
        </w:trPr>
        <w:tc>
          <w:tcPr>
            <w:tcW w:type="dxa" w:w="3500"/>
            <w:tcBorders>
              <w:top w:val="single" w:color="2F5D4C" w:sz="8"/>
              <w:left w:val="none" w:color="FFFFFF" w:sz="0"/>
              <w:bottom w:val="single" w:color="2F5D4C" w:sz="8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F5D4C"/>
                <w:spacing w:val="20"/>
                <w:sz w:val="16"/>
                <w:szCs w:val="16"/>
              </w:rPr>
              <w:t xml:space="preserve">PROJECT</w:t>
            </w:r>
          </w:p>
        </w:tc>
        <w:tc>
          <w:tcPr>
            <w:tcW w:type="dxa" w:w="2500"/>
            <w:tcBorders>
              <w:top w:val="single" w:color="2F5D4C" w:sz="8"/>
              <w:left w:val="none" w:color="FFFFFF" w:sz="0"/>
              <w:bottom w:val="single" w:color="2F5D4C" w:sz="8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F5D4C"/>
                <w:spacing w:val="20"/>
                <w:sz w:val="16"/>
                <w:szCs w:val="16"/>
              </w:rPr>
              <w:t xml:space="preserve">PROJECT TYPE</w:t>
            </w:r>
          </w:p>
        </w:tc>
        <w:tc>
          <w:tcPr>
            <w:tcW w:type="dxa" w:w="1700"/>
            <w:tcBorders>
              <w:top w:val="single" w:color="2F5D4C" w:sz="8"/>
              <w:left w:val="none" w:color="FFFFFF" w:sz="0"/>
              <w:bottom w:val="single" w:color="2F5D4C" w:sz="8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2F5D4C"/>
                <w:spacing w:val="20"/>
                <w:sz w:val="16"/>
                <w:szCs w:val="16"/>
              </w:rPr>
              <w:t xml:space="preserve">VALUE</w:t>
            </w:r>
          </w:p>
        </w:tc>
        <w:tc>
          <w:tcPr>
            <w:tcW w:type="dxa" w:w="1660"/>
            <w:tcBorders>
              <w:top w:val="single" w:color="2F5D4C" w:sz="8"/>
              <w:left w:val="none" w:color="FFFFFF" w:sz="0"/>
              <w:bottom w:val="single" w:color="2F5D4C" w:sz="8"/>
              <w:right w:val="none" w:color="FFFFFF" w:sz="0"/>
            </w:tcBorders>
            <w:tcMar>
              <w:top w:type="dxa" w:w="80"/>
              <w:left w:type="dxa" w:w="30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F5D4C"/>
                <w:spacing w:val="20"/>
                <w:sz w:val="16"/>
                <w:szCs w:val="16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3500"/>
            <w:tcBorders>
              <w:top w:val="none" w:color="FFFFFF" w:sz="0"/>
              <w:left w:val="none" w:color="FFFFFF" w:sz="0"/>
              <w:bottom w:val="single" w:color="D5DAD6" w:sz="4"/>
              <w:right w:val="none" w:color="FFFFFF" w:sz="0"/>
            </w:tcBorders>
            <w:tcMar>
              <w:top w:type="dxa" w:w="65"/>
              <w:left w:type="dxa" w:w="0"/>
              <w:bottom w:type="dxa" w:w="65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6"/>
                <w:sz w:val="20"/>
                <w:szCs w:val="20"/>
              </w:rPr>
              <w:t xml:space="preserve">Pine Street Renovation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D5DAD6" w:sz="4"/>
              <w:right w:val="none" w:color="FFFFFF" w:sz="0"/>
            </w:tcBorders>
            <w:tcMar>
              <w:top w:type="dxa" w:w="65"/>
              <w:left w:type="dxa" w:w="0"/>
              <w:bottom w:type="dxa" w:w="65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color w:val="1F2A26"/>
                <w:sz w:val="20"/>
                <w:szCs w:val="20"/>
              </w:rPr>
              <w:t xml:space="preserve">Residential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D5DAD6" w:sz="4"/>
              <w:right w:val="none" w:color="FFFFFF" w:sz="0"/>
            </w:tcBorders>
            <w:tcMar>
              <w:top w:type="dxa" w:w="65"/>
              <w:left w:type="dxa" w:w="0"/>
              <w:bottom w:type="dxa" w:w="65"/>
              <w:right w:type="dxa" w:w="12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color w:val="1F2A26"/>
                <w:sz w:val="20"/>
                <w:szCs w:val="20"/>
              </w:rPr>
              <w:t xml:space="preserve">$18,500</w:t>
            </w:r>
          </w:p>
        </w:tc>
        <w:tc>
          <w:tcPr>
            <w:tcW w:type="dxa" w:w="1660"/>
            <w:tcBorders>
              <w:top w:val="none" w:color="FFFFFF" w:sz="0"/>
              <w:left w:val="none" w:color="FFFFFF" w:sz="0"/>
              <w:bottom w:val="single" w:color="D5DAD6" w:sz="4"/>
              <w:right w:val="none" w:color="FFFFFF" w:sz="0"/>
            </w:tcBorders>
            <w:tcMar>
              <w:top w:type="dxa" w:w="65"/>
              <w:left w:type="dxa" w:w="300"/>
              <w:bottom w:type="dxa" w:w="65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color w:val="2F5D4C"/>
                <w:sz w:val="20"/>
                <w:szCs w:val="20"/>
              </w:rPr>
              <w:t xml:space="preserve">Closed</w:t>
            </w:r>
          </w:p>
        </w:tc>
      </w:tr>
      <w:tr>
        <w:trPr>
          <w:cantSplit/>
        </w:trPr>
        <w:tc>
          <w:tcPr>
            <w:tcW w:type="dxa" w:w="3500"/>
            <w:tcBorders>
              <w:top w:val="none" w:color="FFFFFF" w:sz="0"/>
              <w:left w:val="none" w:color="FFFFFF" w:sz="0"/>
              <w:bottom w:val="single" w:color="D5DAD6" w:sz="4"/>
              <w:right w:val="none" w:color="FFFFFF" w:sz="0"/>
            </w:tcBorders>
            <w:tcMar>
              <w:top w:type="dxa" w:w="65"/>
              <w:left w:type="dxa" w:w="0"/>
              <w:bottom w:type="dxa" w:w="65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6"/>
                <w:sz w:val="20"/>
                <w:szCs w:val="20"/>
              </w:rPr>
              <w:t xml:space="preserve">Harbor View Unit 14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D5DAD6" w:sz="4"/>
              <w:right w:val="none" w:color="FFFFFF" w:sz="0"/>
            </w:tcBorders>
            <w:tcMar>
              <w:top w:type="dxa" w:w="65"/>
              <w:left w:type="dxa" w:w="0"/>
              <w:bottom w:type="dxa" w:w="65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color w:val="1F2A26"/>
                <w:sz w:val="20"/>
                <w:szCs w:val="20"/>
              </w:rPr>
              <w:t xml:space="preserve">Rental Turnover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D5DAD6" w:sz="4"/>
              <w:right w:val="none" w:color="FFFFFF" w:sz="0"/>
            </w:tcBorders>
            <w:tcMar>
              <w:top w:type="dxa" w:w="65"/>
              <w:left w:type="dxa" w:w="0"/>
              <w:bottom w:type="dxa" w:w="65"/>
              <w:right w:type="dxa" w:w="12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color w:val="1F2A26"/>
                <w:sz w:val="20"/>
                <w:szCs w:val="20"/>
              </w:rPr>
              <w:t xml:space="preserve">$9,800</w:t>
            </w:r>
          </w:p>
        </w:tc>
        <w:tc>
          <w:tcPr>
            <w:tcW w:type="dxa" w:w="1660"/>
            <w:tcBorders>
              <w:top w:val="none" w:color="FFFFFF" w:sz="0"/>
              <w:left w:val="none" w:color="FFFFFF" w:sz="0"/>
              <w:bottom w:val="single" w:color="D5DAD6" w:sz="4"/>
              <w:right w:val="none" w:color="FFFFFF" w:sz="0"/>
            </w:tcBorders>
            <w:tcMar>
              <w:top w:type="dxa" w:w="65"/>
              <w:left w:type="dxa" w:w="300"/>
              <w:bottom w:type="dxa" w:w="65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color w:val="2F5D4C"/>
                <w:sz w:val="20"/>
                <w:szCs w:val="20"/>
              </w:rPr>
              <w:t xml:space="preserve">Closed</w:t>
            </w:r>
          </w:p>
        </w:tc>
      </w:tr>
      <w:tr>
        <w:trPr>
          <w:cantSplit/>
        </w:trPr>
        <w:tc>
          <w:tcPr>
            <w:tcW w:type="dxa" w:w="3500"/>
            <w:tcBorders>
              <w:top w:val="none" w:color="FFFFFF" w:sz="0"/>
              <w:left w:val="none" w:color="FFFFFF" w:sz="0"/>
              <w:bottom w:val="single" w:color="D5DAD6" w:sz="4"/>
              <w:right w:val="none" w:color="FFFFFF" w:sz="0"/>
            </w:tcBorders>
            <w:tcMar>
              <w:top w:type="dxa" w:w="65"/>
              <w:left w:type="dxa" w:w="0"/>
              <w:bottom w:type="dxa" w:w="65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6"/>
                <w:sz w:val="20"/>
                <w:szCs w:val="20"/>
              </w:rPr>
              <w:t xml:space="preserve">Oakridge Exterior Works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D5DAD6" w:sz="4"/>
              <w:right w:val="none" w:color="FFFFFF" w:sz="0"/>
            </w:tcBorders>
            <w:tcMar>
              <w:top w:type="dxa" w:w="65"/>
              <w:left w:type="dxa" w:w="0"/>
              <w:bottom w:type="dxa" w:w="65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color w:val="1F2A26"/>
                <w:sz w:val="20"/>
                <w:szCs w:val="20"/>
              </w:rPr>
              <w:t xml:space="preserve">Residential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D5DAD6" w:sz="4"/>
              <w:right w:val="none" w:color="FFFFFF" w:sz="0"/>
            </w:tcBorders>
            <w:tcMar>
              <w:top w:type="dxa" w:w="65"/>
              <w:left w:type="dxa" w:w="0"/>
              <w:bottom w:type="dxa" w:w="65"/>
              <w:right w:type="dxa" w:w="12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color w:val="1F2A26"/>
                <w:sz w:val="20"/>
                <w:szCs w:val="20"/>
              </w:rPr>
              <w:t xml:space="preserve">$15,700</w:t>
            </w:r>
          </w:p>
        </w:tc>
        <w:tc>
          <w:tcPr>
            <w:tcW w:type="dxa" w:w="1660"/>
            <w:tcBorders>
              <w:top w:val="none" w:color="FFFFFF" w:sz="0"/>
              <w:left w:val="none" w:color="FFFFFF" w:sz="0"/>
              <w:bottom w:val="single" w:color="D5DAD6" w:sz="4"/>
              <w:right w:val="none" w:color="FFFFFF" w:sz="0"/>
            </w:tcBorders>
            <w:tcMar>
              <w:top w:type="dxa" w:w="65"/>
              <w:left w:type="dxa" w:w="300"/>
              <w:bottom w:type="dxa" w:w="65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color w:val="2F5D4C"/>
                <w:sz w:val="20"/>
                <w:szCs w:val="20"/>
              </w:rPr>
              <w:t xml:space="preserve">Closed</w:t>
            </w:r>
          </w:p>
        </w:tc>
      </w:tr>
      <w:tr>
        <w:trPr>
          <w:cantSplit/>
        </w:trPr>
        <w:tc>
          <w:tcPr>
            <w:tcW w:type="dxa" w:w="3500"/>
            <w:tcBorders>
              <w:top w:val="none" w:color="FFFFFF" w:sz="0"/>
              <w:left w:val="none" w:color="FFFFFF" w:sz="0"/>
              <w:bottom w:val="single" w:color="D5DAD6" w:sz="4"/>
              <w:right w:val="none" w:color="FFFFFF" w:sz="0"/>
            </w:tcBorders>
            <w:tcMar>
              <w:top w:type="dxa" w:w="65"/>
              <w:left w:type="dxa" w:w="0"/>
              <w:bottom w:type="dxa" w:w="65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6"/>
                <w:sz w:val="20"/>
                <w:szCs w:val="20"/>
              </w:rPr>
              <w:t xml:space="preserve">Riverside Building 2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D5DAD6" w:sz="4"/>
              <w:right w:val="none" w:color="FFFFFF" w:sz="0"/>
            </w:tcBorders>
            <w:tcMar>
              <w:top w:type="dxa" w:w="65"/>
              <w:left w:type="dxa" w:w="0"/>
              <w:bottom w:type="dxa" w:w="65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color w:val="1F2A26"/>
                <w:sz w:val="20"/>
                <w:szCs w:val="20"/>
              </w:rPr>
              <w:t xml:space="preserve">Commercial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D5DAD6" w:sz="4"/>
              <w:right w:val="none" w:color="FFFFFF" w:sz="0"/>
            </w:tcBorders>
            <w:tcMar>
              <w:top w:type="dxa" w:w="65"/>
              <w:left w:type="dxa" w:w="0"/>
              <w:bottom w:type="dxa" w:w="65"/>
              <w:right w:type="dxa" w:w="12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color w:val="1F2A26"/>
                <w:sz w:val="20"/>
                <w:szCs w:val="20"/>
              </w:rPr>
              <w:t xml:space="preserve">$16,400</w:t>
            </w:r>
          </w:p>
        </w:tc>
        <w:tc>
          <w:tcPr>
            <w:tcW w:type="dxa" w:w="1660"/>
            <w:tcBorders>
              <w:top w:val="none" w:color="FFFFFF" w:sz="0"/>
              <w:left w:val="none" w:color="FFFFFF" w:sz="0"/>
              <w:bottom w:val="single" w:color="D5DAD6" w:sz="4"/>
              <w:right w:val="none" w:color="FFFFFF" w:sz="0"/>
            </w:tcBorders>
            <w:tcMar>
              <w:top w:type="dxa" w:w="65"/>
              <w:left w:type="dxa" w:w="300"/>
              <w:bottom w:type="dxa" w:w="65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color w:val="2F5D4C"/>
                <w:sz w:val="20"/>
                <w:szCs w:val="20"/>
              </w:rPr>
              <w:t xml:space="preserve">Closed</w:t>
            </w:r>
          </w:p>
        </w:tc>
      </w:tr>
      <w:tr>
        <w:trPr>
          <w:cantSplit/>
        </w:trPr>
        <w:tc>
          <w:tcPr>
            <w:tcW w:type="dxa" w:w="3500"/>
            <w:tcBorders>
              <w:top w:val="none" w:color="FFFFFF" w:sz="0"/>
              <w:left w:val="none" w:color="FFFFFF" w:sz="0"/>
              <w:bottom w:val="single" w:color="D5DAD6" w:sz="4"/>
              <w:right w:val="none" w:color="FFFFFF" w:sz="0"/>
            </w:tcBorders>
            <w:tcMar>
              <w:top w:type="dxa" w:w="65"/>
              <w:left w:type="dxa" w:w="0"/>
              <w:bottom w:type="dxa" w:w="65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6"/>
                <w:sz w:val="20"/>
                <w:szCs w:val="20"/>
              </w:rPr>
              <w:t xml:space="preserve">Maple Court Unit 6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D5DAD6" w:sz="4"/>
              <w:right w:val="none" w:color="FFFFFF" w:sz="0"/>
            </w:tcBorders>
            <w:tcMar>
              <w:top w:type="dxa" w:w="65"/>
              <w:left w:type="dxa" w:w="0"/>
              <w:bottom w:type="dxa" w:w="65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color w:val="1F2A26"/>
                <w:sz w:val="20"/>
                <w:szCs w:val="20"/>
              </w:rPr>
              <w:t xml:space="preserve">Rental Turnover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D5DAD6" w:sz="4"/>
              <w:right w:val="none" w:color="FFFFFF" w:sz="0"/>
            </w:tcBorders>
            <w:tcMar>
              <w:top w:type="dxa" w:w="65"/>
              <w:left w:type="dxa" w:w="0"/>
              <w:bottom w:type="dxa" w:w="65"/>
              <w:right w:type="dxa" w:w="12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color w:val="1F2A26"/>
                <w:sz w:val="20"/>
                <w:szCs w:val="20"/>
              </w:rPr>
              <w:t xml:space="preserve">$11,600</w:t>
            </w:r>
          </w:p>
        </w:tc>
        <w:tc>
          <w:tcPr>
            <w:tcW w:type="dxa" w:w="1660"/>
            <w:tcBorders>
              <w:top w:val="none" w:color="FFFFFF" w:sz="0"/>
              <w:left w:val="none" w:color="FFFFFF" w:sz="0"/>
              <w:bottom w:val="single" w:color="D5DAD6" w:sz="4"/>
              <w:right w:val="none" w:color="FFFFFF" w:sz="0"/>
            </w:tcBorders>
            <w:tcMar>
              <w:top w:type="dxa" w:w="65"/>
              <w:left w:type="dxa" w:w="300"/>
              <w:bottom w:type="dxa" w:w="65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color w:val="2F5D4C"/>
                <w:sz w:val="20"/>
                <w:szCs w:val="20"/>
              </w:rPr>
              <w:t xml:space="preserve">Closed</w:t>
            </w:r>
          </w:p>
        </w:tc>
      </w:tr>
    </w:tbl>
    <w:p>
      <w:pPr>
        <w:keepNext/>
        <w:pBdr>
          <w:bottom w:val="single" w:color="D5DAD6" w:sz="6"/>
        </w:pBdr>
        <w:spacing w:after="110" w:before="240"/>
      </w:pPr>
      <w:r>
        <w:rPr>
          <w:rFonts w:ascii="Georgia" w:cs="Georgia" w:eastAsia="Georgia" w:hAnsi="Georgia"/>
          <w:b/>
          <w:bCs/>
          <w:color w:val="2F5D4C"/>
          <w:sz w:val="26"/>
          <w:szCs w:val="26"/>
        </w:rPr>
        <w:t xml:space="preserve">Follow-up &amp; CRM activity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700"/>
        <w:gridCol w:w="900"/>
        <w:gridCol w:w="5760"/>
      </w:tblGrid>
      <w:tr>
        <w:trPr>
          <w:cantSplit/>
        </w:trPr>
        <w:tc>
          <w:tcPr>
            <w:tcW w:type="dxa" w:w="2700"/>
            <w:tcBorders>
              <w:top w:val="single" w:color="2F5D4C" w:sz="8"/>
              <w:left w:val="none" w:color="FFFFFF" w:sz="0"/>
              <w:bottom w:val="single" w:color="D5DAD6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F2A26"/>
                <w:sz w:val="21"/>
                <w:szCs w:val="21"/>
              </w:rPr>
              <w:t xml:space="preserve">Follow-ups completed</w:t>
            </w:r>
          </w:p>
        </w:tc>
        <w:tc>
          <w:tcPr>
            <w:tcW w:type="dxa" w:w="900"/>
            <w:tcBorders>
              <w:top w:val="single" w:color="2F5D4C" w:sz="8"/>
              <w:left w:val="none" w:color="FFFFFF" w:sz="0"/>
              <w:bottom w:val="single" w:color="D5DAD6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140"/>
            </w:tcMar>
            <w:vAlign w:val="center"/>
          </w:tcPr>
          <w:p>
            <w:pPr>
              <w:jc w:val="right"/>
            </w:pPr>
            <w:r>
              <w:rPr>
                <w:rFonts w:ascii="Georgia" w:cs="Georgia" w:eastAsia="Georgia" w:hAnsi="Georgia"/>
                <w:color w:val="2F5D4C"/>
                <w:sz w:val="32"/>
                <w:szCs w:val="32"/>
              </w:rPr>
              <w:t xml:space="preserve">34</w:t>
            </w:r>
          </w:p>
        </w:tc>
        <w:tc>
          <w:tcPr>
            <w:tcW w:type="dxa" w:w="5760"/>
            <w:tcBorders>
              <w:top w:val="single" w:color="2F5D4C" w:sz="8"/>
              <w:left w:val="none" w:color="FFFFFF" w:sz="0"/>
              <w:bottom w:val="single" w:color="D5DAD6" w:sz="4"/>
              <w:right w:val="none" w:color="FFFFFF" w:sz="0"/>
            </w:tcBorders>
            <w:tcMar>
              <w:top w:type="dxa" w:w="80"/>
              <w:left w:type="dxa" w:w="280"/>
              <w:bottom w:type="dxa" w:w="80"/>
              <w:right w:type="dxa" w:w="0"/>
            </w:tcMar>
            <w:vAlign w:val="center"/>
          </w:tcPr>
          <w:p>
            <w:r>
              <w:rPr>
                <w:rFonts w:ascii="Calibri" w:cs="Calibri" w:eastAsia="Calibri" w:hAnsi="Calibri"/>
                <w:color w:val="6B7570"/>
                <w:sz w:val="20"/>
                <w:szCs w:val="20"/>
              </w:rPr>
              <w:t xml:space="preserve">Client, proposal, and project status checks</w:t>
            </w:r>
          </w:p>
        </w:tc>
      </w:tr>
      <w:tr>
        <w:trPr>
          <w:cantSplit/>
        </w:trPr>
        <w:tc>
          <w:tcPr>
            <w:tcW w:type="dxa" w:w="2700"/>
            <w:tcBorders>
              <w:top w:val="none" w:color="FFFFFF" w:sz="0"/>
              <w:left w:val="none" w:color="FFFFFF" w:sz="0"/>
              <w:bottom w:val="single" w:color="D5DAD6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F2A26"/>
                <w:sz w:val="21"/>
                <w:szCs w:val="21"/>
              </w:rPr>
              <w:t xml:space="preserve">Pending follow-ups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AD6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140"/>
            </w:tcMar>
            <w:vAlign w:val="center"/>
          </w:tcPr>
          <w:p>
            <w:pPr>
              <w:jc w:val="right"/>
            </w:pPr>
            <w:r>
              <w:rPr>
                <w:rFonts w:ascii="Georgia" w:cs="Georgia" w:eastAsia="Georgia" w:hAnsi="Georgia"/>
                <w:color w:val="2F5D4C"/>
                <w:sz w:val="32"/>
                <w:szCs w:val="32"/>
              </w:rPr>
              <w:t xml:space="preserve">8</w:t>
            </w:r>
          </w:p>
        </w:tc>
        <w:tc>
          <w:tcPr>
            <w:tcW w:type="dxa" w:w="5760"/>
            <w:tcBorders>
              <w:top w:val="none" w:color="FFFFFF" w:sz="0"/>
              <w:left w:val="none" w:color="FFFFFF" w:sz="0"/>
              <w:bottom w:val="single" w:color="D5DAD6" w:sz="4"/>
              <w:right w:val="none" w:color="FFFFFF" w:sz="0"/>
            </w:tcBorders>
            <w:tcMar>
              <w:top w:type="dxa" w:w="80"/>
              <w:left w:type="dxa" w:w="280"/>
              <w:bottom w:type="dxa" w:w="80"/>
              <w:right w:type="dxa" w:w="0"/>
            </w:tcMar>
            <w:vAlign w:val="center"/>
          </w:tcPr>
          <w:p>
            <w:r>
              <w:rPr>
                <w:rFonts w:ascii="Calibri" w:cs="Calibri" w:eastAsia="Calibri" w:hAnsi="Calibri"/>
                <w:color w:val="6B7570"/>
                <w:sz w:val="20"/>
                <w:szCs w:val="20"/>
              </w:rPr>
              <w:t xml:space="preserve">Carried into next reporting period</w:t>
            </w:r>
          </w:p>
        </w:tc>
      </w:tr>
      <w:tr>
        <w:trPr>
          <w:cantSplit/>
        </w:trPr>
        <w:tc>
          <w:tcPr>
            <w:tcW w:type="dxa" w:w="2700"/>
            <w:tcBorders>
              <w:top w:val="none" w:color="FFFFFF" w:sz="0"/>
              <w:left w:val="none" w:color="FFFFFF" w:sz="0"/>
              <w:bottom w:val="single" w:color="D5DAD6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F2A26"/>
                <w:sz w:val="21"/>
                <w:szCs w:val="21"/>
              </w:rPr>
              <w:t xml:space="preserve">CRM records updated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AD6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140"/>
            </w:tcMar>
            <w:vAlign w:val="center"/>
          </w:tcPr>
          <w:p>
            <w:pPr>
              <w:jc w:val="right"/>
            </w:pPr>
            <w:r>
              <w:rPr>
                <w:rFonts w:ascii="Georgia" w:cs="Georgia" w:eastAsia="Georgia" w:hAnsi="Georgia"/>
                <w:color w:val="2F5D4C"/>
                <w:sz w:val="32"/>
                <w:szCs w:val="32"/>
              </w:rPr>
              <w:t xml:space="preserve">27</w:t>
            </w:r>
          </w:p>
        </w:tc>
        <w:tc>
          <w:tcPr>
            <w:tcW w:type="dxa" w:w="5760"/>
            <w:tcBorders>
              <w:top w:val="none" w:color="FFFFFF" w:sz="0"/>
              <w:left w:val="none" w:color="FFFFFF" w:sz="0"/>
              <w:bottom w:val="single" w:color="D5DAD6" w:sz="4"/>
              <w:right w:val="none" w:color="FFFFFF" w:sz="0"/>
            </w:tcBorders>
            <w:tcMar>
              <w:top w:type="dxa" w:w="80"/>
              <w:left w:type="dxa" w:w="280"/>
              <w:bottom w:type="dxa" w:w="80"/>
              <w:right w:type="dxa" w:w="0"/>
            </w:tcMar>
            <w:vAlign w:val="center"/>
          </w:tcPr>
          <w:p>
            <w:r>
              <w:rPr>
                <w:rFonts w:ascii="Calibri" w:cs="Calibri" w:eastAsia="Calibri" w:hAnsi="Calibri"/>
                <w:color w:val="6B7570"/>
                <w:sz w:val="20"/>
                <w:szCs w:val="20"/>
              </w:rPr>
              <w:t xml:space="preserve">Status, notes, dates, or contact details</w:t>
            </w:r>
          </w:p>
        </w:tc>
      </w:tr>
      <w:tr>
        <w:trPr>
          <w:cantSplit/>
        </w:trPr>
        <w:tc>
          <w:tcPr>
            <w:tcW w:type="dxa" w:w="2700"/>
            <w:tcBorders>
              <w:top w:val="none" w:color="FFFFFF" w:sz="0"/>
              <w:left w:val="none" w:color="FFFFFF" w:sz="0"/>
              <w:bottom w:val="single" w:color="2F5D4C" w:sz="8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F2A26"/>
                <w:sz w:val="21"/>
                <w:szCs w:val="21"/>
              </w:rPr>
              <w:t xml:space="preserve">Priority items flagged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2F5D4C" w:sz="8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140"/>
            </w:tcMar>
            <w:vAlign w:val="center"/>
          </w:tcPr>
          <w:p>
            <w:pPr>
              <w:jc w:val="right"/>
            </w:pPr>
            <w:r>
              <w:rPr>
                <w:rFonts w:ascii="Georgia" w:cs="Georgia" w:eastAsia="Georgia" w:hAnsi="Georgia"/>
                <w:color w:val="2F5D4C"/>
                <w:sz w:val="32"/>
                <w:szCs w:val="32"/>
              </w:rPr>
              <w:t xml:space="preserve">11</w:t>
            </w:r>
          </w:p>
        </w:tc>
        <w:tc>
          <w:tcPr>
            <w:tcW w:type="dxa" w:w="5760"/>
            <w:tcBorders>
              <w:top w:val="none" w:color="FFFFFF" w:sz="0"/>
              <w:left w:val="none" w:color="FFFFFF" w:sz="0"/>
              <w:bottom w:val="single" w:color="2F5D4C" w:sz="8"/>
              <w:right w:val="none" w:color="FFFFFF" w:sz="0"/>
            </w:tcBorders>
            <w:tcMar>
              <w:top w:type="dxa" w:w="80"/>
              <w:left w:type="dxa" w:w="280"/>
              <w:bottom w:type="dxa" w:w="80"/>
              <w:right w:type="dxa" w:w="0"/>
            </w:tcMar>
            <w:vAlign w:val="center"/>
          </w:tcPr>
          <w:p>
            <w:r>
              <w:rPr>
                <w:rFonts w:ascii="Calibri" w:cs="Calibri" w:eastAsia="Calibri" w:hAnsi="Calibri"/>
                <w:color w:val="6B7570"/>
                <w:sz w:val="20"/>
                <w:szCs w:val="20"/>
              </w:rPr>
              <w:t xml:space="preserve">Time-sensitive proposals, client replies, or project actions</w:t>
            </w:r>
          </w:p>
        </w:tc>
      </w:tr>
    </w:tbl>
    <w:p>
      <w:pPr>
        <w:keepNext/>
        <w:pBdr>
          <w:bottom w:val="single" w:color="D5DAD6" w:sz="6"/>
        </w:pBdr>
        <w:spacing w:after="110" w:before="240"/>
      </w:pPr>
      <w:r>
        <w:rPr>
          <w:rFonts w:ascii="Georgia" w:cs="Georgia" w:eastAsia="Georgia" w:hAnsi="Georgia"/>
          <w:b/>
          <w:bCs/>
          <w:color w:val="2F5D4C"/>
          <w:sz w:val="26"/>
          <w:szCs w:val="26"/>
        </w:rPr>
        <w:t xml:space="preserve">Month-end review</w:t>
      </w:r>
    </w:p>
    <w:p>
      <w:pPr>
        <w:pStyle w:val="ListParagraph"/>
        <w:numPr>
          <w:ilvl w:val="0"/>
          <w:numId w:val="2"/>
        </w:numPr>
        <w:spacing w:after="50" w:line="252"/>
      </w:pPr>
      <w:r>
        <w:rPr>
          <w:rFonts w:ascii="Calibri" w:cs="Calibri" w:eastAsia="Calibri" w:hAnsi="Calibri"/>
          <w:color w:val="1F2A26"/>
          <w:sz w:val="21"/>
          <w:szCs w:val="21"/>
        </w:rPr>
        <w:t xml:space="preserve">Moved awarded projects into the active workflow and confirmed the next required action for each account.</w:t>
      </w:r>
    </w:p>
    <w:p>
      <w:pPr>
        <w:pStyle w:val="ListParagraph"/>
        <w:numPr>
          <w:ilvl w:val="0"/>
          <w:numId w:val="2"/>
        </w:numPr>
        <w:spacing w:after="50" w:line="252"/>
      </w:pPr>
      <w:r>
        <w:rPr>
          <w:rFonts w:ascii="Calibri" w:cs="Calibri" w:eastAsia="Calibri" w:hAnsi="Calibri"/>
          <w:color w:val="1F2A26"/>
          <w:sz w:val="21"/>
          <w:szCs w:val="21"/>
        </w:rPr>
        <w:t xml:space="preserve">Reviewed proposal-stage records and maintained follow-up dates for opportunities still awaiting a decision.</w:t>
      </w:r>
    </w:p>
    <w:p>
      <w:pPr>
        <w:pStyle w:val="ListParagraph"/>
        <w:numPr>
          <w:ilvl w:val="0"/>
          <w:numId w:val="2"/>
        </w:numPr>
        <w:spacing w:after="50" w:line="252"/>
      </w:pPr>
      <w:r>
        <w:rPr>
          <w:rFonts w:ascii="Calibri" w:cs="Calibri" w:eastAsia="Calibri" w:hAnsi="Calibri"/>
          <w:color w:val="1F2A26"/>
          <w:sz w:val="21"/>
          <w:szCs w:val="21"/>
        </w:rPr>
        <w:t xml:space="preserve">Updated closed project records so project status, notes, and values were complete and easy to reference.</w:t>
      </w:r>
    </w:p>
    <w:p>
      <w:pPr>
        <w:pStyle w:val="ListParagraph"/>
        <w:numPr>
          <w:ilvl w:val="0"/>
          <w:numId w:val="2"/>
        </w:numPr>
        <w:spacing w:after="50" w:line="252"/>
      </w:pPr>
      <w:r>
        <w:rPr>
          <w:rFonts w:ascii="Calibri" w:cs="Calibri" w:eastAsia="Calibri" w:hAnsi="Calibri"/>
          <w:color w:val="1F2A26"/>
          <w:sz w:val="21"/>
          <w:szCs w:val="21"/>
        </w:rPr>
        <w:t xml:space="preserve">Kept project records organized by stage to make open work, pending decisions, and completed projects easier to track.</w:t>
      </w:r>
    </w:p>
    <w:p>
      <w:pPr>
        <w:keepNext/>
        <w:pBdr>
          <w:bottom w:val="single" w:color="D5DAD6" w:sz="6"/>
        </w:pBdr>
        <w:spacing w:after="110" w:before="240"/>
      </w:pPr>
      <w:r>
        <w:rPr>
          <w:rFonts w:ascii="Georgia" w:cs="Georgia" w:eastAsia="Georgia" w:hAnsi="Georgia"/>
          <w:b/>
          <w:bCs/>
          <w:color w:val="2F5D4C"/>
          <w:sz w:val="26"/>
          <w:szCs w:val="26"/>
        </w:rPr>
        <w:t xml:space="preserve">Next-month priorities</w:t>
      </w:r>
    </w:p>
    <w:p>
      <w:pPr>
        <w:pStyle w:val="ListParagraph"/>
        <w:numPr>
          <w:ilvl w:val="0"/>
          <w:numId w:val="2"/>
        </w:numPr>
        <w:spacing w:after="50" w:line="252"/>
      </w:pPr>
      <w:r>
        <w:rPr>
          <w:rFonts w:ascii="Calibri" w:cs="Calibri" w:eastAsia="Calibri" w:hAnsi="Calibri"/>
          <w:color w:val="1F2A26"/>
          <w:sz w:val="21"/>
          <w:szCs w:val="21"/>
        </w:rPr>
        <w:t xml:space="preserve">Follow up on the eight pending items and document outcomes in the CRM.</w:t>
      </w:r>
    </w:p>
    <w:p>
      <w:pPr>
        <w:pStyle w:val="ListParagraph"/>
        <w:numPr>
          <w:ilvl w:val="0"/>
          <w:numId w:val="2"/>
        </w:numPr>
        <w:spacing w:after="50" w:line="252"/>
      </w:pPr>
      <w:r>
        <w:rPr>
          <w:rFonts w:ascii="Calibri" w:cs="Calibri" w:eastAsia="Calibri" w:hAnsi="Calibri"/>
          <w:color w:val="1F2A26"/>
          <w:sz w:val="21"/>
          <w:szCs w:val="21"/>
        </w:rPr>
        <w:t xml:space="preserve">Review bidding and proposal-stage projects first to prevent missed deadlines or stalled opportunities.</w:t>
      </w:r>
    </w:p>
    <w:p>
      <w:pPr>
        <w:pStyle w:val="ListParagraph"/>
        <w:numPr>
          <w:ilvl w:val="0"/>
          <w:numId w:val="2"/>
        </w:numPr>
        <w:spacing w:after="50" w:line="252"/>
      </w:pPr>
      <w:r>
        <w:rPr>
          <w:rFonts w:ascii="Calibri" w:cs="Calibri" w:eastAsia="Calibri" w:hAnsi="Calibri"/>
          <w:color w:val="1F2A26"/>
          <w:sz w:val="21"/>
          <w:szCs w:val="21"/>
        </w:rPr>
        <w:t xml:space="preserve">Confirm that newly awarded projects have complete contact details, scope notes, and scheduled next steps.</w:t>
      </w:r>
    </w:p>
    <w:p>
      <w:pPr>
        <w:pStyle w:val="ListParagraph"/>
        <w:numPr>
          <w:ilvl w:val="0"/>
          <w:numId w:val="2"/>
        </w:numPr>
        <w:spacing w:after="50" w:line="252"/>
      </w:pPr>
      <w:r>
        <w:rPr>
          <w:rFonts w:ascii="Calibri" w:cs="Calibri" w:eastAsia="Calibri" w:hAnsi="Calibri"/>
          <w:color w:val="1F2A26"/>
          <w:sz w:val="21"/>
          <w:szCs w:val="21"/>
        </w:rPr>
        <w:t xml:space="preserve">Continue closing out completed work promptly so active pipeline totals remain accurate.</w:t>
      </w:r>
    </w:p>
    <w:p>
      <w:pPr>
        <w:keepNext/>
        <w:pBdr>
          <w:bottom w:val="single" w:color="D5DAD6" w:sz="6"/>
        </w:pBdr>
        <w:spacing w:after="110" w:before="240"/>
      </w:pPr>
      <w:r>
        <w:rPr>
          <w:rFonts w:ascii="Georgia" w:cs="Georgia" w:eastAsia="Georgia" w:hAnsi="Georgia"/>
          <w:b/>
          <w:bCs/>
          <w:color w:val="2F5D4C"/>
          <w:sz w:val="26"/>
          <w:szCs w:val="26"/>
        </w:rPr>
        <w:t xml:space="preserve">Skills demonstrated</w:t>
      </w:r>
    </w:p>
    <w:p>
      <w:pPr>
        <w:spacing w:after="200" w:line="300"/>
      </w:pPr>
      <w:r>
        <w:rPr>
          <w:rFonts w:ascii="Calibri" w:cs="Calibri" w:eastAsia="Calibri" w:hAnsi="Calibri"/>
          <w:b/>
          <w:bCs/>
          <w:color w:val="2F5D4C"/>
          <w:sz w:val="21"/>
          <w:szCs w:val="21"/>
        </w:rPr>
        <w:t xml:space="preserve">CRM data management</w:t>
      </w:r>
      <w:r>
        <w:rPr>
          <w:rFonts w:ascii="Calibri" w:cs="Calibri" w:eastAsia="Calibri" w:hAnsi="Calibri"/>
          <w:color w:val="D5DAD6"/>
          <w:sz w:val="21"/>
          <w:szCs w:val="21"/>
        </w:rPr>
        <w:t xml:space="preserve">   /   </w:t>
      </w:r>
      <w:r>
        <w:rPr>
          <w:rFonts w:ascii="Calibri" w:cs="Calibri" w:eastAsia="Calibri" w:hAnsi="Calibri"/>
          <w:b/>
          <w:bCs/>
          <w:color w:val="2F5D4C"/>
          <w:sz w:val="21"/>
          <w:szCs w:val="21"/>
        </w:rPr>
        <w:t xml:space="preserve">Pipeline tracking</w:t>
      </w:r>
      <w:r>
        <w:rPr>
          <w:rFonts w:ascii="Calibri" w:cs="Calibri" w:eastAsia="Calibri" w:hAnsi="Calibri"/>
          <w:color w:val="D5DAD6"/>
          <w:sz w:val="21"/>
          <w:szCs w:val="21"/>
        </w:rPr>
        <w:t xml:space="preserve">   /   </w:t>
      </w:r>
      <w:r>
        <w:rPr>
          <w:rFonts w:ascii="Calibri" w:cs="Calibri" w:eastAsia="Calibri" w:hAnsi="Calibri"/>
          <w:b/>
          <w:bCs/>
          <w:color w:val="2F5D4C"/>
          <w:sz w:val="21"/>
          <w:szCs w:val="21"/>
        </w:rPr>
        <w:t xml:space="preserve">Project status updates</w:t>
      </w:r>
      <w:r>
        <w:rPr>
          <w:rFonts w:ascii="Calibri" w:cs="Calibri" w:eastAsia="Calibri" w:hAnsi="Calibri"/>
          <w:color w:val="D5DAD6"/>
          <w:sz w:val="21"/>
          <w:szCs w:val="21"/>
        </w:rPr>
        <w:t xml:space="preserve">   /   </w:t>
      </w:r>
      <w:r>
        <w:rPr>
          <w:rFonts w:ascii="Calibri" w:cs="Calibri" w:eastAsia="Calibri" w:hAnsi="Calibri"/>
          <w:b/>
          <w:bCs/>
          <w:color w:val="2F5D4C"/>
          <w:sz w:val="21"/>
          <w:szCs w:val="21"/>
        </w:rPr>
        <w:t xml:space="preserve">Follow-up coordination</w:t>
      </w:r>
      <w:r>
        <w:rPr>
          <w:rFonts w:ascii="Calibri" w:cs="Calibri" w:eastAsia="Calibri" w:hAnsi="Calibri"/>
          <w:color w:val="D5DAD6"/>
          <w:sz w:val="21"/>
          <w:szCs w:val="21"/>
        </w:rPr>
        <w:t xml:space="preserve">   /   </w:t>
      </w:r>
      <w:r>
        <w:rPr>
          <w:rFonts w:ascii="Calibri" w:cs="Calibri" w:eastAsia="Calibri" w:hAnsi="Calibri"/>
          <w:b/>
          <w:bCs/>
          <w:color w:val="2F5D4C"/>
          <w:sz w:val="21"/>
          <w:szCs w:val="21"/>
        </w:rPr>
        <w:t xml:space="preserve">Reporting</w:t>
      </w:r>
      <w:r>
        <w:rPr>
          <w:rFonts w:ascii="Calibri" w:cs="Calibri" w:eastAsia="Calibri" w:hAnsi="Calibri"/>
          <w:color w:val="D5DAD6"/>
          <w:sz w:val="21"/>
          <w:szCs w:val="21"/>
        </w:rPr>
        <w:t xml:space="preserve">   /   </w:t>
      </w:r>
      <w:r>
        <w:rPr>
          <w:rFonts w:ascii="Calibri" w:cs="Calibri" w:eastAsia="Calibri" w:hAnsi="Calibri"/>
          <w:b/>
          <w:bCs/>
          <w:color w:val="2F5D4C"/>
          <w:sz w:val="21"/>
          <w:szCs w:val="21"/>
        </w:rPr>
        <w:t xml:space="preserve">Record organization</w:t>
      </w:r>
      <w:r>
        <w:rPr>
          <w:rFonts w:ascii="Calibri" w:cs="Calibri" w:eastAsia="Calibri" w:hAnsi="Calibri"/>
          <w:color w:val="D5DAD6"/>
          <w:sz w:val="21"/>
          <w:szCs w:val="21"/>
        </w:rPr>
        <w:t xml:space="preserve">   /   </w:t>
      </w:r>
      <w:r>
        <w:rPr>
          <w:rFonts w:ascii="Calibri" w:cs="Calibri" w:eastAsia="Calibri" w:hAnsi="Calibri"/>
          <w:b/>
          <w:bCs/>
          <w:color w:val="2F5D4C"/>
          <w:sz w:val="21"/>
          <w:szCs w:val="21"/>
        </w:rPr>
        <w:t xml:space="preserve">Administrative support</w:t>
      </w:r>
    </w:p>
    <w:p>
      <w:pPr>
        <w:spacing w:before="120"/>
      </w:pPr>
      <w:r>
        <w:rPr>
          <w:rFonts w:ascii="Calibri" w:cs="Calibri" w:eastAsia="Calibri" w:hAnsi="Calibri"/>
          <w:i/>
          <w:iCs/>
          <w:color w:val="6B7570"/>
          <w:sz w:val="18"/>
          <w:szCs w:val="18"/>
        </w:rPr>
        <w:t xml:space="preserve">Prepared as a portfolio work sample to demonstrate real estate administrative and CRM support capability.</w:t>
      </w:r>
    </w:p>
    <w:sectPr>
      <w:headerReference w:type="default" r:id="rId7"/>
      <w:footerReference w:type="default" r:id="rId8"/>
      <w:pgSz w:w="12240" w:h="15840" w:orient="portrait"/>
      <w:pgMar w:top="1100" w:right="1440" w:bottom="1000" w:left="1440" w:header="560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5DAD6" w:sz="4"/>
      </w:pBdr>
      <w:spacing w:before="60"/>
      <w:jc w:val="left"/>
    </w:pPr>
    <w:r>
      <w:rPr>
        <w:rFonts w:ascii="Calibri" w:cs="Calibri" w:eastAsia="Calibri" w:hAnsi="Calibri"/>
        <w:color w:val="6B7570"/>
        <w:sz w:val="16"/>
        <w:szCs w:val="16"/>
      </w:rPr>
      <w:t xml:space="preserve">Sample report prepared for portfolio use • Fictional company and data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b/>
        <w:bCs/>
        <w:color w:val="6B7570"/>
        <w:spacing w:val="30"/>
        <w:sz w:val="15"/>
        <w:szCs w:val="15"/>
      </w:rPr>
      <w:t xml:space="preserve">PORTFOLIO WORK SAMPLE  |  REAL ESTATE OPERATIONS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360" w:hanging="280"/>
      </w:pPr>
      <w:rPr>
        <w:b/>
        <w:bCs/>
        <w:color w:val="2F5D4C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29b3b7203779addcf4e28e164f13fe5bce10f24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Real Estate CRM &amp; Project Pipeline – Monthly Performance Report</dc:title>
  <dc:creator>Princess Erika Mahinay</dc:creator>
  <cp:lastModifiedBy>Un-named</cp:lastModifiedBy>
  <cp:revision>1</cp:revision>
  <dcterms:created xsi:type="dcterms:W3CDTF">2026-10-07T10:46:33.901Z</dcterms:created>
  <dcterms:modified xsi:type="dcterms:W3CDTF">2026-10-07T10:46:33.901Z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