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CellSpacing w:w="0" w:type="dxa"/>
        <w:tblCellMar>
          <w:left w:w="0" w:type="dxa"/>
          <w:right w:w="0" w:type="dxa"/>
        </w:tblCellMar>
        <w:tblLook w:val="04A0" w:firstRow="1" w:lastRow="0" w:firstColumn="1" w:lastColumn="0" w:noHBand="0" w:noVBand="1"/>
      </w:tblPr>
      <w:tblGrid>
        <w:gridCol w:w="9343"/>
        <w:gridCol w:w="17"/>
      </w:tblGrid>
      <w:tr w:rsidR="004741BF" w:rsidRPr="00DD5F61" w:rsidTr="001B7556">
        <w:trPr>
          <w:trHeight w:val="330"/>
          <w:tblCellSpacing w:w="0" w:type="dxa"/>
        </w:trPr>
        <w:tc>
          <w:tcPr>
            <w:tcW w:w="0" w:type="auto"/>
            <w:gridSpan w:val="2"/>
            <w:vAlign w:val="bottom"/>
            <w:hideMark/>
          </w:tcPr>
          <w:p w:rsidR="004741BF" w:rsidRPr="00DD5F61" w:rsidRDefault="004741BF" w:rsidP="001B7556">
            <w:pPr>
              <w:jc w:val="right"/>
              <w:rPr>
                <w:rFonts w:ascii="Verdana" w:hAnsi="Verdana"/>
                <w:szCs w:val="16"/>
              </w:rPr>
            </w:pPr>
            <w:bookmarkStart w:id="0" w:name="h.4mf4dyhudi22" w:colFirst="0" w:colLast="0"/>
            <w:bookmarkEnd w:id="0"/>
            <w:proofErr w:type="spellStart"/>
            <w:r w:rsidRPr="00DD5F61">
              <w:rPr>
                <w:rFonts w:ascii="Verdana" w:hAnsi="Verdana"/>
                <w:b/>
                <w:bCs/>
              </w:rPr>
              <w:t>Assetline</w:t>
            </w:r>
            <w:proofErr w:type="spellEnd"/>
            <w:r w:rsidRPr="00DD5F61">
              <w:rPr>
                <w:rFonts w:ascii="Verdana" w:hAnsi="Verdana"/>
                <w:b/>
                <w:bCs/>
              </w:rPr>
              <w:t xml:space="preserve"> Leasing Company Limited</w:t>
            </w:r>
          </w:p>
        </w:tc>
      </w:tr>
      <w:tr w:rsidR="004741BF" w:rsidRPr="00DD5F61" w:rsidTr="001B7556">
        <w:trPr>
          <w:trHeight w:val="795"/>
          <w:tblCellSpacing w:w="0" w:type="dxa"/>
        </w:trPr>
        <w:tc>
          <w:tcPr>
            <w:tcW w:w="0" w:type="auto"/>
            <w:vAlign w:val="center"/>
            <w:hideMark/>
          </w:tcPr>
          <w:p w:rsidR="004741BF" w:rsidRPr="00DD5F61" w:rsidRDefault="004741BF" w:rsidP="001B7556">
            <w:pPr>
              <w:jc w:val="right"/>
              <w:rPr>
                <w:rFonts w:ascii="Verdana" w:hAnsi="Verdana"/>
                <w:szCs w:val="16"/>
              </w:rPr>
            </w:pPr>
            <w:r w:rsidRPr="00DD5F61">
              <w:rPr>
                <w:rFonts w:ascii="Verdana" w:hAnsi="Verdana"/>
                <w:szCs w:val="16"/>
              </w:rPr>
              <w:t xml:space="preserve">120, 120A, </w:t>
            </w:r>
            <w:proofErr w:type="spellStart"/>
            <w:r w:rsidRPr="00DD5F61">
              <w:rPr>
                <w:rFonts w:ascii="Verdana" w:hAnsi="Verdana"/>
                <w:szCs w:val="16"/>
              </w:rPr>
              <w:t>Pannipitiya</w:t>
            </w:r>
            <w:proofErr w:type="spellEnd"/>
            <w:r w:rsidRPr="00DD5F61">
              <w:rPr>
                <w:rFonts w:ascii="Verdana" w:hAnsi="Verdana"/>
                <w:szCs w:val="16"/>
              </w:rPr>
              <w:t xml:space="preserve"> Road</w:t>
            </w:r>
            <w:proofErr w:type="gramStart"/>
            <w:r w:rsidRPr="00DD5F61">
              <w:rPr>
                <w:rFonts w:ascii="Verdana" w:hAnsi="Verdana"/>
                <w:szCs w:val="16"/>
              </w:rPr>
              <w:t>,</w:t>
            </w:r>
            <w:proofErr w:type="gramEnd"/>
            <w:r w:rsidRPr="00DD5F61">
              <w:rPr>
                <w:rFonts w:ascii="Verdana" w:hAnsi="Verdana"/>
                <w:szCs w:val="16"/>
              </w:rPr>
              <w:br/>
            </w:r>
            <w:proofErr w:type="spellStart"/>
            <w:r w:rsidRPr="00DD5F61">
              <w:rPr>
                <w:rFonts w:ascii="Verdana" w:hAnsi="Verdana"/>
                <w:szCs w:val="16"/>
              </w:rPr>
              <w:t>Battaramulla</w:t>
            </w:r>
            <w:proofErr w:type="spellEnd"/>
            <w:r w:rsidRPr="00DD5F61">
              <w:rPr>
                <w:rFonts w:ascii="Verdana" w:hAnsi="Verdana"/>
                <w:szCs w:val="16"/>
              </w:rPr>
              <w:t>,</w:t>
            </w:r>
            <w:r w:rsidRPr="00DD5F61">
              <w:rPr>
                <w:rFonts w:ascii="Verdana" w:hAnsi="Verdana"/>
                <w:szCs w:val="16"/>
              </w:rPr>
              <w:br/>
              <w:t>Sri Lanka .</w:t>
            </w:r>
          </w:p>
        </w:tc>
        <w:tc>
          <w:tcPr>
            <w:tcW w:w="0" w:type="auto"/>
            <w:vAlign w:val="center"/>
            <w:hideMark/>
          </w:tcPr>
          <w:p w:rsidR="004741BF" w:rsidRPr="00DD5F61" w:rsidRDefault="004741BF" w:rsidP="001B7556">
            <w:pPr>
              <w:rPr>
                <w:rFonts w:ascii="Verdana" w:hAnsi="Verdana"/>
                <w:sz w:val="20"/>
                <w:szCs w:val="20"/>
              </w:rPr>
            </w:pPr>
          </w:p>
        </w:tc>
      </w:tr>
    </w:tbl>
    <w:p w:rsidR="004741BF" w:rsidRPr="00DD5F61" w:rsidRDefault="004741BF" w:rsidP="004741BF">
      <w:pPr>
        <w:jc w:val="right"/>
        <w:rPr>
          <w:rFonts w:ascii="Verdana" w:hAnsi="Verdana"/>
        </w:rPr>
      </w:pPr>
    </w:p>
    <w:p w:rsidR="004741BF" w:rsidRPr="00DD5F61" w:rsidRDefault="004741BF" w:rsidP="004741BF">
      <w:pPr>
        <w:jc w:val="both"/>
        <w:rPr>
          <w:rFonts w:ascii="Verdana" w:hAnsi="Verdana"/>
        </w:rPr>
      </w:pPr>
    </w:p>
    <w:p w:rsidR="004741BF" w:rsidRPr="00DD5F61" w:rsidRDefault="004741BF" w:rsidP="004741BF">
      <w:pPr>
        <w:jc w:val="both"/>
        <w:rPr>
          <w:rFonts w:ascii="Verdana" w:hAnsi="Verdana"/>
        </w:rPr>
      </w:pPr>
      <w:r w:rsidRPr="00DD5F61">
        <w:rPr>
          <w:rFonts w:ascii="Verdana" w:hAnsi="Verdana"/>
          <w:noProof/>
        </w:rPr>
        <w:drawing>
          <wp:inline distT="0" distB="0" distL="0" distR="0" wp14:anchorId="78643EBC" wp14:editId="38C7B379">
            <wp:extent cx="1647825" cy="781050"/>
            <wp:effectExtent l="0" t="0" r="9525" b="0"/>
            <wp:docPr id="5" name="Picture 5" descr="m4-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4-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781050"/>
                    </a:xfrm>
                    <a:prstGeom prst="rect">
                      <a:avLst/>
                    </a:prstGeom>
                    <a:noFill/>
                    <a:ln>
                      <a:noFill/>
                    </a:ln>
                  </pic:spPr>
                </pic:pic>
              </a:graphicData>
            </a:graphic>
          </wp:inline>
        </w:drawing>
      </w:r>
    </w:p>
    <w:p w:rsidR="004741BF" w:rsidRPr="00DD5F61" w:rsidRDefault="004741BF" w:rsidP="004741BF">
      <w:pPr>
        <w:jc w:val="center"/>
        <w:rPr>
          <w:rFonts w:ascii="Verdana" w:hAnsi="Verdana"/>
        </w:rPr>
      </w:pPr>
      <w:r w:rsidRPr="00DD5F61">
        <w:rPr>
          <w:rFonts w:ascii="Verdana" w:hAnsi="Verdana"/>
          <w:b/>
          <w:bCs/>
          <w:sz w:val="40"/>
          <w:szCs w:val="40"/>
        </w:rPr>
        <w:t>Micro Finance Business Proposal</w:t>
      </w:r>
    </w:p>
    <w:p w:rsidR="004741BF" w:rsidRPr="00DD5F61" w:rsidRDefault="004741BF" w:rsidP="004741BF">
      <w:pPr>
        <w:jc w:val="both"/>
        <w:rPr>
          <w:rFonts w:ascii="Verdana" w:hAnsi="Verdana"/>
        </w:rPr>
      </w:pPr>
    </w:p>
    <w:p w:rsidR="004741BF" w:rsidRPr="00DD5F61" w:rsidRDefault="004741BF" w:rsidP="004741BF">
      <w:pPr>
        <w:jc w:val="both"/>
        <w:rPr>
          <w:rFonts w:ascii="Verdana" w:hAnsi="Verdana"/>
        </w:rPr>
      </w:pPr>
    </w:p>
    <w:p w:rsidR="004741BF" w:rsidRPr="00DD5F61" w:rsidRDefault="004741BF" w:rsidP="004741BF">
      <w:pPr>
        <w:jc w:val="both"/>
        <w:rPr>
          <w:rFonts w:ascii="Verdana" w:hAnsi="Verdana"/>
        </w:rPr>
      </w:pPr>
    </w:p>
    <w:p w:rsidR="004741BF" w:rsidRPr="00DD5F61" w:rsidRDefault="004741BF" w:rsidP="004741BF">
      <w:pPr>
        <w:jc w:val="both"/>
        <w:rPr>
          <w:rFonts w:ascii="Verdana" w:hAnsi="Verdana"/>
        </w:rPr>
      </w:pPr>
    </w:p>
    <w:p w:rsidR="004741BF" w:rsidRPr="00DD5F61" w:rsidRDefault="004741BF" w:rsidP="004741BF">
      <w:pPr>
        <w:spacing w:line="480" w:lineRule="auto"/>
        <w:jc w:val="both"/>
        <w:rPr>
          <w:rFonts w:ascii="Verdana" w:hAnsi="Verdana"/>
        </w:rPr>
      </w:pPr>
      <w:proofErr w:type="gramStart"/>
      <w:r w:rsidRPr="00DD5F61">
        <w:rPr>
          <w:rFonts w:ascii="Verdana" w:hAnsi="Verdana"/>
          <w:b/>
          <w:bCs/>
        </w:rPr>
        <w:t>Prepared For:</w:t>
      </w:r>
      <w:r w:rsidRPr="00DD5F61">
        <w:rPr>
          <w:rFonts w:ascii="Verdana" w:hAnsi="Verdana"/>
        </w:rPr>
        <w:t xml:space="preserve"> </w:t>
      </w:r>
      <w:proofErr w:type="spellStart"/>
      <w:r w:rsidRPr="00DD5F61">
        <w:rPr>
          <w:rFonts w:ascii="Verdana" w:hAnsi="Verdana"/>
        </w:rPr>
        <w:t>AssetLine</w:t>
      </w:r>
      <w:proofErr w:type="spellEnd"/>
      <w:r w:rsidRPr="00DD5F61">
        <w:rPr>
          <w:rFonts w:ascii="Verdana" w:hAnsi="Verdana"/>
        </w:rPr>
        <w:t xml:space="preserve"> Leasing Company Ltd.</w:t>
      </w:r>
      <w:proofErr w:type="gramEnd"/>
    </w:p>
    <w:p w:rsidR="004741BF" w:rsidRPr="00DD5F61" w:rsidRDefault="004741BF" w:rsidP="004741BF">
      <w:pPr>
        <w:spacing w:line="480" w:lineRule="auto"/>
        <w:jc w:val="both"/>
        <w:rPr>
          <w:rFonts w:ascii="Verdana" w:hAnsi="Verdana"/>
        </w:rPr>
      </w:pPr>
    </w:p>
    <w:p w:rsidR="004741BF" w:rsidRPr="00DD5F61" w:rsidRDefault="004741BF" w:rsidP="004741BF">
      <w:pPr>
        <w:spacing w:line="480" w:lineRule="auto"/>
        <w:jc w:val="both"/>
        <w:rPr>
          <w:rFonts w:ascii="Verdana" w:hAnsi="Verdana"/>
        </w:rPr>
      </w:pPr>
      <w:proofErr w:type="gramStart"/>
      <w:r w:rsidRPr="00DD5F61">
        <w:rPr>
          <w:rFonts w:ascii="Verdana" w:hAnsi="Verdana"/>
          <w:b/>
          <w:bCs/>
        </w:rPr>
        <w:t>Prepared By:</w:t>
      </w:r>
      <w:r w:rsidRPr="00DD5F61">
        <w:rPr>
          <w:rFonts w:ascii="Verdana" w:hAnsi="Verdana"/>
        </w:rPr>
        <w:t xml:space="preserve"> Modular4 Solutions (Pvt) Ltd.</w:t>
      </w:r>
      <w:proofErr w:type="gramEnd"/>
    </w:p>
    <w:p w:rsidR="004741BF" w:rsidRPr="00DD5F61" w:rsidRDefault="004741BF" w:rsidP="004741BF">
      <w:pPr>
        <w:jc w:val="both"/>
        <w:rPr>
          <w:rFonts w:ascii="Verdana" w:hAnsi="Verdana"/>
        </w:rPr>
      </w:pPr>
    </w:p>
    <w:p w:rsidR="004741BF" w:rsidRPr="00DD5F61" w:rsidRDefault="004741BF">
      <w:pPr>
        <w:pStyle w:val="Heading1"/>
        <w:contextualSpacing w:val="0"/>
        <w:rPr>
          <w:rFonts w:ascii="Verdana" w:hAnsi="Verdana"/>
          <w:b/>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4741BF" w:rsidRPr="00DD5F61" w:rsidRDefault="004741BF" w:rsidP="004741BF">
      <w:pPr>
        <w:rPr>
          <w:rFonts w:ascii="Verdana" w:hAnsi="Verdana"/>
        </w:rPr>
      </w:pPr>
    </w:p>
    <w:p w:rsidR="00DD5F61" w:rsidRPr="00DD5F61" w:rsidRDefault="00DD5F61" w:rsidP="00B83122">
      <w:pPr>
        <w:pStyle w:val="Heading1"/>
        <w:spacing w:line="600" w:lineRule="auto"/>
        <w:jc w:val="both"/>
        <w:rPr>
          <w:rFonts w:ascii="Verdana" w:hAnsi="Verdana"/>
        </w:rPr>
      </w:pPr>
      <w:bookmarkStart w:id="1" w:name="_Toc434256951"/>
      <w:r w:rsidRPr="00DD5F61">
        <w:rPr>
          <w:rFonts w:ascii="Verdana" w:hAnsi="Verdana"/>
        </w:rPr>
        <w:lastRenderedPageBreak/>
        <w:t>Table of Contents</w:t>
      </w:r>
      <w:bookmarkEnd w:id="1"/>
    </w:p>
    <w:p w:rsidR="00B83122" w:rsidRDefault="00DD5F61">
      <w:pPr>
        <w:pStyle w:val="TOC1"/>
        <w:rPr>
          <w:rFonts w:asciiTheme="minorHAnsi" w:eastAsiaTheme="minorEastAsia" w:hAnsiTheme="minorHAnsi" w:cstheme="minorBidi"/>
          <w:noProof/>
          <w:sz w:val="22"/>
          <w:szCs w:val="22"/>
        </w:rPr>
      </w:pPr>
      <w:r w:rsidRPr="00DD5F61">
        <w:rPr>
          <w:rFonts w:ascii="Verdana" w:hAnsi="Verdana"/>
        </w:rPr>
        <w:fldChar w:fldCharType="begin"/>
      </w:r>
      <w:r w:rsidRPr="00DD5F61">
        <w:rPr>
          <w:rFonts w:ascii="Verdana" w:hAnsi="Verdana"/>
        </w:rPr>
        <w:instrText xml:space="preserve"> TOC \o "1-3" \h \z \u </w:instrText>
      </w:r>
      <w:r w:rsidRPr="00DD5F61">
        <w:rPr>
          <w:rFonts w:ascii="Verdana" w:hAnsi="Verdana"/>
        </w:rPr>
        <w:fldChar w:fldCharType="separate"/>
      </w:r>
      <w:hyperlink w:anchor="_Toc434256951" w:history="1">
        <w:r w:rsidR="00B83122" w:rsidRPr="009E7CCF">
          <w:rPr>
            <w:rStyle w:val="Hyperlink"/>
            <w:rFonts w:ascii="Verdana" w:hAnsi="Verdana"/>
            <w:noProof/>
          </w:rPr>
          <w:t>Table of Contents</w:t>
        </w:r>
        <w:r w:rsidR="00B83122">
          <w:rPr>
            <w:noProof/>
            <w:webHidden/>
          </w:rPr>
          <w:tab/>
        </w:r>
        <w:r w:rsidR="00B83122">
          <w:rPr>
            <w:noProof/>
            <w:webHidden/>
          </w:rPr>
          <w:fldChar w:fldCharType="begin"/>
        </w:r>
        <w:r w:rsidR="00B83122">
          <w:rPr>
            <w:noProof/>
            <w:webHidden/>
          </w:rPr>
          <w:instrText xml:space="preserve"> PAGEREF _Toc434256951 \h </w:instrText>
        </w:r>
        <w:r w:rsidR="00B83122">
          <w:rPr>
            <w:noProof/>
            <w:webHidden/>
          </w:rPr>
        </w:r>
        <w:r w:rsidR="00B83122">
          <w:rPr>
            <w:noProof/>
            <w:webHidden/>
          </w:rPr>
          <w:fldChar w:fldCharType="separate"/>
        </w:r>
        <w:r w:rsidR="002E4F04">
          <w:rPr>
            <w:noProof/>
            <w:webHidden/>
          </w:rPr>
          <w:t>2</w:t>
        </w:r>
        <w:r w:rsidR="00B83122">
          <w:rPr>
            <w:noProof/>
            <w:webHidden/>
          </w:rPr>
          <w:fldChar w:fldCharType="end"/>
        </w:r>
      </w:hyperlink>
    </w:p>
    <w:p w:rsidR="00B83122" w:rsidRDefault="00DE74CE">
      <w:pPr>
        <w:pStyle w:val="TOC1"/>
        <w:rPr>
          <w:rFonts w:asciiTheme="minorHAnsi" w:eastAsiaTheme="minorEastAsia" w:hAnsiTheme="minorHAnsi" w:cstheme="minorBidi"/>
          <w:noProof/>
          <w:sz w:val="22"/>
          <w:szCs w:val="22"/>
        </w:rPr>
      </w:pPr>
      <w:hyperlink w:anchor="_Toc434256952" w:history="1">
        <w:r w:rsidR="00B83122" w:rsidRPr="009E7CCF">
          <w:rPr>
            <w:rStyle w:val="Hyperlink"/>
            <w:rFonts w:ascii="Verdana" w:hAnsi="Verdana"/>
            <w:noProof/>
          </w:rPr>
          <w:t>Executive Summary</w:t>
        </w:r>
        <w:r w:rsidR="00B83122">
          <w:rPr>
            <w:noProof/>
            <w:webHidden/>
          </w:rPr>
          <w:tab/>
        </w:r>
        <w:r w:rsidR="00B83122">
          <w:rPr>
            <w:noProof/>
            <w:webHidden/>
          </w:rPr>
          <w:fldChar w:fldCharType="begin"/>
        </w:r>
        <w:r w:rsidR="00B83122">
          <w:rPr>
            <w:noProof/>
            <w:webHidden/>
          </w:rPr>
          <w:instrText xml:space="preserve"> PAGEREF _Toc434256952 \h </w:instrText>
        </w:r>
        <w:r w:rsidR="00B83122">
          <w:rPr>
            <w:noProof/>
            <w:webHidden/>
          </w:rPr>
        </w:r>
        <w:r w:rsidR="00B83122">
          <w:rPr>
            <w:noProof/>
            <w:webHidden/>
          </w:rPr>
          <w:fldChar w:fldCharType="separate"/>
        </w:r>
        <w:r w:rsidR="002E4F04">
          <w:rPr>
            <w:noProof/>
            <w:webHidden/>
          </w:rPr>
          <w:t>3</w:t>
        </w:r>
        <w:r w:rsidR="00B83122">
          <w:rPr>
            <w:noProof/>
            <w:webHidden/>
          </w:rPr>
          <w:fldChar w:fldCharType="end"/>
        </w:r>
      </w:hyperlink>
    </w:p>
    <w:p w:rsidR="00B83122" w:rsidRDefault="00DE74CE">
      <w:pPr>
        <w:pStyle w:val="TOC1"/>
        <w:rPr>
          <w:rFonts w:asciiTheme="minorHAnsi" w:eastAsiaTheme="minorEastAsia" w:hAnsiTheme="minorHAnsi" w:cstheme="minorBidi"/>
          <w:noProof/>
          <w:sz w:val="22"/>
          <w:szCs w:val="22"/>
        </w:rPr>
      </w:pPr>
      <w:hyperlink w:anchor="_Toc434256953" w:history="1">
        <w:r w:rsidR="00B83122" w:rsidRPr="009E7CCF">
          <w:rPr>
            <w:rStyle w:val="Hyperlink"/>
            <w:rFonts w:ascii="Verdana" w:hAnsi="Verdana"/>
            <w:noProof/>
          </w:rPr>
          <w:t>About Microfinance in Sri Lanka</w:t>
        </w:r>
        <w:r w:rsidR="00B83122">
          <w:rPr>
            <w:noProof/>
            <w:webHidden/>
          </w:rPr>
          <w:tab/>
        </w:r>
        <w:r w:rsidR="00B83122">
          <w:rPr>
            <w:noProof/>
            <w:webHidden/>
          </w:rPr>
          <w:fldChar w:fldCharType="begin"/>
        </w:r>
        <w:r w:rsidR="00B83122">
          <w:rPr>
            <w:noProof/>
            <w:webHidden/>
          </w:rPr>
          <w:instrText xml:space="preserve"> PAGEREF _Toc434256953 \h </w:instrText>
        </w:r>
        <w:r w:rsidR="00B83122">
          <w:rPr>
            <w:noProof/>
            <w:webHidden/>
          </w:rPr>
        </w:r>
        <w:r w:rsidR="00B83122">
          <w:rPr>
            <w:noProof/>
            <w:webHidden/>
          </w:rPr>
          <w:fldChar w:fldCharType="separate"/>
        </w:r>
        <w:r w:rsidR="002E4F04">
          <w:rPr>
            <w:noProof/>
            <w:webHidden/>
          </w:rPr>
          <w:t>3</w:t>
        </w:r>
        <w:r w:rsidR="00B83122">
          <w:rPr>
            <w:noProof/>
            <w:webHidden/>
          </w:rPr>
          <w:fldChar w:fldCharType="end"/>
        </w:r>
      </w:hyperlink>
    </w:p>
    <w:p w:rsidR="00B83122" w:rsidRDefault="00DE74CE">
      <w:pPr>
        <w:pStyle w:val="TOC1"/>
        <w:rPr>
          <w:rFonts w:asciiTheme="minorHAnsi" w:eastAsiaTheme="minorEastAsia" w:hAnsiTheme="minorHAnsi" w:cstheme="minorBidi"/>
          <w:noProof/>
          <w:sz w:val="22"/>
          <w:szCs w:val="22"/>
        </w:rPr>
      </w:pPr>
      <w:hyperlink w:anchor="_Toc434256954" w:history="1">
        <w:r w:rsidR="00B83122" w:rsidRPr="009E7CCF">
          <w:rPr>
            <w:rStyle w:val="Hyperlink"/>
            <w:rFonts w:ascii="Verdana" w:hAnsi="Verdana"/>
            <w:noProof/>
          </w:rPr>
          <w:t>Microfinance providers in Sri Lanka</w:t>
        </w:r>
        <w:r w:rsidR="00B83122">
          <w:rPr>
            <w:noProof/>
            <w:webHidden/>
          </w:rPr>
          <w:tab/>
        </w:r>
        <w:r w:rsidR="00B83122">
          <w:rPr>
            <w:noProof/>
            <w:webHidden/>
          </w:rPr>
          <w:fldChar w:fldCharType="begin"/>
        </w:r>
        <w:r w:rsidR="00B83122">
          <w:rPr>
            <w:noProof/>
            <w:webHidden/>
          </w:rPr>
          <w:instrText xml:space="preserve"> PAGEREF _Toc434256954 \h </w:instrText>
        </w:r>
        <w:r w:rsidR="00B83122">
          <w:rPr>
            <w:noProof/>
            <w:webHidden/>
          </w:rPr>
        </w:r>
        <w:r w:rsidR="00B83122">
          <w:rPr>
            <w:noProof/>
            <w:webHidden/>
          </w:rPr>
          <w:fldChar w:fldCharType="separate"/>
        </w:r>
        <w:r w:rsidR="002E4F04">
          <w:rPr>
            <w:noProof/>
            <w:webHidden/>
          </w:rPr>
          <w:t>4</w:t>
        </w:r>
        <w:r w:rsidR="00B83122">
          <w:rPr>
            <w:noProof/>
            <w:webHidden/>
          </w:rPr>
          <w:fldChar w:fldCharType="end"/>
        </w:r>
      </w:hyperlink>
    </w:p>
    <w:p w:rsidR="00B83122" w:rsidRDefault="00DE74CE">
      <w:pPr>
        <w:pStyle w:val="TOC2"/>
        <w:rPr>
          <w:rFonts w:asciiTheme="minorHAnsi" w:eastAsiaTheme="minorEastAsia" w:hAnsiTheme="minorHAnsi" w:cstheme="minorBidi"/>
          <w:color w:val="auto"/>
          <w:sz w:val="22"/>
        </w:rPr>
      </w:pPr>
      <w:hyperlink w:anchor="_Toc434256955" w:history="1">
        <w:r w:rsidR="00B83122" w:rsidRPr="009E7CCF">
          <w:rPr>
            <w:rStyle w:val="Hyperlink"/>
          </w:rPr>
          <w:t>Network of microfinance outlets</w:t>
        </w:r>
        <w:r w:rsidR="00980706">
          <w:rPr>
            <w:webHidden/>
          </w:rPr>
          <w:t>……………………………………………………………..</w:t>
        </w:r>
        <w:r w:rsidR="00B83122">
          <w:rPr>
            <w:webHidden/>
          </w:rPr>
          <w:fldChar w:fldCharType="begin"/>
        </w:r>
        <w:r w:rsidR="00B83122">
          <w:rPr>
            <w:webHidden/>
          </w:rPr>
          <w:instrText xml:space="preserve"> PAGEREF _Toc434256955 \h </w:instrText>
        </w:r>
        <w:r w:rsidR="00B83122">
          <w:rPr>
            <w:webHidden/>
          </w:rPr>
        </w:r>
        <w:r w:rsidR="00B83122">
          <w:rPr>
            <w:webHidden/>
          </w:rPr>
          <w:fldChar w:fldCharType="separate"/>
        </w:r>
        <w:r w:rsidR="002E4F04">
          <w:rPr>
            <w:webHidden/>
          </w:rPr>
          <w:t>4</w:t>
        </w:r>
        <w:r w:rsidR="00B83122">
          <w:rPr>
            <w:webHidden/>
          </w:rPr>
          <w:fldChar w:fldCharType="end"/>
        </w:r>
      </w:hyperlink>
    </w:p>
    <w:p w:rsidR="00B83122" w:rsidRDefault="00DE74CE">
      <w:pPr>
        <w:pStyle w:val="TOC1"/>
        <w:rPr>
          <w:rFonts w:asciiTheme="minorHAnsi" w:eastAsiaTheme="minorEastAsia" w:hAnsiTheme="minorHAnsi" w:cstheme="minorBidi"/>
          <w:noProof/>
          <w:sz w:val="22"/>
          <w:szCs w:val="22"/>
        </w:rPr>
      </w:pPr>
      <w:hyperlink w:anchor="_Toc434256956" w:history="1">
        <w:r w:rsidR="00B83122" w:rsidRPr="009E7CCF">
          <w:rPr>
            <w:rStyle w:val="Hyperlink"/>
            <w:rFonts w:ascii="Verdana" w:hAnsi="Verdana"/>
            <w:noProof/>
          </w:rPr>
          <w:t>Challenges And Opportunities In The Microfinance Sector</w:t>
        </w:r>
        <w:r w:rsidR="00980706">
          <w:rPr>
            <w:noProof/>
            <w:webHidden/>
          </w:rPr>
          <w:t>…………………</w:t>
        </w:r>
        <w:r w:rsidR="00B83122">
          <w:rPr>
            <w:noProof/>
            <w:webHidden/>
          </w:rPr>
          <w:fldChar w:fldCharType="begin"/>
        </w:r>
        <w:r w:rsidR="00B83122">
          <w:rPr>
            <w:noProof/>
            <w:webHidden/>
          </w:rPr>
          <w:instrText xml:space="preserve"> PAGEREF _Toc434256956 \h </w:instrText>
        </w:r>
        <w:r w:rsidR="00B83122">
          <w:rPr>
            <w:noProof/>
            <w:webHidden/>
          </w:rPr>
        </w:r>
        <w:r w:rsidR="00B83122">
          <w:rPr>
            <w:noProof/>
            <w:webHidden/>
          </w:rPr>
          <w:fldChar w:fldCharType="separate"/>
        </w:r>
        <w:r w:rsidR="002E4F04">
          <w:rPr>
            <w:noProof/>
            <w:webHidden/>
          </w:rPr>
          <w:t>7</w:t>
        </w:r>
        <w:r w:rsidR="00B83122">
          <w:rPr>
            <w:noProof/>
            <w:webHidden/>
          </w:rPr>
          <w:fldChar w:fldCharType="end"/>
        </w:r>
      </w:hyperlink>
    </w:p>
    <w:p w:rsidR="00B83122" w:rsidRDefault="00DE74CE">
      <w:pPr>
        <w:pStyle w:val="TOC2"/>
        <w:rPr>
          <w:rFonts w:asciiTheme="minorHAnsi" w:eastAsiaTheme="minorEastAsia" w:hAnsiTheme="minorHAnsi" w:cstheme="minorBidi"/>
          <w:color w:val="auto"/>
          <w:sz w:val="22"/>
        </w:rPr>
      </w:pPr>
      <w:hyperlink w:anchor="_Toc434256957" w:history="1">
        <w:r w:rsidR="00B83122" w:rsidRPr="009E7CCF">
          <w:rPr>
            <w:rStyle w:val="Hyperlink"/>
          </w:rPr>
          <w:t>Macro Level</w:t>
        </w:r>
        <w:r w:rsidR="00980706">
          <w:rPr>
            <w:webHidden/>
          </w:rPr>
          <w:t>……………………………………………………………………………………………….</w:t>
        </w:r>
        <w:r w:rsidR="00B83122">
          <w:rPr>
            <w:webHidden/>
          </w:rPr>
          <w:fldChar w:fldCharType="begin"/>
        </w:r>
        <w:r w:rsidR="00B83122">
          <w:rPr>
            <w:webHidden/>
          </w:rPr>
          <w:instrText xml:space="preserve"> PAGEREF _Toc434256957 \h </w:instrText>
        </w:r>
        <w:r w:rsidR="00B83122">
          <w:rPr>
            <w:webHidden/>
          </w:rPr>
        </w:r>
        <w:r w:rsidR="00B83122">
          <w:rPr>
            <w:webHidden/>
          </w:rPr>
          <w:fldChar w:fldCharType="separate"/>
        </w:r>
        <w:r w:rsidR="002E4F04">
          <w:rPr>
            <w:webHidden/>
          </w:rPr>
          <w:t>7</w:t>
        </w:r>
        <w:r w:rsidR="00B83122">
          <w:rPr>
            <w:webHidden/>
          </w:rPr>
          <w:fldChar w:fldCharType="end"/>
        </w:r>
      </w:hyperlink>
    </w:p>
    <w:p w:rsidR="00B83122" w:rsidRDefault="00DE74CE">
      <w:pPr>
        <w:pStyle w:val="TOC2"/>
        <w:rPr>
          <w:rFonts w:asciiTheme="minorHAnsi" w:eastAsiaTheme="minorEastAsia" w:hAnsiTheme="minorHAnsi" w:cstheme="minorBidi"/>
          <w:color w:val="auto"/>
          <w:sz w:val="22"/>
        </w:rPr>
      </w:pPr>
      <w:hyperlink w:anchor="_Toc434256958" w:history="1">
        <w:r w:rsidR="00B83122" w:rsidRPr="009E7CCF">
          <w:rPr>
            <w:rStyle w:val="Hyperlink"/>
          </w:rPr>
          <w:t>Meson Level</w:t>
        </w:r>
        <w:r w:rsidR="00980706">
          <w:rPr>
            <w:webHidden/>
          </w:rPr>
          <w:t>………………………………………………………………………………………………</w:t>
        </w:r>
        <w:r w:rsidR="00B83122">
          <w:rPr>
            <w:webHidden/>
          </w:rPr>
          <w:fldChar w:fldCharType="begin"/>
        </w:r>
        <w:r w:rsidR="00B83122">
          <w:rPr>
            <w:webHidden/>
          </w:rPr>
          <w:instrText xml:space="preserve"> PAGEREF _Toc434256958 \h </w:instrText>
        </w:r>
        <w:r w:rsidR="00B83122">
          <w:rPr>
            <w:webHidden/>
          </w:rPr>
        </w:r>
        <w:r w:rsidR="00B83122">
          <w:rPr>
            <w:webHidden/>
          </w:rPr>
          <w:fldChar w:fldCharType="separate"/>
        </w:r>
        <w:r w:rsidR="002E4F04">
          <w:rPr>
            <w:webHidden/>
          </w:rPr>
          <w:t>8</w:t>
        </w:r>
        <w:r w:rsidR="00B83122">
          <w:rPr>
            <w:webHidden/>
          </w:rPr>
          <w:fldChar w:fldCharType="end"/>
        </w:r>
      </w:hyperlink>
    </w:p>
    <w:p w:rsidR="00B83122" w:rsidRDefault="00DE74CE">
      <w:pPr>
        <w:pStyle w:val="TOC2"/>
        <w:rPr>
          <w:rFonts w:asciiTheme="minorHAnsi" w:eastAsiaTheme="minorEastAsia" w:hAnsiTheme="minorHAnsi" w:cstheme="minorBidi"/>
          <w:color w:val="auto"/>
          <w:sz w:val="22"/>
        </w:rPr>
      </w:pPr>
      <w:hyperlink w:anchor="_Toc434256959" w:history="1">
        <w:r w:rsidR="00B83122" w:rsidRPr="009E7CCF">
          <w:rPr>
            <w:rStyle w:val="Hyperlink"/>
          </w:rPr>
          <w:t>Micro Level</w:t>
        </w:r>
        <w:r w:rsidR="00980706">
          <w:rPr>
            <w:webHidden/>
          </w:rPr>
          <w:t>………………………………………………………………………………………………..</w:t>
        </w:r>
        <w:r w:rsidR="00B83122">
          <w:rPr>
            <w:webHidden/>
          </w:rPr>
          <w:fldChar w:fldCharType="begin"/>
        </w:r>
        <w:r w:rsidR="00B83122">
          <w:rPr>
            <w:webHidden/>
          </w:rPr>
          <w:instrText xml:space="preserve"> PAGEREF _Toc434256959 \h </w:instrText>
        </w:r>
        <w:r w:rsidR="00B83122">
          <w:rPr>
            <w:webHidden/>
          </w:rPr>
        </w:r>
        <w:r w:rsidR="00B83122">
          <w:rPr>
            <w:webHidden/>
          </w:rPr>
          <w:fldChar w:fldCharType="separate"/>
        </w:r>
        <w:r w:rsidR="002E4F04">
          <w:rPr>
            <w:webHidden/>
          </w:rPr>
          <w:t>8</w:t>
        </w:r>
        <w:r w:rsidR="00B83122">
          <w:rPr>
            <w:webHidden/>
          </w:rPr>
          <w:fldChar w:fldCharType="end"/>
        </w:r>
      </w:hyperlink>
    </w:p>
    <w:p w:rsidR="00B83122" w:rsidRDefault="00DE74CE">
      <w:pPr>
        <w:pStyle w:val="TOC2"/>
        <w:rPr>
          <w:rFonts w:asciiTheme="minorHAnsi" w:eastAsiaTheme="minorEastAsia" w:hAnsiTheme="minorHAnsi" w:cstheme="minorBidi"/>
          <w:color w:val="auto"/>
          <w:sz w:val="22"/>
        </w:rPr>
      </w:pPr>
      <w:hyperlink w:anchor="_Toc434256960" w:history="1">
        <w:r w:rsidR="00B83122" w:rsidRPr="009E7CCF">
          <w:rPr>
            <w:rStyle w:val="Hyperlink"/>
          </w:rPr>
          <w:t>Opportunities</w:t>
        </w:r>
        <w:r w:rsidR="00980706">
          <w:rPr>
            <w:webHidden/>
          </w:rPr>
          <w:t>…………………………………………………………………………………………..</w:t>
        </w:r>
        <w:r w:rsidR="00B83122">
          <w:rPr>
            <w:webHidden/>
          </w:rPr>
          <w:fldChar w:fldCharType="begin"/>
        </w:r>
        <w:r w:rsidR="00B83122">
          <w:rPr>
            <w:webHidden/>
          </w:rPr>
          <w:instrText xml:space="preserve"> PAGEREF _Toc434256960 \h </w:instrText>
        </w:r>
        <w:r w:rsidR="00B83122">
          <w:rPr>
            <w:webHidden/>
          </w:rPr>
        </w:r>
        <w:r w:rsidR="00B83122">
          <w:rPr>
            <w:webHidden/>
          </w:rPr>
          <w:fldChar w:fldCharType="separate"/>
        </w:r>
        <w:r w:rsidR="002E4F04">
          <w:rPr>
            <w:webHidden/>
          </w:rPr>
          <w:t>10</w:t>
        </w:r>
        <w:r w:rsidR="00B83122">
          <w:rPr>
            <w:webHidden/>
          </w:rPr>
          <w:fldChar w:fldCharType="end"/>
        </w:r>
      </w:hyperlink>
    </w:p>
    <w:p w:rsidR="00B83122" w:rsidRDefault="00DE74CE">
      <w:pPr>
        <w:pStyle w:val="TOC1"/>
        <w:rPr>
          <w:rFonts w:asciiTheme="minorHAnsi" w:eastAsiaTheme="minorEastAsia" w:hAnsiTheme="minorHAnsi" w:cstheme="minorBidi"/>
          <w:noProof/>
          <w:sz w:val="22"/>
          <w:szCs w:val="22"/>
        </w:rPr>
      </w:pPr>
      <w:hyperlink w:anchor="_Toc434256961" w:history="1">
        <w:r w:rsidR="00B83122" w:rsidRPr="009E7CCF">
          <w:rPr>
            <w:rStyle w:val="Hyperlink"/>
            <w:rFonts w:ascii="Verdana" w:hAnsi="Verdana"/>
            <w:noProof/>
          </w:rPr>
          <w:t>Key Competitive Advantage</w:t>
        </w:r>
        <w:r w:rsidR="00980706">
          <w:rPr>
            <w:noProof/>
            <w:webHidden/>
          </w:rPr>
          <w:t>……………………………………………………….</w:t>
        </w:r>
        <w:r w:rsidR="00B83122">
          <w:rPr>
            <w:noProof/>
            <w:webHidden/>
          </w:rPr>
          <w:fldChar w:fldCharType="begin"/>
        </w:r>
        <w:r w:rsidR="00B83122">
          <w:rPr>
            <w:noProof/>
            <w:webHidden/>
          </w:rPr>
          <w:instrText xml:space="preserve"> PAGEREF _Toc434256961 \h </w:instrText>
        </w:r>
        <w:r w:rsidR="00B83122">
          <w:rPr>
            <w:noProof/>
            <w:webHidden/>
          </w:rPr>
        </w:r>
        <w:r w:rsidR="00B83122">
          <w:rPr>
            <w:noProof/>
            <w:webHidden/>
          </w:rPr>
          <w:fldChar w:fldCharType="separate"/>
        </w:r>
        <w:r w:rsidR="002E4F04">
          <w:rPr>
            <w:noProof/>
            <w:webHidden/>
          </w:rPr>
          <w:t>11</w:t>
        </w:r>
        <w:r w:rsidR="00B83122">
          <w:rPr>
            <w:noProof/>
            <w:webHidden/>
          </w:rPr>
          <w:fldChar w:fldCharType="end"/>
        </w:r>
      </w:hyperlink>
    </w:p>
    <w:p w:rsidR="00DD5F61" w:rsidRPr="00DD5F61" w:rsidRDefault="00DD5F61" w:rsidP="00DD5F61">
      <w:pPr>
        <w:pStyle w:val="Heading1"/>
        <w:contextualSpacing w:val="0"/>
        <w:rPr>
          <w:rFonts w:ascii="Verdana" w:hAnsi="Verdana"/>
        </w:rPr>
      </w:pPr>
      <w:r w:rsidRPr="00DD5F61">
        <w:rPr>
          <w:rFonts w:ascii="Verdana" w:hAnsi="Verdana"/>
        </w:rPr>
        <w:fldChar w:fldCharType="end"/>
      </w:r>
    </w:p>
    <w:p w:rsidR="00DD5F61" w:rsidRPr="00DD5F61" w:rsidRDefault="00DD5F61" w:rsidP="00DD5F61">
      <w:pPr>
        <w:rPr>
          <w:rFonts w:ascii="Verdana" w:hAnsi="Verdana"/>
        </w:rPr>
      </w:pPr>
    </w:p>
    <w:p w:rsidR="00DD5F61" w:rsidRPr="00DD5F61" w:rsidRDefault="00DD5F61" w:rsidP="00DD5F61">
      <w:pPr>
        <w:rPr>
          <w:rFonts w:ascii="Verdana" w:hAnsi="Verdana"/>
        </w:rPr>
      </w:pPr>
    </w:p>
    <w:p w:rsidR="00DD5F61" w:rsidRPr="00DD5F61" w:rsidRDefault="00DD5F61" w:rsidP="00DD5F61">
      <w:pPr>
        <w:rPr>
          <w:rFonts w:ascii="Verdana" w:hAnsi="Verdana"/>
        </w:rPr>
      </w:pPr>
    </w:p>
    <w:p w:rsidR="00DD5F61" w:rsidRPr="00DD5F61" w:rsidRDefault="00DD5F61" w:rsidP="00DD5F61">
      <w:pPr>
        <w:rPr>
          <w:rFonts w:ascii="Verdana" w:hAnsi="Verdana"/>
        </w:rPr>
      </w:pPr>
    </w:p>
    <w:p w:rsidR="00DD5F61" w:rsidRPr="00DD5F61" w:rsidRDefault="00DD5F61" w:rsidP="00DD5F61">
      <w:pPr>
        <w:rPr>
          <w:rFonts w:ascii="Verdana" w:hAnsi="Verdana"/>
        </w:rPr>
      </w:pPr>
    </w:p>
    <w:p w:rsidR="00DD5F61" w:rsidRPr="00DD5F61" w:rsidRDefault="00DD5F61" w:rsidP="00DD5F61">
      <w:pPr>
        <w:rPr>
          <w:rFonts w:ascii="Verdana" w:hAnsi="Verdana"/>
        </w:rPr>
      </w:pPr>
    </w:p>
    <w:p w:rsidR="00DD5F61" w:rsidRPr="00DD5F61" w:rsidRDefault="00DD5F61" w:rsidP="00DD5F61">
      <w:pPr>
        <w:rPr>
          <w:rFonts w:ascii="Verdana" w:hAnsi="Verdana"/>
        </w:rPr>
      </w:pPr>
    </w:p>
    <w:p w:rsidR="00DD5F61" w:rsidRPr="00DD5F61" w:rsidRDefault="00DD5F61" w:rsidP="00DD5F61">
      <w:pPr>
        <w:rPr>
          <w:rFonts w:ascii="Verdana" w:hAnsi="Verdana"/>
        </w:rPr>
      </w:pPr>
    </w:p>
    <w:p w:rsidR="00DD5F61" w:rsidRPr="00DD5F61" w:rsidRDefault="00DD5F61" w:rsidP="00DD5F61">
      <w:pPr>
        <w:rPr>
          <w:rFonts w:ascii="Verdana" w:hAnsi="Verdana"/>
        </w:rPr>
      </w:pPr>
    </w:p>
    <w:p w:rsidR="00DD5F61" w:rsidRPr="00DD5F61" w:rsidRDefault="00DD5F61" w:rsidP="00DD5F61">
      <w:pPr>
        <w:rPr>
          <w:rFonts w:ascii="Verdana" w:hAnsi="Verdana"/>
        </w:rPr>
      </w:pPr>
    </w:p>
    <w:p w:rsidR="00DD5F61" w:rsidRPr="00DD5F61" w:rsidRDefault="00DD5F61" w:rsidP="00DD5F61">
      <w:pPr>
        <w:rPr>
          <w:rFonts w:ascii="Verdana" w:hAnsi="Verdana"/>
        </w:rPr>
      </w:pPr>
    </w:p>
    <w:p w:rsidR="00DD5F61" w:rsidRPr="00DD5F61" w:rsidRDefault="00DD5F61" w:rsidP="00DD5F61">
      <w:pPr>
        <w:rPr>
          <w:rFonts w:ascii="Verdana" w:hAnsi="Verdana"/>
        </w:rPr>
      </w:pPr>
    </w:p>
    <w:p w:rsidR="00AC2ABE" w:rsidRPr="00DD5F61" w:rsidRDefault="00DA4484" w:rsidP="00B83122">
      <w:pPr>
        <w:pStyle w:val="Heading1"/>
        <w:contextualSpacing w:val="0"/>
        <w:rPr>
          <w:rFonts w:ascii="Verdana" w:hAnsi="Verdana"/>
        </w:rPr>
      </w:pPr>
      <w:bookmarkStart w:id="2" w:name="_Toc434256952"/>
      <w:r w:rsidRPr="00DD5F61">
        <w:rPr>
          <w:rFonts w:ascii="Verdana" w:hAnsi="Verdana"/>
        </w:rPr>
        <w:lastRenderedPageBreak/>
        <w:t>Executive Summary</w:t>
      </w:r>
      <w:bookmarkEnd w:id="2"/>
    </w:p>
    <w:p w:rsidR="00AC2ABE" w:rsidRPr="00DD5F61" w:rsidRDefault="00DA4484">
      <w:pPr>
        <w:pStyle w:val="Heading1"/>
        <w:contextualSpacing w:val="0"/>
        <w:rPr>
          <w:rFonts w:ascii="Verdana" w:hAnsi="Verdana"/>
        </w:rPr>
      </w:pPr>
      <w:bookmarkStart w:id="3" w:name="h.bebt0b6wzz93" w:colFirst="0" w:colLast="0"/>
      <w:bookmarkStart w:id="4" w:name="_Toc434256953"/>
      <w:bookmarkEnd w:id="3"/>
      <w:r w:rsidRPr="00DD5F61">
        <w:rPr>
          <w:rFonts w:ascii="Verdana" w:hAnsi="Verdana"/>
        </w:rPr>
        <w:t xml:space="preserve">About </w:t>
      </w:r>
      <w:r w:rsidR="003A1773">
        <w:rPr>
          <w:rFonts w:ascii="Verdana" w:hAnsi="Verdana"/>
        </w:rPr>
        <w:t>Real Estate</w:t>
      </w:r>
      <w:r w:rsidRPr="00DD5F61">
        <w:rPr>
          <w:rFonts w:ascii="Verdana" w:hAnsi="Verdana"/>
        </w:rPr>
        <w:t xml:space="preserve"> in Sri Lanka</w:t>
      </w:r>
      <w:bookmarkEnd w:id="4"/>
    </w:p>
    <w:p w:rsidR="00AC2ABE" w:rsidRPr="00B83122" w:rsidRDefault="00DA4484">
      <w:pPr>
        <w:rPr>
          <w:rFonts w:ascii="Verdana" w:hAnsi="Verdana"/>
          <w:sz w:val="20"/>
        </w:rPr>
      </w:pPr>
      <w:r w:rsidRPr="00B83122">
        <w:rPr>
          <w:rFonts w:ascii="Verdana" w:hAnsi="Verdana"/>
          <w:sz w:val="20"/>
        </w:rPr>
        <w:t xml:space="preserve"> </w:t>
      </w:r>
    </w:p>
    <w:p w:rsidR="00AC2ABE" w:rsidRPr="00DD5F61" w:rsidRDefault="00AC2ABE">
      <w:pPr>
        <w:rPr>
          <w:rFonts w:ascii="Verdana" w:hAnsi="Verdana"/>
        </w:rPr>
      </w:pPr>
    </w:p>
    <w:p w:rsidR="00AC2ABE" w:rsidRPr="00DD5F61" w:rsidRDefault="003A1773">
      <w:pPr>
        <w:pStyle w:val="Heading1"/>
        <w:contextualSpacing w:val="0"/>
        <w:rPr>
          <w:rFonts w:ascii="Verdana" w:hAnsi="Verdana"/>
        </w:rPr>
      </w:pPr>
      <w:bookmarkStart w:id="5" w:name="h.haxs5lxtkyh6" w:colFirst="0" w:colLast="0"/>
      <w:bookmarkStart w:id="6" w:name="_Toc434256954"/>
      <w:bookmarkEnd w:id="5"/>
      <w:r>
        <w:rPr>
          <w:rFonts w:ascii="Verdana" w:hAnsi="Verdana"/>
        </w:rPr>
        <w:t>Real Estate</w:t>
      </w:r>
      <w:r w:rsidR="00DA4484" w:rsidRPr="00DD5F61">
        <w:rPr>
          <w:rFonts w:ascii="Verdana" w:hAnsi="Verdana"/>
        </w:rPr>
        <w:t xml:space="preserve"> providers in Sri Lanka</w:t>
      </w:r>
      <w:bookmarkEnd w:id="6"/>
    </w:p>
    <w:p w:rsidR="00AC2ABE" w:rsidRPr="00B83122" w:rsidRDefault="00DA4484">
      <w:pPr>
        <w:rPr>
          <w:rFonts w:ascii="Verdana" w:hAnsi="Verdana"/>
          <w:sz w:val="20"/>
        </w:rPr>
      </w:pPr>
      <w:r w:rsidRPr="00B83122">
        <w:rPr>
          <w:rFonts w:ascii="Verdana" w:hAnsi="Verdana"/>
          <w:sz w:val="20"/>
        </w:rPr>
        <w:t xml:space="preserve">Sri Lanka’s </w:t>
      </w:r>
      <w:r w:rsidR="003A1773">
        <w:rPr>
          <w:rFonts w:ascii="Verdana" w:hAnsi="Verdana"/>
          <w:sz w:val="20"/>
        </w:rPr>
        <w:t>real estate</w:t>
      </w:r>
      <w:r w:rsidRPr="00B83122">
        <w:rPr>
          <w:rFonts w:ascii="Verdana" w:hAnsi="Verdana"/>
          <w:sz w:val="20"/>
        </w:rPr>
        <w:t xml:space="preserve"> sector is served by a diverse range of institutions. These can be segregated into the following broad categories. </w:t>
      </w:r>
    </w:p>
    <w:p w:rsidR="00AC2ABE" w:rsidRDefault="003A1773">
      <w:pPr>
        <w:numPr>
          <w:ilvl w:val="0"/>
          <w:numId w:val="5"/>
        </w:numPr>
        <w:ind w:hanging="360"/>
        <w:contextualSpacing/>
        <w:rPr>
          <w:rFonts w:ascii="Verdana" w:hAnsi="Verdana"/>
          <w:sz w:val="20"/>
        </w:rPr>
      </w:pPr>
      <w:r>
        <w:rPr>
          <w:rFonts w:ascii="Verdana" w:hAnsi="Verdana"/>
          <w:sz w:val="20"/>
        </w:rPr>
        <w:t>Individual Property Developer</w:t>
      </w:r>
    </w:p>
    <w:p w:rsidR="003A1773" w:rsidRDefault="003A1773">
      <w:pPr>
        <w:numPr>
          <w:ilvl w:val="0"/>
          <w:numId w:val="5"/>
        </w:numPr>
        <w:ind w:hanging="360"/>
        <w:contextualSpacing/>
        <w:rPr>
          <w:rFonts w:ascii="Verdana" w:hAnsi="Verdana"/>
          <w:sz w:val="20"/>
        </w:rPr>
      </w:pPr>
      <w:r>
        <w:rPr>
          <w:rFonts w:ascii="Verdana" w:hAnsi="Verdana"/>
          <w:sz w:val="20"/>
        </w:rPr>
        <w:t>Limited Liability Companies</w:t>
      </w:r>
    </w:p>
    <w:p w:rsidR="003A1773" w:rsidRPr="00B83122" w:rsidRDefault="003A1773">
      <w:pPr>
        <w:numPr>
          <w:ilvl w:val="0"/>
          <w:numId w:val="5"/>
        </w:numPr>
        <w:ind w:hanging="360"/>
        <w:contextualSpacing/>
        <w:rPr>
          <w:rFonts w:ascii="Verdana" w:hAnsi="Verdana"/>
          <w:sz w:val="20"/>
        </w:rPr>
      </w:pPr>
      <w:r>
        <w:rPr>
          <w:rFonts w:ascii="Verdana" w:hAnsi="Verdana"/>
          <w:sz w:val="20"/>
        </w:rPr>
        <w:t>Non-Government Bodies</w:t>
      </w:r>
    </w:p>
    <w:p w:rsidR="00AC2ABE" w:rsidRPr="00DD5F61" w:rsidRDefault="00B83122">
      <w:pPr>
        <w:pStyle w:val="Heading1"/>
        <w:contextualSpacing w:val="0"/>
        <w:rPr>
          <w:rFonts w:ascii="Verdana" w:hAnsi="Verdana"/>
        </w:rPr>
      </w:pPr>
      <w:bookmarkStart w:id="7" w:name="h.dmqbwm9bznkq" w:colFirst="0" w:colLast="0"/>
      <w:bookmarkStart w:id="8" w:name="h.nikel6ervsfz" w:colFirst="0" w:colLast="0"/>
      <w:bookmarkStart w:id="9" w:name="_Toc434256956"/>
      <w:bookmarkStart w:id="10" w:name="_GoBack"/>
      <w:bookmarkEnd w:id="7"/>
      <w:bookmarkEnd w:id="8"/>
      <w:bookmarkEnd w:id="10"/>
      <w:r>
        <w:rPr>
          <w:rFonts w:ascii="Verdana" w:hAnsi="Verdana"/>
        </w:rPr>
        <w:t xml:space="preserve">Challenges </w:t>
      </w:r>
      <w:proofErr w:type="gramStart"/>
      <w:r>
        <w:rPr>
          <w:rFonts w:ascii="Verdana" w:hAnsi="Verdana"/>
        </w:rPr>
        <w:t>And</w:t>
      </w:r>
      <w:proofErr w:type="gramEnd"/>
      <w:r>
        <w:rPr>
          <w:rFonts w:ascii="Verdana" w:hAnsi="Verdana"/>
        </w:rPr>
        <w:t xml:space="preserve"> Opportunities In The M</w:t>
      </w:r>
      <w:r w:rsidR="00DA4484" w:rsidRPr="00DD5F61">
        <w:rPr>
          <w:rFonts w:ascii="Verdana" w:hAnsi="Verdana"/>
        </w:rPr>
        <w:t xml:space="preserve">icrofinance </w:t>
      </w:r>
      <w:r>
        <w:rPr>
          <w:rFonts w:ascii="Verdana" w:hAnsi="Verdana"/>
        </w:rPr>
        <w:t>S</w:t>
      </w:r>
      <w:r w:rsidR="00DA4484" w:rsidRPr="00DD5F61">
        <w:rPr>
          <w:rFonts w:ascii="Verdana" w:hAnsi="Verdana"/>
        </w:rPr>
        <w:t>ector</w:t>
      </w:r>
      <w:bookmarkEnd w:id="9"/>
    </w:p>
    <w:p w:rsidR="00AC2ABE" w:rsidRPr="00B83122" w:rsidRDefault="00DA4484">
      <w:pPr>
        <w:rPr>
          <w:rFonts w:ascii="Verdana" w:hAnsi="Verdana"/>
          <w:sz w:val="20"/>
        </w:rPr>
      </w:pPr>
      <w:r w:rsidRPr="00B83122">
        <w:rPr>
          <w:rFonts w:ascii="Verdana" w:hAnsi="Verdana"/>
          <w:sz w:val="20"/>
        </w:rPr>
        <w:t xml:space="preserve">Despite the long history of microfinance in Sri Lanka and a proliferation of institutions engaged in microfinance activities, it is only in recent years that questions concerning sustainability, transformation and an inclusive financial system have been given serious consideration by practitioners, policymakers and other stakeholders. The challenges facing the sector are many and they exist at all levels, macro, meso and micro. </w:t>
      </w:r>
    </w:p>
    <w:p w:rsidR="00AC2ABE" w:rsidRPr="00DD5F61" w:rsidRDefault="00B83122">
      <w:pPr>
        <w:pStyle w:val="Heading2"/>
        <w:contextualSpacing w:val="0"/>
        <w:rPr>
          <w:rFonts w:ascii="Verdana" w:hAnsi="Verdana"/>
        </w:rPr>
      </w:pPr>
      <w:bookmarkStart w:id="11" w:name="h.90aqg4gm2ke5" w:colFirst="0" w:colLast="0"/>
      <w:bookmarkStart w:id="12" w:name="_Toc434256957"/>
      <w:bookmarkEnd w:id="11"/>
      <w:r>
        <w:rPr>
          <w:rFonts w:ascii="Verdana" w:hAnsi="Verdana"/>
        </w:rPr>
        <w:t>Macro L</w:t>
      </w:r>
      <w:r w:rsidR="00DA4484" w:rsidRPr="00DD5F61">
        <w:rPr>
          <w:rFonts w:ascii="Verdana" w:hAnsi="Verdana"/>
        </w:rPr>
        <w:t>evel</w:t>
      </w:r>
      <w:bookmarkEnd w:id="12"/>
    </w:p>
    <w:p w:rsidR="00AC2ABE" w:rsidRPr="00B83122" w:rsidRDefault="00DA4484">
      <w:pPr>
        <w:rPr>
          <w:rFonts w:ascii="Verdana" w:hAnsi="Verdana"/>
          <w:sz w:val="20"/>
        </w:rPr>
      </w:pPr>
      <w:r w:rsidRPr="00B83122">
        <w:rPr>
          <w:rFonts w:ascii="Verdana" w:hAnsi="Verdana"/>
          <w:sz w:val="20"/>
        </w:rPr>
        <w:t xml:space="preserve">A key challenge is the lack of a long term vision and policy for the sector. This is addressed also in the Government’s 10 year development plan, the Mahinda Chintana, which points out that the lack of a policy has resulted in there being no institutionalized mechanism to coordinate microfinance interventions with other policies which have been formulated for rural development. </w:t>
      </w:r>
    </w:p>
    <w:p w:rsidR="00AC2ABE" w:rsidRDefault="00DA4484">
      <w:pPr>
        <w:numPr>
          <w:ilvl w:val="0"/>
          <w:numId w:val="1"/>
        </w:numPr>
        <w:ind w:hanging="360"/>
        <w:contextualSpacing/>
        <w:rPr>
          <w:rFonts w:ascii="Verdana" w:hAnsi="Verdana"/>
          <w:sz w:val="20"/>
        </w:rPr>
      </w:pPr>
      <w:r w:rsidRPr="00B83122">
        <w:rPr>
          <w:rFonts w:ascii="Verdana" w:hAnsi="Verdana"/>
          <w:sz w:val="20"/>
        </w:rPr>
        <w:t xml:space="preserve">The CGAP CLEAR Review of Sri Lanka also highlights the following macro level challenges: inadequate supervision of savings in the SBSs and CRBs. This is related to the point above. Under the existing system, the CRBs are supervised by the Department </w:t>
      </w:r>
      <w:r w:rsidR="003727B4" w:rsidRPr="00B83122">
        <w:rPr>
          <w:rFonts w:ascii="Verdana" w:hAnsi="Verdana"/>
          <w:sz w:val="20"/>
        </w:rPr>
        <w:t>of Co</w:t>
      </w:r>
      <w:r w:rsidRPr="00B83122">
        <w:rPr>
          <w:rFonts w:ascii="Verdana" w:hAnsi="Verdana"/>
          <w:sz w:val="20"/>
        </w:rPr>
        <w:t xml:space="preserve">-operative Development through </w:t>
      </w:r>
      <w:r w:rsidR="003727B4" w:rsidRPr="00B83122">
        <w:rPr>
          <w:rFonts w:ascii="Verdana" w:hAnsi="Verdana"/>
          <w:sz w:val="20"/>
        </w:rPr>
        <w:t>provincial level</w:t>
      </w:r>
      <w:r w:rsidRPr="00B83122">
        <w:rPr>
          <w:rFonts w:ascii="Verdana" w:hAnsi="Verdana"/>
          <w:sz w:val="20"/>
        </w:rPr>
        <w:t xml:space="preserve"> cooperative commissioners and district officers (therefore essentially self-regulated). Similarly, the SBSs are not externally supervised. The Central Bank has in the past highlighted the risks of SBSs mobilizing large volumes of savings without proper regulation and supervision. </w:t>
      </w:r>
    </w:p>
    <w:p w:rsidR="00B83122" w:rsidRPr="00B83122" w:rsidRDefault="00B83122" w:rsidP="00B83122">
      <w:pPr>
        <w:ind w:left="720"/>
        <w:contextualSpacing/>
        <w:rPr>
          <w:rFonts w:ascii="Verdana" w:hAnsi="Verdana"/>
          <w:sz w:val="20"/>
        </w:rPr>
      </w:pPr>
    </w:p>
    <w:p w:rsidR="00AC2ABE" w:rsidRPr="00B83122" w:rsidRDefault="003727B4">
      <w:pPr>
        <w:numPr>
          <w:ilvl w:val="0"/>
          <w:numId w:val="1"/>
        </w:numPr>
        <w:ind w:hanging="360"/>
        <w:contextualSpacing/>
        <w:rPr>
          <w:rFonts w:ascii="Verdana" w:hAnsi="Verdana"/>
          <w:sz w:val="20"/>
        </w:rPr>
      </w:pPr>
      <w:r w:rsidRPr="00B83122">
        <w:rPr>
          <w:rFonts w:ascii="Verdana" w:hAnsi="Verdana"/>
          <w:sz w:val="20"/>
        </w:rPr>
        <w:lastRenderedPageBreak/>
        <w:t>Politicization</w:t>
      </w:r>
      <w:r w:rsidR="00DA4484" w:rsidRPr="00B83122">
        <w:rPr>
          <w:rFonts w:ascii="Verdana" w:hAnsi="Verdana"/>
          <w:sz w:val="20"/>
        </w:rPr>
        <w:t xml:space="preserve"> is a fundamental issue affecting government owned and/or controlled microfinance institutions.  Microfinance is often used as a political tool through institutions such as the Samurdhi.  Microfinance services are often confused with welfare and there is pressure to give “free” loans or place a ceiling on the interest rate. This has a “crowding out” effect on private microfinance providers who are unable to compete against subsidized interest rates. Prior to elections it is not unusual for politicians and political parties to influence particularly government owned/ controlled microfinance institutions to write off some outstanding loans in order to win votes. </w:t>
      </w:r>
    </w:p>
    <w:p w:rsidR="00B83122" w:rsidRDefault="00B83122">
      <w:pPr>
        <w:pStyle w:val="Heading2"/>
        <w:contextualSpacing w:val="0"/>
        <w:rPr>
          <w:rFonts w:ascii="Verdana" w:hAnsi="Verdana"/>
        </w:rPr>
      </w:pPr>
      <w:bookmarkStart w:id="13" w:name="h.5opcyuovn3si" w:colFirst="0" w:colLast="0"/>
      <w:bookmarkEnd w:id="13"/>
    </w:p>
    <w:p w:rsidR="00AC2ABE" w:rsidRPr="00DD5F61" w:rsidRDefault="003727B4">
      <w:pPr>
        <w:pStyle w:val="Heading2"/>
        <w:contextualSpacing w:val="0"/>
        <w:rPr>
          <w:rFonts w:ascii="Verdana" w:hAnsi="Verdana"/>
        </w:rPr>
      </w:pPr>
      <w:bookmarkStart w:id="14" w:name="_Toc434256958"/>
      <w:r w:rsidRPr="00DD5F61">
        <w:rPr>
          <w:rFonts w:ascii="Verdana" w:hAnsi="Verdana"/>
        </w:rPr>
        <w:t>Meson</w:t>
      </w:r>
      <w:r w:rsidR="00B83122">
        <w:rPr>
          <w:rFonts w:ascii="Verdana" w:hAnsi="Verdana"/>
        </w:rPr>
        <w:t xml:space="preserve"> L</w:t>
      </w:r>
      <w:r w:rsidR="00DA4484" w:rsidRPr="00DD5F61">
        <w:rPr>
          <w:rFonts w:ascii="Verdana" w:hAnsi="Verdana"/>
        </w:rPr>
        <w:t>evel</w:t>
      </w:r>
      <w:bookmarkEnd w:id="14"/>
      <w:r w:rsidR="00DA4484" w:rsidRPr="00DD5F61">
        <w:rPr>
          <w:rFonts w:ascii="Verdana" w:hAnsi="Verdana"/>
        </w:rPr>
        <w:t xml:space="preserve"> </w:t>
      </w:r>
    </w:p>
    <w:p w:rsidR="00AC2ABE" w:rsidRDefault="00DA4484">
      <w:pPr>
        <w:numPr>
          <w:ilvl w:val="0"/>
          <w:numId w:val="2"/>
        </w:numPr>
        <w:ind w:hanging="360"/>
        <w:contextualSpacing/>
        <w:rPr>
          <w:rFonts w:ascii="Verdana" w:hAnsi="Verdana"/>
          <w:sz w:val="20"/>
        </w:rPr>
      </w:pPr>
      <w:r w:rsidRPr="00B83122">
        <w:rPr>
          <w:rFonts w:ascii="Verdana" w:hAnsi="Verdana"/>
          <w:sz w:val="20"/>
        </w:rPr>
        <w:t>Funding issues. The 2006 CLEAR Review cites underutilized apex funds as a challenge facing the sector, stating that disbursement of the main apex funds is low, indicating limited interest or absorption capacity of MFIs. Lack of interest could also be due to the various conditions attached to the funds provided as well as single institution.</w:t>
      </w:r>
    </w:p>
    <w:p w:rsidR="00B83122" w:rsidRPr="00B83122" w:rsidRDefault="00B83122" w:rsidP="00B83122">
      <w:pPr>
        <w:ind w:left="720"/>
        <w:contextualSpacing/>
        <w:rPr>
          <w:rFonts w:ascii="Verdana" w:hAnsi="Verdana"/>
          <w:sz w:val="20"/>
        </w:rPr>
      </w:pPr>
    </w:p>
    <w:p w:rsidR="00AC2ABE" w:rsidRPr="00B83122" w:rsidRDefault="00DA4484">
      <w:pPr>
        <w:numPr>
          <w:ilvl w:val="0"/>
          <w:numId w:val="2"/>
        </w:numPr>
        <w:ind w:hanging="360"/>
        <w:contextualSpacing/>
        <w:rPr>
          <w:rFonts w:ascii="Verdana" w:hAnsi="Verdana"/>
          <w:sz w:val="20"/>
        </w:rPr>
      </w:pPr>
      <w:r w:rsidRPr="00B83122">
        <w:rPr>
          <w:rFonts w:ascii="Verdana" w:hAnsi="Verdana"/>
          <w:sz w:val="20"/>
        </w:rPr>
        <w:t xml:space="preserve">Insufficient specialized microfinance training facilities have contributed to many microfinance providers failing to meet the standards required for them to transform into financial institutions and attract the funding they require from commercial investors in order to scale up their operations in an environment where cheap donor funds are fast drying up.  </w:t>
      </w:r>
    </w:p>
    <w:p w:rsidR="00AC2ABE" w:rsidRPr="00DD5F61" w:rsidRDefault="00B83122">
      <w:pPr>
        <w:pStyle w:val="Heading2"/>
        <w:contextualSpacing w:val="0"/>
        <w:rPr>
          <w:rFonts w:ascii="Verdana" w:hAnsi="Verdana"/>
        </w:rPr>
      </w:pPr>
      <w:bookmarkStart w:id="15" w:name="h.rmhmxjdggwbw" w:colFirst="0" w:colLast="0"/>
      <w:bookmarkStart w:id="16" w:name="_Toc434256959"/>
      <w:bookmarkEnd w:id="15"/>
      <w:r>
        <w:rPr>
          <w:rFonts w:ascii="Verdana" w:hAnsi="Verdana"/>
        </w:rPr>
        <w:t>Micro L</w:t>
      </w:r>
      <w:r w:rsidR="00DA4484" w:rsidRPr="00DD5F61">
        <w:rPr>
          <w:rFonts w:ascii="Verdana" w:hAnsi="Verdana"/>
        </w:rPr>
        <w:t>evel</w:t>
      </w:r>
      <w:bookmarkEnd w:id="16"/>
      <w:r w:rsidR="00DA4484" w:rsidRPr="00DD5F61">
        <w:rPr>
          <w:rFonts w:ascii="Verdana" w:hAnsi="Verdana"/>
        </w:rPr>
        <w:t xml:space="preserve"> </w:t>
      </w:r>
    </w:p>
    <w:p w:rsidR="00AC2ABE" w:rsidRDefault="00DA4484">
      <w:pPr>
        <w:numPr>
          <w:ilvl w:val="0"/>
          <w:numId w:val="4"/>
        </w:numPr>
        <w:ind w:hanging="360"/>
        <w:contextualSpacing/>
        <w:rPr>
          <w:rFonts w:ascii="Verdana" w:hAnsi="Verdana"/>
          <w:sz w:val="20"/>
        </w:rPr>
      </w:pPr>
      <w:r w:rsidRPr="00B83122">
        <w:rPr>
          <w:rFonts w:ascii="Verdana" w:hAnsi="Verdana"/>
          <w:sz w:val="20"/>
        </w:rPr>
        <w:t xml:space="preserve">Quality of human </w:t>
      </w:r>
      <w:r w:rsidR="003727B4" w:rsidRPr="00B83122">
        <w:rPr>
          <w:rFonts w:ascii="Verdana" w:hAnsi="Verdana"/>
          <w:sz w:val="20"/>
        </w:rPr>
        <w:t>resources. The</w:t>
      </w:r>
      <w:r w:rsidRPr="00B83122">
        <w:rPr>
          <w:rFonts w:ascii="Verdana" w:hAnsi="Verdana"/>
          <w:sz w:val="20"/>
        </w:rPr>
        <w:t xml:space="preserve"> quality and skill levels of MFI staff seem to be issues that cut across the institutional types. In the GTZ survey of microfinance institutions, staff issues ranked among the top 5 challenges faced by most MFIs. The cause of the problem however, differs across institutional types. The SBSs face overstaffing as they are frequently used to achieve political objectives by providing employment for political supporters. The Sanasa societies work through a large number of voluntary staff, therefore suitably qualified individuals usually seek better paid jobs as permanent employees elsewhere, leaving less qualified individuals volunteering for positions in the Societies. Relatively poor remuneration and difficult working conditions for microfinance providers working in remote rural areas are also contributory factors in the issue of attracting and retaining quality staff. In the NGO-MFIs most of which originated as social service organizations, the staff still has a more “development and social welfare” approach and are unsuited to the task of managing a financial services business. Basic knowledge of accounting, IT and human resource management is, overall, very low. This has resulted in weak organizations, especially at middle management level. Other than in the case of the </w:t>
      </w:r>
      <w:r w:rsidRPr="00B83122">
        <w:rPr>
          <w:rFonts w:ascii="Verdana" w:hAnsi="Verdana"/>
          <w:sz w:val="20"/>
        </w:rPr>
        <w:lastRenderedPageBreak/>
        <w:t>RDBs which are seen as “formal banks”, the rest of the sector suffers due to the general perception that microfinance is not an attractive career option with qualified individuals seeking employment in state banks or private sector companies. The i</w:t>
      </w:r>
      <w:r w:rsidR="003727B4" w:rsidRPr="00B83122">
        <w:rPr>
          <w:rFonts w:ascii="Verdana" w:hAnsi="Verdana"/>
          <w:sz w:val="20"/>
        </w:rPr>
        <w:t>ntroduction of academic programs</w:t>
      </w:r>
      <w:r w:rsidRPr="00B83122">
        <w:rPr>
          <w:rFonts w:ascii="Verdana" w:hAnsi="Verdana"/>
          <w:sz w:val="20"/>
        </w:rPr>
        <w:t xml:space="preserve"> in microfinance through universities and recognized institutions such as the Institute of Bankers would go a long way towards making microfinance a more accepted profession and providing more qualified staff for the sector.</w:t>
      </w:r>
    </w:p>
    <w:p w:rsidR="00B83122" w:rsidRDefault="00B83122" w:rsidP="00B83122">
      <w:pPr>
        <w:contextualSpacing/>
        <w:rPr>
          <w:rFonts w:ascii="Verdana" w:hAnsi="Verdana"/>
          <w:sz w:val="20"/>
        </w:rPr>
      </w:pPr>
    </w:p>
    <w:p w:rsidR="00B83122" w:rsidRDefault="00B83122" w:rsidP="00B83122">
      <w:pPr>
        <w:contextualSpacing/>
        <w:rPr>
          <w:rFonts w:ascii="Verdana" w:hAnsi="Verdana"/>
          <w:sz w:val="20"/>
        </w:rPr>
      </w:pPr>
    </w:p>
    <w:p w:rsidR="00B83122" w:rsidRPr="00B83122" w:rsidRDefault="00B83122" w:rsidP="00B83122">
      <w:pPr>
        <w:contextualSpacing/>
        <w:rPr>
          <w:rFonts w:ascii="Verdana" w:hAnsi="Verdana"/>
          <w:sz w:val="20"/>
        </w:rPr>
      </w:pPr>
    </w:p>
    <w:p w:rsidR="00AC2ABE" w:rsidRDefault="00DA4484">
      <w:pPr>
        <w:numPr>
          <w:ilvl w:val="0"/>
          <w:numId w:val="4"/>
        </w:numPr>
        <w:ind w:hanging="360"/>
        <w:contextualSpacing/>
        <w:rPr>
          <w:rFonts w:ascii="Verdana" w:hAnsi="Verdana"/>
          <w:sz w:val="20"/>
        </w:rPr>
      </w:pPr>
      <w:r w:rsidRPr="00B83122">
        <w:rPr>
          <w:rFonts w:ascii="Verdana" w:hAnsi="Verdana"/>
          <w:sz w:val="20"/>
        </w:rPr>
        <w:t xml:space="preserve">Involvement of government in retail credit provision is widespread as more than half of microfinance clients are with government owned or controlled institutions. This paves the way for political interference in these institutions and a mixing of social, political and financial objectives to the detriment of the sustainability of the institution. </w:t>
      </w:r>
    </w:p>
    <w:p w:rsidR="00B83122" w:rsidRPr="00B83122" w:rsidRDefault="00B83122" w:rsidP="00B83122">
      <w:pPr>
        <w:ind w:left="720"/>
        <w:contextualSpacing/>
        <w:rPr>
          <w:rFonts w:ascii="Verdana" w:hAnsi="Verdana"/>
          <w:sz w:val="20"/>
        </w:rPr>
      </w:pPr>
    </w:p>
    <w:p w:rsidR="00AC2ABE" w:rsidRDefault="00DA4484">
      <w:pPr>
        <w:numPr>
          <w:ilvl w:val="0"/>
          <w:numId w:val="4"/>
        </w:numPr>
        <w:ind w:hanging="360"/>
        <w:contextualSpacing/>
        <w:rPr>
          <w:rFonts w:ascii="Verdana" w:hAnsi="Verdana"/>
          <w:sz w:val="20"/>
        </w:rPr>
      </w:pPr>
      <w:r w:rsidRPr="00B83122">
        <w:rPr>
          <w:rFonts w:ascii="Verdana" w:hAnsi="Verdana"/>
          <w:sz w:val="20"/>
        </w:rPr>
        <w:t xml:space="preserve">There </w:t>
      </w:r>
      <w:r w:rsidR="003727B4" w:rsidRPr="00B83122">
        <w:rPr>
          <w:rFonts w:ascii="Verdana" w:hAnsi="Verdana"/>
          <w:sz w:val="20"/>
        </w:rPr>
        <w:t>is limited</w:t>
      </w:r>
      <w:r w:rsidRPr="00B83122">
        <w:rPr>
          <w:rFonts w:ascii="Verdana" w:hAnsi="Verdana"/>
          <w:sz w:val="20"/>
        </w:rPr>
        <w:t xml:space="preserve"> focus on sustainability as the sector has been protected by a large amount of subsidized funding, from government and foreign donors alike, although the latter source is now much reduced. MFIs have therefore been lulled into a state of complacency, paying little attention to questions of long-term sustainability. The large amount of subsidized funds hides the real sustainability picture of the MFIs as measured by financial </w:t>
      </w:r>
      <w:r w:rsidR="003727B4" w:rsidRPr="00B83122">
        <w:rPr>
          <w:rFonts w:ascii="Verdana" w:hAnsi="Verdana"/>
          <w:sz w:val="20"/>
        </w:rPr>
        <w:t>self-sufficiency</w:t>
      </w:r>
      <w:r w:rsidRPr="00B83122">
        <w:rPr>
          <w:rFonts w:ascii="Verdana" w:hAnsi="Verdana"/>
          <w:sz w:val="20"/>
        </w:rPr>
        <w:t xml:space="preserve">. Few institutions can be said to be financially self-sustainable. Loan portfolio quality is also poor in many instances – the common practice is to measure the loan recovery rate which provides a misleading perception of portfolio quality. Understanding of concepts such as Portfolio at Risk (PaR) is very limited. In the GTZ survey of microfinance institutions, although many respondents across all institutional types claimed to understand the concept of PaR, the definitions provided were varied and mostly incorrect or not in keeping with internationally accepted definitions. </w:t>
      </w:r>
    </w:p>
    <w:p w:rsidR="00B83122" w:rsidRPr="00B83122" w:rsidRDefault="00B83122" w:rsidP="00B83122">
      <w:pPr>
        <w:contextualSpacing/>
        <w:rPr>
          <w:rFonts w:ascii="Verdana" w:hAnsi="Verdana"/>
          <w:sz w:val="20"/>
        </w:rPr>
      </w:pPr>
    </w:p>
    <w:p w:rsidR="00AC2ABE" w:rsidRDefault="00DA4484">
      <w:pPr>
        <w:numPr>
          <w:ilvl w:val="0"/>
          <w:numId w:val="4"/>
        </w:numPr>
        <w:ind w:hanging="360"/>
        <w:contextualSpacing/>
        <w:rPr>
          <w:rFonts w:ascii="Verdana" w:hAnsi="Verdana"/>
          <w:sz w:val="20"/>
        </w:rPr>
      </w:pPr>
      <w:r w:rsidRPr="00B83122">
        <w:rPr>
          <w:rFonts w:ascii="Verdana" w:hAnsi="Verdana"/>
          <w:sz w:val="20"/>
        </w:rPr>
        <w:t xml:space="preserve">Organization culture in most NGO-MFIs still leans towards a social welfare mentality. Many such MFIs still adopt an integrated approach, combining microfinance business with community development activities. However, there is a change of mind-set taking place among a handful of MFIs which have separated their microfinance business from their other activities through the creation of independent microfinance institutions. These players have a much stronger focus on cost efficiency and sustainability. The government controlled MFIs are hampered by excessive bureaucracy and hierarchies as well as insufficient performance incentives. As a result, the growth of these institutions has remained sluggish despite their extensive branch networks spread across the country. </w:t>
      </w:r>
    </w:p>
    <w:p w:rsidR="00B83122" w:rsidRPr="00B83122" w:rsidRDefault="00B83122" w:rsidP="00B83122">
      <w:pPr>
        <w:contextualSpacing/>
        <w:rPr>
          <w:rFonts w:ascii="Verdana" w:hAnsi="Verdana"/>
          <w:sz w:val="20"/>
        </w:rPr>
      </w:pPr>
    </w:p>
    <w:p w:rsidR="00AC2ABE" w:rsidRDefault="00DA4484">
      <w:pPr>
        <w:numPr>
          <w:ilvl w:val="0"/>
          <w:numId w:val="4"/>
        </w:numPr>
        <w:ind w:hanging="360"/>
        <w:contextualSpacing/>
        <w:rPr>
          <w:rFonts w:ascii="Verdana" w:hAnsi="Verdana"/>
          <w:sz w:val="20"/>
        </w:rPr>
      </w:pPr>
      <w:r w:rsidRPr="00B83122">
        <w:rPr>
          <w:rFonts w:ascii="Verdana" w:hAnsi="Verdana"/>
          <w:sz w:val="20"/>
        </w:rPr>
        <w:t xml:space="preserve">Lack of transparency and standardization. There is an overall lack of transparency and reluctance to share even the most basic, non-financial operational information among MFIs, even those who are not direct competitors. This was a major issue during the GTZ survey of microfinance institutions as many MFIs were reluctant to provide basic information. The non-availability of information is due in part to </w:t>
      </w:r>
      <w:r w:rsidRPr="00B83122">
        <w:rPr>
          <w:rFonts w:ascii="Verdana" w:hAnsi="Verdana"/>
          <w:sz w:val="20"/>
        </w:rPr>
        <w:lastRenderedPageBreak/>
        <w:t xml:space="preserve">manual systems being used, resulting in unreliable operational and financial information.  </w:t>
      </w:r>
    </w:p>
    <w:p w:rsidR="00B83122" w:rsidRPr="00B83122" w:rsidRDefault="00B83122" w:rsidP="00B83122">
      <w:pPr>
        <w:contextualSpacing/>
        <w:rPr>
          <w:rFonts w:ascii="Verdana" w:hAnsi="Verdana"/>
          <w:sz w:val="20"/>
        </w:rPr>
      </w:pPr>
    </w:p>
    <w:p w:rsidR="00AC2ABE" w:rsidRPr="00B83122" w:rsidRDefault="00DA4484">
      <w:pPr>
        <w:numPr>
          <w:ilvl w:val="0"/>
          <w:numId w:val="4"/>
        </w:numPr>
        <w:ind w:hanging="360"/>
        <w:contextualSpacing/>
        <w:rPr>
          <w:rFonts w:ascii="Verdana" w:hAnsi="Verdana"/>
          <w:sz w:val="20"/>
        </w:rPr>
      </w:pPr>
      <w:r w:rsidRPr="00B83122">
        <w:rPr>
          <w:rFonts w:ascii="Verdana" w:hAnsi="Verdana"/>
          <w:sz w:val="20"/>
        </w:rPr>
        <w:t xml:space="preserve">Limited use of technology. Despite widespread use of technology in the formal financial sector, its use in the microfinance sector is still very limited. It is only during the past 5 years that computerized systems were introduced even in the RDBs with the installation of the </w:t>
      </w:r>
      <w:r w:rsidR="003727B4" w:rsidRPr="00B83122">
        <w:rPr>
          <w:rFonts w:ascii="Verdana" w:hAnsi="Verdana"/>
          <w:sz w:val="20"/>
        </w:rPr>
        <w:t>Micro Banker</w:t>
      </w:r>
      <w:r w:rsidRPr="00B83122">
        <w:rPr>
          <w:rFonts w:ascii="Verdana" w:hAnsi="Verdana"/>
          <w:sz w:val="20"/>
        </w:rPr>
        <w:t>. The use of ICT in improving delivery technologies and reducing transaction costs is being explored only by very few institutions. Very low IT knowledge among the staff of MFIs, particularly in the NGO sector, has been a limiting factor in accessing the full potential of technology to improve information and monitoring systems</w:t>
      </w:r>
    </w:p>
    <w:p w:rsidR="00AC2ABE" w:rsidRPr="00DD5F61" w:rsidRDefault="00AC2ABE">
      <w:pPr>
        <w:rPr>
          <w:rFonts w:ascii="Verdana" w:hAnsi="Verdana"/>
        </w:rPr>
      </w:pPr>
    </w:p>
    <w:p w:rsidR="00AC2ABE" w:rsidRPr="00B83122" w:rsidRDefault="00DA4484">
      <w:pPr>
        <w:pStyle w:val="Heading2"/>
        <w:contextualSpacing w:val="0"/>
        <w:rPr>
          <w:rFonts w:ascii="Verdana" w:hAnsi="Verdana"/>
          <w:sz w:val="40"/>
        </w:rPr>
      </w:pPr>
      <w:bookmarkStart w:id="17" w:name="h.48flqpuqk0wc" w:colFirst="0" w:colLast="0"/>
      <w:bookmarkStart w:id="18" w:name="_Toc434256960"/>
      <w:bookmarkEnd w:id="17"/>
      <w:r w:rsidRPr="00B83122">
        <w:rPr>
          <w:rFonts w:ascii="Verdana" w:hAnsi="Verdana"/>
          <w:sz w:val="40"/>
        </w:rPr>
        <w:t>Opportunities</w:t>
      </w:r>
      <w:bookmarkEnd w:id="18"/>
    </w:p>
    <w:p w:rsidR="00AC2ABE" w:rsidRPr="00B83122" w:rsidRDefault="00DA4484">
      <w:pPr>
        <w:rPr>
          <w:rFonts w:ascii="Verdana" w:hAnsi="Verdana"/>
          <w:sz w:val="20"/>
        </w:rPr>
      </w:pPr>
      <w:r w:rsidRPr="00B83122">
        <w:rPr>
          <w:rFonts w:ascii="Verdana" w:hAnsi="Verdana"/>
          <w:sz w:val="20"/>
        </w:rPr>
        <w:t xml:space="preserve">While many challenges exist for the sector there are also many strong points in its favor. The key points are summarized below based on the CLEAR Review of Sri Lanka. </w:t>
      </w:r>
    </w:p>
    <w:p w:rsidR="00AC2ABE" w:rsidRPr="00B83122" w:rsidRDefault="00DA4484">
      <w:pPr>
        <w:numPr>
          <w:ilvl w:val="0"/>
          <w:numId w:val="6"/>
        </w:numPr>
        <w:ind w:hanging="360"/>
        <w:contextualSpacing/>
        <w:rPr>
          <w:rFonts w:ascii="Verdana" w:hAnsi="Verdana"/>
          <w:sz w:val="20"/>
        </w:rPr>
      </w:pPr>
      <w:r w:rsidRPr="00B83122">
        <w:rPr>
          <w:rFonts w:ascii="Verdana" w:hAnsi="Verdana"/>
          <w:sz w:val="20"/>
        </w:rPr>
        <w:t>Diversity of institutions.  There is a long tradition of informal savings and credit in Sri Lanka, especially through grass root initiatives.</w:t>
      </w:r>
    </w:p>
    <w:p w:rsidR="00B83122" w:rsidRPr="00B83122" w:rsidRDefault="00B83122" w:rsidP="00B83122">
      <w:pPr>
        <w:ind w:left="720"/>
        <w:contextualSpacing/>
        <w:rPr>
          <w:rFonts w:ascii="Verdana" w:hAnsi="Verdana"/>
          <w:sz w:val="20"/>
        </w:rPr>
      </w:pPr>
    </w:p>
    <w:p w:rsidR="00AC2ABE" w:rsidRDefault="00DA4484">
      <w:pPr>
        <w:numPr>
          <w:ilvl w:val="0"/>
          <w:numId w:val="6"/>
        </w:numPr>
        <w:ind w:hanging="360"/>
        <w:contextualSpacing/>
        <w:rPr>
          <w:rFonts w:ascii="Verdana" w:hAnsi="Verdana"/>
          <w:sz w:val="20"/>
        </w:rPr>
      </w:pPr>
      <w:r w:rsidRPr="00B83122">
        <w:rPr>
          <w:rFonts w:ascii="Verdana" w:hAnsi="Verdana"/>
          <w:sz w:val="20"/>
        </w:rPr>
        <w:t xml:space="preserve">Significant savings culture. The CLEAR Review estimates 15 million savings accounts in Sri Lanka with a value of Rs.49 billion. If the entire banking system is considered, (exact figures are not available), indications are that the number is significantly in excess of this as the People’s Bank and Bank of Ceylon alone have around 18 million savings accounts. Since this covers the 2 state owned commercial banks only, the total number for all banks would be even higher. According to the Central Bank, the volume of deposits in the financial system (including TCCSs, SBSs and CRBs) amounts to Rs. 1,700 billion as at June 2007. A significant savings culture is also indicated from the GTZ survey on outreach of financial services with 74% of households stating that they save with a financial institution. </w:t>
      </w:r>
    </w:p>
    <w:p w:rsidR="00B83122" w:rsidRPr="00B83122" w:rsidRDefault="00B83122" w:rsidP="00B83122">
      <w:pPr>
        <w:contextualSpacing/>
        <w:rPr>
          <w:rFonts w:ascii="Verdana" w:hAnsi="Verdana"/>
          <w:sz w:val="20"/>
        </w:rPr>
      </w:pPr>
    </w:p>
    <w:p w:rsidR="00AC2ABE" w:rsidRDefault="00DA4484">
      <w:pPr>
        <w:numPr>
          <w:ilvl w:val="0"/>
          <w:numId w:val="6"/>
        </w:numPr>
        <w:ind w:hanging="360"/>
        <w:contextualSpacing/>
        <w:rPr>
          <w:rFonts w:ascii="Verdana" w:hAnsi="Verdana"/>
          <w:sz w:val="20"/>
        </w:rPr>
      </w:pPr>
      <w:r w:rsidRPr="00B83122">
        <w:rPr>
          <w:rFonts w:ascii="Verdana" w:hAnsi="Verdana"/>
          <w:sz w:val="20"/>
        </w:rPr>
        <w:t xml:space="preserve">Large outreach.  A high proportion of the population has access to financial services. In the GTZ outreach survey, 82.5% of households stated that they use the services of a financial institution. </w:t>
      </w:r>
    </w:p>
    <w:p w:rsidR="00B83122" w:rsidRPr="00B83122" w:rsidRDefault="00B83122" w:rsidP="00B83122">
      <w:pPr>
        <w:contextualSpacing/>
        <w:rPr>
          <w:rFonts w:ascii="Verdana" w:hAnsi="Verdana"/>
          <w:sz w:val="20"/>
        </w:rPr>
      </w:pPr>
    </w:p>
    <w:p w:rsidR="00AC2ABE" w:rsidRPr="00B83122" w:rsidRDefault="00DA4484">
      <w:pPr>
        <w:numPr>
          <w:ilvl w:val="0"/>
          <w:numId w:val="6"/>
        </w:numPr>
        <w:ind w:hanging="360"/>
        <w:contextualSpacing/>
        <w:rPr>
          <w:rFonts w:ascii="Verdana" w:hAnsi="Verdana"/>
          <w:sz w:val="20"/>
        </w:rPr>
      </w:pPr>
      <w:r w:rsidRPr="00B83122">
        <w:rPr>
          <w:rFonts w:ascii="Verdana" w:hAnsi="Verdana"/>
          <w:sz w:val="20"/>
        </w:rPr>
        <w:t xml:space="preserve">Specialized microfinance training </w:t>
      </w:r>
      <w:r w:rsidR="003727B4" w:rsidRPr="00B83122">
        <w:rPr>
          <w:rFonts w:ascii="Verdana" w:hAnsi="Verdana"/>
          <w:sz w:val="20"/>
        </w:rPr>
        <w:t>emerging. The</w:t>
      </w:r>
      <w:r w:rsidRPr="00B83122">
        <w:rPr>
          <w:rFonts w:ascii="Verdana" w:hAnsi="Verdana"/>
          <w:sz w:val="20"/>
        </w:rPr>
        <w:t xml:space="preserve"> University of Colombo and Institute of Bankers have/plan to introd</w:t>
      </w:r>
      <w:r w:rsidR="003727B4" w:rsidRPr="00B83122">
        <w:rPr>
          <w:rFonts w:ascii="Verdana" w:hAnsi="Verdana"/>
          <w:sz w:val="20"/>
        </w:rPr>
        <w:t>uce microfinance diploma programs</w:t>
      </w:r>
      <w:r w:rsidRPr="00B83122">
        <w:rPr>
          <w:rFonts w:ascii="Verdana" w:hAnsi="Verdana"/>
          <w:sz w:val="20"/>
        </w:rPr>
        <w:t>. These are encouraging steps towards formalizing the study of microfinance and introducing international standards and best practices through the involvement of internationally recognized institutions such as the Frankfurt School of Finance &amp; Management. In addition, SEEDS, Sanasa and the co-operative system have specialized training facilities. While the standard and quality of training may differ, the recognition of the need to have such specialized training augurs well for the sector.</w:t>
      </w:r>
    </w:p>
    <w:p w:rsidR="00B83122" w:rsidRDefault="00B83122">
      <w:pPr>
        <w:pStyle w:val="Heading1"/>
        <w:contextualSpacing w:val="0"/>
        <w:rPr>
          <w:rFonts w:ascii="Verdana" w:hAnsi="Verdana"/>
        </w:rPr>
      </w:pPr>
      <w:bookmarkStart w:id="19" w:name="h.mts8kg3n2onu" w:colFirst="0" w:colLast="0"/>
      <w:bookmarkEnd w:id="19"/>
    </w:p>
    <w:p w:rsidR="00B83122" w:rsidRDefault="00B83122">
      <w:pPr>
        <w:pStyle w:val="Heading1"/>
        <w:contextualSpacing w:val="0"/>
        <w:rPr>
          <w:rFonts w:ascii="Verdana" w:hAnsi="Verdana"/>
        </w:rPr>
      </w:pPr>
    </w:p>
    <w:p w:rsidR="00AC2ABE" w:rsidRPr="00DD5F61" w:rsidRDefault="00DA4484">
      <w:pPr>
        <w:pStyle w:val="Heading1"/>
        <w:contextualSpacing w:val="0"/>
        <w:rPr>
          <w:rFonts w:ascii="Verdana" w:hAnsi="Verdana"/>
        </w:rPr>
      </w:pPr>
      <w:bookmarkStart w:id="20" w:name="_Toc434256961"/>
      <w:r w:rsidRPr="00DD5F61">
        <w:rPr>
          <w:rFonts w:ascii="Verdana" w:hAnsi="Verdana"/>
        </w:rPr>
        <w:t xml:space="preserve">Key Competitive </w:t>
      </w:r>
      <w:r w:rsidR="00B83122">
        <w:rPr>
          <w:rFonts w:ascii="Verdana" w:hAnsi="Verdana"/>
        </w:rPr>
        <w:t>A</w:t>
      </w:r>
      <w:r w:rsidRPr="00DD5F61">
        <w:rPr>
          <w:rFonts w:ascii="Verdana" w:hAnsi="Verdana"/>
        </w:rPr>
        <w:t>dvantage</w:t>
      </w:r>
      <w:bookmarkEnd w:id="20"/>
    </w:p>
    <w:p w:rsidR="00AC2ABE" w:rsidRPr="00B83122" w:rsidRDefault="00DA4484">
      <w:pPr>
        <w:rPr>
          <w:rFonts w:ascii="Verdana" w:hAnsi="Verdana"/>
          <w:sz w:val="20"/>
        </w:rPr>
      </w:pPr>
      <w:r w:rsidRPr="00B83122">
        <w:rPr>
          <w:rFonts w:ascii="Verdana" w:hAnsi="Verdana"/>
          <w:sz w:val="20"/>
        </w:rPr>
        <w:t xml:space="preserve">From the challenges mentioned above it is evident that despite the widespread use of technology in the financial sector, the use of ICT in the Microfinance sector is very limited. The key reason for this is that very few institutes are exploring the ICT usage and the skill level of the human resource. The key competitive advantage is to introduce a multilingual, simple web based solution implemented to help all stakeholders. </w:t>
      </w:r>
    </w:p>
    <w:p w:rsidR="00AC2ABE" w:rsidRPr="00B83122" w:rsidRDefault="00DA4484">
      <w:pPr>
        <w:rPr>
          <w:rFonts w:ascii="Verdana" w:hAnsi="Verdana"/>
          <w:sz w:val="20"/>
        </w:rPr>
      </w:pPr>
      <w:r w:rsidRPr="00B83122">
        <w:rPr>
          <w:rFonts w:ascii="Verdana" w:hAnsi="Verdana"/>
          <w:sz w:val="20"/>
        </w:rPr>
        <w:t>The solution can be a web based system that can be accessed from many locations and information can be centralized. The high level functionalities of the system can be pointed as follows:</w:t>
      </w:r>
    </w:p>
    <w:p w:rsidR="00AC2ABE" w:rsidRPr="00B83122" w:rsidRDefault="00DA4484">
      <w:pPr>
        <w:numPr>
          <w:ilvl w:val="0"/>
          <w:numId w:val="3"/>
        </w:numPr>
        <w:ind w:hanging="360"/>
        <w:contextualSpacing/>
        <w:rPr>
          <w:rFonts w:ascii="Verdana" w:hAnsi="Verdana"/>
          <w:sz w:val="20"/>
        </w:rPr>
      </w:pPr>
      <w:r w:rsidRPr="00B83122">
        <w:rPr>
          <w:rFonts w:ascii="Verdana" w:hAnsi="Verdana"/>
          <w:b/>
          <w:sz w:val="20"/>
        </w:rPr>
        <w:t>Providing information on available financial instruments.</w:t>
      </w:r>
      <w:r w:rsidRPr="00B83122">
        <w:rPr>
          <w:rFonts w:ascii="Verdana" w:hAnsi="Verdana"/>
          <w:sz w:val="20"/>
        </w:rPr>
        <w:t xml:space="preserve"> Enabling a system to provide information to the rural community through a common web based solution in all three languages using simple easy to use navigations.</w:t>
      </w:r>
    </w:p>
    <w:p w:rsidR="00AC2ABE" w:rsidRPr="00B83122" w:rsidRDefault="00DA4484">
      <w:pPr>
        <w:numPr>
          <w:ilvl w:val="0"/>
          <w:numId w:val="3"/>
        </w:numPr>
        <w:ind w:hanging="360"/>
        <w:contextualSpacing/>
        <w:rPr>
          <w:rFonts w:ascii="Verdana" w:hAnsi="Verdana"/>
          <w:sz w:val="20"/>
        </w:rPr>
      </w:pPr>
      <w:r w:rsidRPr="00B83122">
        <w:rPr>
          <w:rFonts w:ascii="Verdana" w:hAnsi="Verdana"/>
          <w:b/>
          <w:sz w:val="20"/>
        </w:rPr>
        <w:t>Eligibility inquiry via internet.</w:t>
      </w:r>
      <w:r w:rsidRPr="00B83122">
        <w:rPr>
          <w:rFonts w:ascii="Verdana" w:hAnsi="Verdana"/>
          <w:sz w:val="20"/>
        </w:rPr>
        <w:t xml:space="preserve"> Enabling the potential client to check his/her eligibility for </w:t>
      </w:r>
      <w:r w:rsidR="003727B4" w:rsidRPr="00B83122">
        <w:rPr>
          <w:rFonts w:ascii="Verdana" w:hAnsi="Verdana"/>
          <w:sz w:val="20"/>
        </w:rPr>
        <w:t>micro financing</w:t>
      </w:r>
      <w:r w:rsidRPr="00B83122">
        <w:rPr>
          <w:rFonts w:ascii="Verdana" w:hAnsi="Verdana"/>
          <w:sz w:val="20"/>
        </w:rPr>
        <w:t>.</w:t>
      </w:r>
    </w:p>
    <w:p w:rsidR="00AC2ABE" w:rsidRPr="00B83122" w:rsidRDefault="00DA4484">
      <w:pPr>
        <w:numPr>
          <w:ilvl w:val="0"/>
          <w:numId w:val="3"/>
        </w:numPr>
        <w:ind w:hanging="360"/>
        <w:contextualSpacing/>
        <w:rPr>
          <w:rFonts w:ascii="Verdana" w:hAnsi="Verdana"/>
          <w:sz w:val="20"/>
        </w:rPr>
      </w:pPr>
      <w:r w:rsidRPr="00B83122">
        <w:rPr>
          <w:rFonts w:ascii="Verdana" w:hAnsi="Verdana"/>
          <w:b/>
          <w:sz w:val="20"/>
        </w:rPr>
        <w:t>Application submissions via web based solution.</w:t>
      </w:r>
      <w:r w:rsidRPr="00B83122">
        <w:rPr>
          <w:rFonts w:ascii="Verdana" w:hAnsi="Verdana"/>
          <w:sz w:val="20"/>
        </w:rPr>
        <w:t xml:space="preserve"> Enabling potential candidates to submit their own applications online in their preferred language.</w:t>
      </w:r>
    </w:p>
    <w:p w:rsidR="00AC2ABE" w:rsidRPr="00B83122" w:rsidRDefault="00DA4484">
      <w:pPr>
        <w:numPr>
          <w:ilvl w:val="0"/>
          <w:numId w:val="3"/>
        </w:numPr>
        <w:ind w:hanging="360"/>
        <w:contextualSpacing/>
        <w:rPr>
          <w:rFonts w:ascii="Verdana" w:hAnsi="Verdana"/>
          <w:sz w:val="20"/>
        </w:rPr>
      </w:pPr>
      <w:r w:rsidRPr="00B83122">
        <w:rPr>
          <w:rFonts w:ascii="Verdana" w:hAnsi="Verdana"/>
          <w:b/>
          <w:sz w:val="20"/>
        </w:rPr>
        <w:t>Application tracking /Application status monitoring.</w:t>
      </w:r>
      <w:r w:rsidRPr="00B83122">
        <w:rPr>
          <w:rFonts w:ascii="Verdana" w:hAnsi="Verdana"/>
          <w:sz w:val="20"/>
        </w:rPr>
        <w:t xml:space="preserve"> Enabling the candidates to check the status of the applications submitted. Can be integrated with a mobile solution and enable mobile alerts via SMS on applications status</w:t>
      </w:r>
    </w:p>
    <w:p w:rsidR="00AC2ABE" w:rsidRPr="00B83122" w:rsidRDefault="00DA4484">
      <w:pPr>
        <w:numPr>
          <w:ilvl w:val="0"/>
          <w:numId w:val="3"/>
        </w:numPr>
        <w:ind w:hanging="360"/>
        <w:contextualSpacing/>
        <w:rPr>
          <w:rFonts w:ascii="Verdana" w:hAnsi="Verdana"/>
          <w:sz w:val="20"/>
        </w:rPr>
      </w:pPr>
      <w:r w:rsidRPr="00B83122">
        <w:rPr>
          <w:rFonts w:ascii="Verdana" w:hAnsi="Verdana"/>
          <w:b/>
          <w:sz w:val="20"/>
        </w:rPr>
        <w:t>Tracking payment history and payment dues.</w:t>
      </w:r>
      <w:r w:rsidRPr="00B83122">
        <w:rPr>
          <w:rFonts w:ascii="Verdana" w:hAnsi="Verdana"/>
          <w:sz w:val="20"/>
        </w:rPr>
        <w:t xml:space="preserve"> Once financial services are obtained the clients have the options of tracking their activities online through a web based solution</w:t>
      </w:r>
    </w:p>
    <w:p w:rsidR="00AC2ABE" w:rsidRPr="00B83122" w:rsidRDefault="00DA4484">
      <w:pPr>
        <w:numPr>
          <w:ilvl w:val="0"/>
          <w:numId w:val="3"/>
        </w:numPr>
        <w:ind w:hanging="360"/>
        <w:contextualSpacing/>
        <w:rPr>
          <w:rFonts w:ascii="Verdana" w:hAnsi="Verdana"/>
          <w:sz w:val="20"/>
        </w:rPr>
      </w:pPr>
      <w:r w:rsidRPr="00B83122">
        <w:rPr>
          <w:rFonts w:ascii="Verdana" w:hAnsi="Verdana"/>
          <w:b/>
          <w:sz w:val="20"/>
        </w:rPr>
        <w:t xml:space="preserve">Reporting complaints. </w:t>
      </w:r>
      <w:r w:rsidRPr="00B83122">
        <w:rPr>
          <w:rFonts w:ascii="Verdana" w:hAnsi="Verdana"/>
          <w:sz w:val="20"/>
        </w:rPr>
        <w:t xml:space="preserve">The </w:t>
      </w:r>
      <w:r w:rsidR="003727B4" w:rsidRPr="00B83122">
        <w:rPr>
          <w:rFonts w:ascii="Verdana" w:hAnsi="Verdana"/>
          <w:sz w:val="20"/>
        </w:rPr>
        <w:t>clients have the ability of giving feedback on services provided and receive</w:t>
      </w:r>
      <w:r w:rsidRPr="00B83122">
        <w:rPr>
          <w:rFonts w:ascii="Verdana" w:hAnsi="Verdana"/>
          <w:sz w:val="20"/>
        </w:rPr>
        <w:t xml:space="preserve"> valuable real time information on areas for improvement. Thus, being proactive in client management.</w:t>
      </w:r>
    </w:p>
    <w:p w:rsidR="00AC2ABE" w:rsidRDefault="00DA4484">
      <w:pPr>
        <w:numPr>
          <w:ilvl w:val="0"/>
          <w:numId w:val="3"/>
        </w:numPr>
        <w:ind w:hanging="360"/>
        <w:contextualSpacing/>
        <w:rPr>
          <w:rFonts w:ascii="Verdana" w:hAnsi="Verdana"/>
          <w:sz w:val="20"/>
        </w:rPr>
      </w:pPr>
      <w:r w:rsidRPr="00B83122">
        <w:rPr>
          <w:rFonts w:ascii="Verdana" w:hAnsi="Verdana"/>
          <w:b/>
          <w:sz w:val="20"/>
        </w:rPr>
        <w:t>Integrating with mobile easy pay system to increase penetration</w:t>
      </w:r>
      <w:r w:rsidRPr="00B83122">
        <w:rPr>
          <w:rFonts w:ascii="Verdana" w:hAnsi="Verdana"/>
          <w:sz w:val="20"/>
        </w:rPr>
        <w:t xml:space="preserve"> </w:t>
      </w:r>
      <w:r w:rsidRPr="00B83122">
        <w:rPr>
          <w:rFonts w:ascii="Verdana" w:hAnsi="Verdana"/>
          <w:b/>
          <w:sz w:val="20"/>
        </w:rPr>
        <w:t>etc.</w:t>
      </w:r>
      <w:r w:rsidRPr="00B83122">
        <w:rPr>
          <w:rFonts w:ascii="Verdana" w:hAnsi="Verdana"/>
          <w:sz w:val="20"/>
        </w:rPr>
        <w:t xml:space="preserve"> Since mob</w:t>
      </w:r>
      <w:r w:rsidR="003727B4" w:rsidRPr="00B83122">
        <w:rPr>
          <w:rFonts w:ascii="Verdana" w:hAnsi="Verdana"/>
          <w:sz w:val="20"/>
        </w:rPr>
        <w:t>ile penetration is high in Sri L</w:t>
      </w:r>
      <w:r w:rsidRPr="00B83122">
        <w:rPr>
          <w:rFonts w:ascii="Verdana" w:hAnsi="Verdana"/>
          <w:sz w:val="20"/>
        </w:rPr>
        <w:t xml:space="preserve">anka even in the rural areas, it will be very helpful for the client to enable settlement via mobile transactions. Thus, eliminating or minimizing the </w:t>
      </w:r>
      <w:r w:rsidR="003727B4" w:rsidRPr="00B83122">
        <w:rPr>
          <w:rFonts w:ascii="Verdana" w:hAnsi="Verdana"/>
          <w:sz w:val="20"/>
        </w:rPr>
        <w:t>hassle of</w:t>
      </w:r>
      <w:r w:rsidRPr="00B83122">
        <w:rPr>
          <w:rFonts w:ascii="Verdana" w:hAnsi="Verdana"/>
          <w:sz w:val="20"/>
        </w:rPr>
        <w:t xml:space="preserve"> maintaining collections centers.</w:t>
      </w:r>
    </w:p>
    <w:p w:rsidR="00B83122" w:rsidRDefault="00B83122" w:rsidP="00B83122">
      <w:pPr>
        <w:contextualSpacing/>
        <w:rPr>
          <w:rFonts w:ascii="Verdana" w:hAnsi="Verdana"/>
          <w:sz w:val="20"/>
        </w:rPr>
      </w:pPr>
    </w:p>
    <w:p w:rsidR="00B83122" w:rsidRDefault="00B83122" w:rsidP="00B83122">
      <w:pPr>
        <w:contextualSpacing/>
        <w:rPr>
          <w:rFonts w:ascii="Verdana" w:hAnsi="Verdana"/>
          <w:sz w:val="20"/>
        </w:rPr>
      </w:pPr>
    </w:p>
    <w:p w:rsidR="00B83122" w:rsidRDefault="00B83122" w:rsidP="00B83122">
      <w:pPr>
        <w:contextualSpacing/>
        <w:rPr>
          <w:rFonts w:ascii="Verdana" w:hAnsi="Verdana"/>
          <w:sz w:val="20"/>
        </w:rPr>
      </w:pPr>
    </w:p>
    <w:p w:rsidR="00B83122" w:rsidRDefault="00B83122" w:rsidP="00B83122">
      <w:pPr>
        <w:contextualSpacing/>
        <w:rPr>
          <w:rFonts w:ascii="Verdana" w:hAnsi="Verdana"/>
          <w:sz w:val="20"/>
        </w:rPr>
      </w:pPr>
    </w:p>
    <w:p w:rsidR="00B83122" w:rsidRDefault="00B83122" w:rsidP="00B83122">
      <w:pPr>
        <w:contextualSpacing/>
        <w:rPr>
          <w:rFonts w:ascii="Verdana" w:hAnsi="Verdana"/>
          <w:sz w:val="20"/>
        </w:rPr>
      </w:pPr>
    </w:p>
    <w:p w:rsidR="00B83122" w:rsidRDefault="00B83122" w:rsidP="00B83122">
      <w:pPr>
        <w:contextualSpacing/>
        <w:rPr>
          <w:rFonts w:ascii="Verdana" w:hAnsi="Verdana"/>
          <w:sz w:val="20"/>
        </w:rPr>
      </w:pPr>
    </w:p>
    <w:p w:rsidR="00B83122" w:rsidRPr="00B83122" w:rsidRDefault="00B83122" w:rsidP="00B83122">
      <w:pPr>
        <w:contextualSpacing/>
        <w:rPr>
          <w:rFonts w:ascii="Verdana" w:hAnsi="Verdana"/>
          <w:sz w:val="20"/>
        </w:rPr>
      </w:pPr>
    </w:p>
    <w:p w:rsidR="00AC2ABE" w:rsidRPr="00B83122" w:rsidRDefault="00AC2ABE">
      <w:pPr>
        <w:rPr>
          <w:rFonts w:ascii="Verdana" w:hAnsi="Verdana"/>
          <w:sz w:val="20"/>
        </w:rPr>
      </w:pPr>
    </w:p>
    <w:p w:rsidR="00AC2ABE" w:rsidRPr="00B83122" w:rsidRDefault="00DA4484">
      <w:pPr>
        <w:rPr>
          <w:rFonts w:ascii="Verdana" w:hAnsi="Verdana"/>
          <w:sz w:val="20"/>
        </w:rPr>
      </w:pPr>
      <w:r w:rsidRPr="00B83122">
        <w:rPr>
          <w:rFonts w:ascii="Verdana" w:hAnsi="Verdana"/>
          <w:sz w:val="20"/>
        </w:rPr>
        <w:lastRenderedPageBreak/>
        <w:t xml:space="preserve">It must be noted with the emergence of the generation Y (millennial generation) into the work force, the usage of information and communication technology is rising. This trend provides a massive opportunity to address several key issues and thus, gain a competitive advantage. Another key feature of this generation is the rise in part time and freelance employment. </w:t>
      </w:r>
    </w:p>
    <w:p w:rsidR="00AC2ABE" w:rsidRPr="00B83122" w:rsidRDefault="00AC2ABE">
      <w:pPr>
        <w:rPr>
          <w:rFonts w:ascii="Verdana" w:hAnsi="Verdana"/>
          <w:sz w:val="20"/>
        </w:rPr>
      </w:pPr>
    </w:p>
    <w:p w:rsidR="00AC2ABE" w:rsidRPr="00B83122" w:rsidRDefault="00DA4484">
      <w:pPr>
        <w:rPr>
          <w:rFonts w:ascii="Verdana" w:hAnsi="Verdana"/>
          <w:sz w:val="20"/>
        </w:rPr>
      </w:pPr>
      <w:r w:rsidRPr="00B83122">
        <w:rPr>
          <w:rFonts w:ascii="Verdana" w:hAnsi="Verdana"/>
          <w:sz w:val="20"/>
        </w:rPr>
        <w:t xml:space="preserve">The system should be combined with a freelance workforce as opposed to a permanent work force, where a person with thorough microfinance knowledge can work on </w:t>
      </w:r>
      <w:r w:rsidR="003727B4" w:rsidRPr="00B83122">
        <w:rPr>
          <w:rFonts w:ascii="Verdana" w:hAnsi="Verdana"/>
          <w:sz w:val="20"/>
        </w:rPr>
        <w:t>commission</w:t>
      </w:r>
      <w:r w:rsidRPr="00B83122">
        <w:rPr>
          <w:rFonts w:ascii="Verdana" w:hAnsi="Verdana"/>
          <w:sz w:val="20"/>
        </w:rPr>
        <w:t xml:space="preserve"> basis and reach out to the rural community and thus, guide the potential clients to become customers. This provides opportunities to create branches </w:t>
      </w:r>
      <w:r w:rsidR="003727B4" w:rsidRPr="00B83122">
        <w:rPr>
          <w:rFonts w:ascii="Verdana" w:hAnsi="Verdana"/>
          <w:sz w:val="20"/>
        </w:rPr>
        <w:t>independent</w:t>
      </w:r>
      <w:r w:rsidRPr="00B83122">
        <w:rPr>
          <w:rFonts w:ascii="Verdana" w:hAnsi="Verdana"/>
          <w:sz w:val="20"/>
        </w:rPr>
        <w:t xml:space="preserve"> of the financial institute and act as a representative of the financial institute, which will significantly reduce the overhead cost of maintaining a branch outlet and resources. The cost incurred will be the cost of providing the ICT services, initial training of the ICT system and the sales commissions. However, depending on the requirement the level of authority outsourced, should be configurable depending on a situational basis. This method of Micro Financing is not yet being used in Sri Lanka in a large scale and thus, will provide a major first mover advantage if executed strategically. </w:t>
      </w:r>
    </w:p>
    <w:sectPr w:rsidR="00AC2ABE" w:rsidRPr="00B83122">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4CE" w:rsidRDefault="00DE74CE" w:rsidP="00C452D0">
      <w:pPr>
        <w:spacing w:line="240" w:lineRule="auto"/>
      </w:pPr>
      <w:r>
        <w:separator/>
      </w:r>
    </w:p>
  </w:endnote>
  <w:endnote w:type="continuationSeparator" w:id="0">
    <w:p w:rsidR="00DE74CE" w:rsidRDefault="00DE74CE" w:rsidP="00C452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DBD" w:rsidRDefault="00034DBD">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ModularFour</w:t>
    </w:r>
    <w:proofErr w:type="spellEnd"/>
    <w:r>
      <w:rPr>
        <w:rFonts w:asciiTheme="majorHAnsi" w:eastAsiaTheme="majorEastAsia" w:hAnsiTheme="majorHAnsi" w:cstheme="majorBidi"/>
      </w:rPr>
      <w:t xml:space="preserve"> Solution </w:t>
    </w:r>
    <w:proofErr w:type="spellStart"/>
    <w:r>
      <w:rPr>
        <w:rFonts w:asciiTheme="majorHAnsi" w:eastAsiaTheme="majorEastAsia" w:hAnsiTheme="majorHAnsi" w:cstheme="majorBidi"/>
      </w:rPr>
      <w:t>Pvt</w:t>
    </w:r>
    <w:proofErr w:type="spellEnd"/>
    <w:r>
      <w:rPr>
        <w:rFonts w:asciiTheme="majorHAnsi" w:eastAsiaTheme="majorEastAsia" w:hAnsiTheme="majorHAnsi" w:cstheme="majorBidi"/>
      </w:rPr>
      <w:t xml:space="preserve"> Ltd                Private &amp; Confidential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F51DC1" w:rsidRPr="00F51DC1">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C452D0" w:rsidRDefault="00C452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4CE" w:rsidRDefault="00DE74CE" w:rsidP="00C452D0">
      <w:pPr>
        <w:spacing w:line="240" w:lineRule="auto"/>
      </w:pPr>
      <w:r>
        <w:separator/>
      </w:r>
    </w:p>
  </w:footnote>
  <w:footnote w:type="continuationSeparator" w:id="0">
    <w:p w:rsidR="00DE74CE" w:rsidRDefault="00DE74CE" w:rsidP="00C452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2D0" w:rsidRDefault="00C452D0">
    <w:pPr>
      <w:pStyle w:val="Header"/>
    </w:pPr>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-209550</wp:posOffset>
              </wp:positionH>
              <wp:positionV relativeFrom="paragraph">
                <wp:posOffset>-428624</wp:posOffset>
              </wp:positionV>
              <wp:extent cx="914400" cy="4762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76250"/>
                      </a:xfrm>
                      <a:prstGeom prst="rect">
                        <a:avLst/>
                      </a:prstGeom>
                      <a:noFill/>
                      <a:ln w="9525">
                        <a:noFill/>
                        <a:miter lim="800000"/>
                        <a:headEnd/>
                        <a:tailEnd/>
                      </a:ln>
                    </wps:spPr>
                    <wps:txbx>
                      <w:txbxContent>
                        <w:p w:rsidR="00C452D0" w:rsidRDefault="00C452D0">
                          <w:r>
                            <w:rPr>
                              <w:noProof/>
                            </w:rPr>
                            <w:drawing>
                              <wp:inline distT="0" distB="0" distL="0" distR="0">
                                <wp:extent cx="722630" cy="340360"/>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logoSmall.png"/>
                                        <pic:cNvPicPr/>
                                      </pic:nvPicPr>
                                      <pic:blipFill>
                                        <a:blip r:embed="rId1">
                                          <a:extLst>
                                            <a:ext uri="{28A0092B-C50C-407E-A947-70E740481C1C}">
                                              <a14:useLocalDpi xmlns:a14="http://schemas.microsoft.com/office/drawing/2010/main" val="0"/>
                                            </a:ext>
                                          </a:extLst>
                                        </a:blip>
                                        <a:stretch>
                                          <a:fillRect/>
                                        </a:stretch>
                                      </pic:blipFill>
                                      <pic:spPr>
                                        <a:xfrm>
                                          <a:off x="0" y="0"/>
                                          <a:ext cx="722630" cy="3403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5pt;margin-top:-33.75pt;width:1in;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8JvCQIAAPMDAAAOAAAAZHJzL2Uyb0RvYy54bWysU9tu2zAMfR+wfxD0vtjxkrYz4hRduw4D&#10;ugvQ7gMYWY6FSaImKbGzrx8lp2mwvQ3TgyCJ5CHPIbW6Ho1me+mDQtvw+azkTFqBrbLbhn9/un9z&#10;xVmIYFvQaGXDDzLw6/XrV6vB1bLCHnUrPSMQG+rBNbyP0dVFEUQvDYQZOmnJ2KE3EOnqt0XrYSB0&#10;o4uqLC+KAX3rPAoZAr3eTUa+zvhdJ0X82nVBRqYbTrXFvPu8b9JerFdQbz24XoljGfAPVRhQlpKe&#10;oO4gAtt59ReUUcJjwC7OBJoCu04JmTkQm3n5B5vHHpzMXEic4E4yhf8HK77sv3mm2oa/LS85s2Co&#10;SU9yjOw9jqxK+gwu1OT26MgxjvRMfc5cg3tA8SMwi7c92K288R6HXkJL9c1TZHEWOuGEBLIZPmNL&#10;aWAXMQONnTdJPJKDETr16XDqTSpF0OO7+WJRkkWQaXF5US1z7wqon4OdD/GjRMPSoeGeWp/BYf8Q&#10;YioG6meXlMvivdI6t19bNlCCZbXMAWcWoyJNp1am4VdlWtO8JI4fbJuDIyg9nSmBtkfSiefEOI6b&#10;kRyTEhtsD0Tf4zSF9Gvo0KP/xdlAE9jw8HMHXnKmP1mSMDOmkc2XxfKyIvb+3LI5t4AVBNXwyNl0&#10;vI15zCeuNyR1p7IML5Uca6XJyuocf0Ea3fN79nr5q+vfAAAA//8DAFBLAwQUAAYACAAAACEAEuau&#10;3N0AAAAJAQAADwAAAGRycy9kb3ducmV2LnhtbEyPT0/DMAzF70h8h8hI3LakjA0odScE4gra+CNx&#10;yxqvrWicqsnW8u3xTnDzs5+ef69YT75TRxpiGxghmxtQxFVwLdcI72/Ps1tQMVl2tgtMCD8UYV2e&#10;nxU2d2HkDR23qVYSwjG3CE1Kfa51rBryNs5DTyy3fRi8TSKHWrvBjhLuO31lzEp727J8aGxPjw1V&#10;39uDR/h42X99XpvX+skv+zFMRrO/04iXF9PDPahEU/ozwwlf0KEUpl04sIuqQ5gtFtIlybC6WYI6&#10;ObJMNjsE0bos9P8G5S8AAAD//wMAUEsBAi0AFAAGAAgAAAAhALaDOJL+AAAA4QEAABMAAAAAAAAA&#10;AAAAAAAAAAAAAFtDb250ZW50X1R5cGVzXS54bWxQSwECLQAUAAYACAAAACEAOP0h/9YAAACUAQAA&#10;CwAAAAAAAAAAAAAAAAAvAQAAX3JlbHMvLnJlbHNQSwECLQAUAAYACAAAACEAyxfCbwkCAADzAwAA&#10;DgAAAAAAAAAAAAAAAAAuAgAAZHJzL2Uyb0RvYy54bWxQSwECLQAUAAYACAAAACEAEuau3N0AAAAJ&#10;AQAADwAAAAAAAAAAAAAAAABjBAAAZHJzL2Rvd25yZXYueG1sUEsFBgAAAAAEAAQA8wAAAG0FAAAA&#10;AA==&#10;" filled="f" stroked="f">
              <v:textbox>
                <w:txbxContent>
                  <w:p w:rsidR="00C452D0" w:rsidRDefault="00C452D0">
                    <w:r>
                      <w:rPr>
                        <w:noProof/>
                      </w:rPr>
                      <w:drawing>
                        <wp:inline distT="0" distB="0" distL="0" distR="0">
                          <wp:extent cx="722630" cy="340360"/>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logoSmall.png"/>
                                  <pic:cNvPicPr/>
                                </pic:nvPicPr>
                                <pic:blipFill>
                                  <a:blip r:embed="rId2">
                                    <a:extLst>
                                      <a:ext uri="{28A0092B-C50C-407E-A947-70E740481C1C}">
                                        <a14:useLocalDpi xmlns:a14="http://schemas.microsoft.com/office/drawing/2010/main" val="0"/>
                                      </a:ext>
                                    </a:extLst>
                                  </a:blip>
                                  <a:stretch>
                                    <a:fillRect/>
                                  </a:stretch>
                                </pic:blipFill>
                                <pic:spPr>
                                  <a:xfrm>
                                    <a:off x="0" y="0"/>
                                    <a:ext cx="722630" cy="34036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C1DBA"/>
    <w:multiLevelType w:val="multilevel"/>
    <w:tmpl w:val="413C0A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1726B8C"/>
    <w:multiLevelType w:val="multilevel"/>
    <w:tmpl w:val="73480E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E1C0F81"/>
    <w:multiLevelType w:val="multilevel"/>
    <w:tmpl w:val="000AB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037607D"/>
    <w:multiLevelType w:val="multilevel"/>
    <w:tmpl w:val="E12E65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9F93CCB"/>
    <w:multiLevelType w:val="multilevel"/>
    <w:tmpl w:val="1514FC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FB21E75"/>
    <w:multiLevelType w:val="multilevel"/>
    <w:tmpl w:val="55C4B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C2ABE"/>
    <w:rsid w:val="00034DBD"/>
    <w:rsid w:val="002E4F04"/>
    <w:rsid w:val="003727B4"/>
    <w:rsid w:val="003A1773"/>
    <w:rsid w:val="004741BF"/>
    <w:rsid w:val="006B4405"/>
    <w:rsid w:val="006C6EDB"/>
    <w:rsid w:val="008202F9"/>
    <w:rsid w:val="00980706"/>
    <w:rsid w:val="009D1EED"/>
    <w:rsid w:val="00AC2ABE"/>
    <w:rsid w:val="00B83122"/>
    <w:rsid w:val="00C452D0"/>
    <w:rsid w:val="00DA4484"/>
    <w:rsid w:val="00DD5F61"/>
    <w:rsid w:val="00DE74CE"/>
    <w:rsid w:val="00F51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27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7B4"/>
    <w:rPr>
      <w:rFonts w:ascii="Tahoma" w:hAnsi="Tahoma" w:cs="Tahoma"/>
      <w:sz w:val="16"/>
      <w:szCs w:val="16"/>
    </w:rPr>
  </w:style>
  <w:style w:type="paragraph" w:styleId="Header">
    <w:name w:val="header"/>
    <w:basedOn w:val="Normal"/>
    <w:link w:val="HeaderChar"/>
    <w:uiPriority w:val="99"/>
    <w:unhideWhenUsed/>
    <w:rsid w:val="00C452D0"/>
    <w:pPr>
      <w:tabs>
        <w:tab w:val="center" w:pos="4680"/>
        <w:tab w:val="right" w:pos="9360"/>
      </w:tabs>
      <w:spacing w:line="240" w:lineRule="auto"/>
    </w:pPr>
  </w:style>
  <w:style w:type="character" w:customStyle="1" w:styleId="HeaderChar">
    <w:name w:val="Header Char"/>
    <w:basedOn w:val="DefaultParagraphFont"/>
    <w:link w:val="Header"/>
    <w:uiPriority w:val="99"/>
    <w:rsid w:val="00C452D0"/>
  </w:style>
  <w:style w:type="paragraph" w:styleId="Footer">
    <w:name w:val="footer"/>
    <w:basedOn w:val="Normal"/>
    <w:link w:val="FooterChar"/>
    <w:uiPriority w:val="99"/>
    <w:unhideWhenUsed/>
    <w:rsid w:val="00C452D0"/>
    <w:pPr>
      <w:tabs>
        <w:tab w:val="center" w:pos="4680"/>
        <w:tab w:val="right" w:pos="9360"/>
      </w:tabs>
      <w:spacing w:line="240" w:lineRule="auto"/>
    </w:pPr>
  </w:style>
  <w:style w:type="character" w:customStyle="1" w:styleId="FooterChar">
    <w:name w:val="Footer Char"/>
    <w:basedOn w:val="DefaultParagraphFont"/>
    <w:link w:val="Footer"/>
    <w:uiPriority w:val="99"/>
    <w:rsid w:val="00C452D0"/>
  </w:style>
  <w:style w:type="paragraph" w:styleId="TOC1">
    <w:name w:val="toc 1"/>
    <w:basedOn w:val="Normal"/>
    <w:next w:val="Normal"/>
    <w:autoRedefine/>
    <w:uiPriority w:val="39"/>
    <w:rsid w:val="00DD5F61"/>
    <w:pPr>
      <w:tabs>
        <w:tab w:val="right" w:leader="dot" w:pos="8659"/>
      </w:tabs>
      <w:spacing w:line="480" w:lineRule="auto"/>
    </w:pPr>
    <w:rPr>
      <w:rFonts w:ascii="Times New Roman" w:eastAsia="Times New Roman" w:hAnsi="Times New Roman" w:cs="Times New Roman"/>
      <w:color w:val="auto"/>
      <w:sz w:val="24"/>
      <w:szCs w:val="24"/>
    </w:rPr>
  </w:style>
  <w:style w:type="character" w:styleId="Hyperlink">
    <w:name w:val="Hyperlink"/>
    <w:uiPriority w:val="99"/>
    <w:rsid w:val="00DD5F61"/>
    <w:rPr>
      <w:color w:val="0000FF"/>
      <w:u w:val="single"/>
    </w:rPr>
  </w:style>
  <w:style w:type="paragraph" w:styleId="TOC2">
    <w:name w:val="toc 2"/>
    <w:basedOn w:val="Normal"/>
    <w:next w:val="Normal"/>
    <w:autoRedefine/>
    <w:uiPriority w:val="39"/>
    <w:unhideWhenUsed/>
    <w:rsid w:val="00DD5F61"/>
    <w:pPr>
      <w:tabs>
        <w:tab w:val="right" w:leader="dot" w:pos="9350"/>
      </w:tabs>
      <w:spacing w:after="100"/>
    </w:pPr>
    <w:rPr>
      <w:rFonts w:ascii="Verdana" w:hAnsi="Verdana"/>
      <w:noProof/>
      <w:sz w:val="24"/>
    </w:rPr>
  </w:style>
  <w:style w:type="paragraph" w:styleId="ListParagraph">
    <w:name w:val="List Paragraph"/>
    <w:basedOn w:val="Normal"/>
    <w:uiPriority w:val="34"/>
    <w:qFormat/>
    <w:rsid w:val="00B831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27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7B4"/>
    <w:rPr>
      <w:rFonts w:ascii="Tahoma" w:hAnsi="Tahoma" w:cs="Tahoma"/>
      <w:sz w:val="16"/>
      <w:szCs w:val="16"/>
    </w:rPr>
  </w:style>
  <w:style w:type="paragraph" w:styleId="Header">
    <w:name w:val="header"/>
    <w:basedOn w:val="Normal"/>
    <w:link w:val="HeaderChar"/>
    <w:uiPriority w:val="99"/>
    <w:unhideWhenUsed/>
    <w:rsid w:val="00C452D0"/>
    <w:pPr>
      <w:tabs>
        <w:tab w:val="center" w:pos="4680"/>
        <w:tab w:val="right" w:pos="9360"/>
      </w:tabs>
      <w:spacing w:line="240" w:lineRule="auto"/>
    </w:pPr>
  </w:style>
  <w:style w:type="character" w:customStyle="1" w:styleId="HeaderChar">
    <w:name w:val="Header Char"/>
    <w:basedOn w:val="DefaultParagraphFont"/>
    <w:link w:val="Header"/>
    <w:uiPriority w:val="99"/>
    <w:rsid w:val="00C452D0"/>
  </w:style>
  <w:style w:type="paragraph" w:styleId="Footer">
    <w:name w:val="footer"/>
    <w:basedOn w:val="Normal"/>
    <w:link w:val="FooterChar"/>
    <w:uiPriority w:val="99"/>
    <w:unhideWhenUsed/>
    <w:rsid w:val="00C452D0"/>
    <w:pPr>
      <w:tabs>
        <w:tab w:val="center" w:pos="4680"/>
        <w:tab w:val="right" w:pos="9360"/>
      </w:tabs>
      <w:spacing w:line="240" w:lineRule="auto"/>
    </w:pPr>
  </w:style>
  <w:style w:type="character" w:customStyle="1" w:styleId="FooterChar">
    <w:name w:val="Footer Char"/>
    <w:basedOn w:val="DefaultParagraphFont"/>
    <w:link w:val="Footer"/>
    <w:uiPriority w:val="99"/>
    <w:rsid w:val="00C452D0"/>
  </w:style>
  <w:style w:type="paragraph" w:styleId="TOC1">
    <w:name w:val="toc 1"/>
    <w:basedOn w:val="Normal"/>
    <w:next w:val="Normal"/>
    <w:autoRedefine/>
    <w:uiPriority w:val="39"/>
    <w:rsid w:val="00DD5F61"/>
    <w:pPr>
      <w:tabs>
        <w:tab w:val="right" w:leader="dot" w:pos="8659"/>
      </w:tabs>
      <w:spacing w:line="480" w:lineRule="auto"/>
    </w:pPr>
    <w:rPr>
      <w:rFonts w:ascii="Times New Roman" w:eastAsia="Times New Roman" w:hAnsi="Times New Roman" w:cs="Times New Roman"/>
      <w:color w:val="auto"/>
      <w:sz w:val="24"/>
      <w:szCs w:val="24"/>
    </w:rPr>
  </w:style>
  <w:style w:type="character" w:styleId="Hyperlink">
    <w:name w:val="Hyperlink"/>
    <w:uiPriority w:val="99"/>
    <w:rsid w:val="00DD5F61"/>
    <w:rPr>
      <w:color w:val="0000FF"/>
      <w:u w:val="single"/>
    </w:rPr>
  </w:style>
  <w:style w:type="paragraph" w:styleId="TOC2">
    <w:name w:val="toc 2"/>
    <w:basedOn w:val="Normal"/>
    <w:next w:val="Normal"/>
    <w:autoRedefine/>
    <w:uiPriority w:val="39"/>
    <w:unhideWhenUsed/>
    <w:rsid w:val="00DD5F61"/>
    <w:pPr>
      <w:tabs>
        <w:tab w:val="right" w:leader="dot" w:pos="9350"/>
      </w:tabs>
      <w:spacing w:after="100"/>
    </w:pPr>
    <w:rPr>
      <w:rFonts w:ascii="Verdana" w:hAnsi="Verdana"/>
      <w:noProof/>
      <w:sz w:val="24"/>
    </w:rPr>
  </w:style>
  <w:style w:type="paragraph" w:styleId="ListParagraph">
    <w:name w:val="List Paragraph"/>
    <w:basedOn w:val="Normal"/>
    <w:uiPriority w:val="34"/>
    <w:qFormat/>
    <w:rsid w:val="00B83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2253</Words>
  <Characters>12847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Mahinda Jayakody</dc:creator>
  <cp:lastModifiedBy>Mahinda J.M. Jayakody</cp:lastModifiedBy>
  <cp:revision>4</cp:revision>
  <cp:lastPrinted>2015-11-02T14:20:00Z</cp:lastPrinted>
  <dcterms:created xsi:type="dcterms:W3CDTF">2016-04-20T18:20:00Z</dcterms:created>
  <dcterms:modified xsi:type="dcterms:W3CDTF">2016-04-20T19:00:00Z</dcterms:modified>
</cp:coreProperties>
</file>