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279" w:rsidRPr="00E15279" w:rsidRDefault="00E15279" w:rsidP="00E1527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656565"/>
          <w:sz w:val="27"/>
          <w:szCs w:val="27"/>
        </w:rPr>
      </w:pPr>
      <w:r w:rsidRPr="00E15279">
        <w:rPr>
          <w:rFonts w:ascii="Verdana" w:eastAsia="Times New Roman" w:hAnsi="Verdana" w:cs="Times New Roman"/>
          <w:b/>
          <w:bCs/>
          <w:color w:val="656565"/>
          <w:sz w:val="27"/>
          <w:szCs w:val="27"/>
        </w:rPr>
        <w:t>ALMYTA INVENTORY SOFTWARE FEATURES</w:t>
      </w:r>
    </w:p>
    <w:p w:rsidR="00E15279" w:rsidRPr="00E15279" w:rsidRDefault="00E15279" w:rsidP="00E15279">
      <w:pPr>
        <w:shd w:val="clear" w:color="auto" w:fill="FFFFFF"/>
        <w:spacing w:after="240" w:line="285" w:lineRule="atLeast"/>
        <w:rPr>
          <w:rFonts w:ascii="Verdana" w:eastAsia="Times New Roman" w:hAnsi="Verdana" w:cs="Times New Roman"/>
          <w:color w:val="545454"/>
          <w:sz w:val="18"/>
          <w:szCs w:val="18"/>
        </w:rPr>
      </w:pPr>
      <w:proofErr w:type="spellStart"/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Almyta</w:t>
      </w:r>
      <w:proofErr w:type="spellEnd"/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 xml:space="preserve"> Control System is designed to handle every aspect of inventory management, providing the ability to track each step in the inventory life cycle from the time you create a purchase order for your supplier to the moment you ship the product to your customer. At the same time, </w:t>
      </w:r>
      <w:proofErr w:type="spellStart"/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Almyta</w:t>
      </w:r>
      <w:proofErr w:type="spellEnd"/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 xml:space="preserve"> Control System’s modular organization ensures flexibility and enables you to adapt the program to your specific needs.</w:t>
      </w:r>
      <w:r w:rsidRPr="00E15279">
        <w:rPr>
          <w:rFonts w:ascii="Verdana" w:eastAsia="Times New Roman" w:hAnsi="Verdana" w:cs="Times New Roman"/>
          <w:color w:val="545454"/>
          <w:sz w:val="18"/>
        </w:rPr>
        <w:t> </w:t>
      </w:r>
    </w:p>
    <w:p w:rsidR="00E15279" w:rsidRPr="00E15279" w:rsidRDefault="00E15279" w:rsidP="00E15279">
      <w:pPr>
        <w:shd w:val="clear" w:color="auto" w:fill="FFFFFF"/>
        <w:spacing w:after="0" w:line="285" w:lineRule="atLeast"/>
        <w:jc w:val="center"/>
        <w:rPr>
          <w:rFonts w:ascii="Verdana" w:eastAsia="Times New Roman" w:hAnsi="Verdana" w:cs="Times New Roman"/>
          <w:b/>
          <w:bCs/>
          <w:color w:val="545454"/>
          <w:sz w:val="20"/>
          <w:szCs w:val="20"/>
        </w:rPr>
      </w:pPr>
      <w:r w:rsidRPr="00E15279">
        <w:rPr>
          <w:rFonts w:ascii="Verdana" w:eastAsia="Times New Roman" w:hAnsi="Verdana" w:cs="Times New Roman"/>
          <w:b/>
          <w:bCs/>
          <w:color w:val="545454"/>
          <w:sz w:val="20"/>
          <w:szCs w:val="20"/>
        </w:rPr>
        <w:t>Major functionality by module</w:t>
      </w:r>
    </w:p>
    <w:p w:rsidR="00E15279" w:rsidRPr="00E15279" w:rsidRDefault="00E15279" w:rsidP="00E15279">
      <w:pPr>
        <w:shd w:val="clear" w:color="auto" w:fill="FFFFFF"/>
        <w:spacing w:before="100" w:beforeAutospacing="1" w:after="100" w:afterAutospacing="1" w:line="285" w:lineRule="atLeast"/>
        <w:jc w:val="center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(</w:t>
      </w:r>
      <w:proofErr w:type="gramStart"/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all</w:t>
      </w:r>
      <w:proofErr w:type="gramEnd"/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 xml:space="preserve"> modules are included with the system at one low price)</w:t>
      </w:r>
    </w:p>
    <w:p w:rsidR="00E15279" w:rsidRPr="00E15279" w:rsidRDefault="00E15279" w:rsidP="00E15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b/>
          <w:bCs/>
          <w:color w:val="545454"/>
          <w:sz w:val="18"/>
          <w:szCs w:val="18"/>
        </w:rPr>
        <w:t>Generic</w:t>
      </w:r>
    </w:p>
    <w:p w:rsidR="00E15279" w:rsidRPr="00E15279" w:rsidRDefault="00E15279" w:rsidP="00E15279">
      <w:pPr>
        <w:shd w:val="clear" w:color="auto" w:fill="FFFFFF"/>
        <w:spacing w:before="100" w:beforeAutospacing="1" w:after="100" w:afterAutospacing="1" w:line="285" w:lineRule="atLeast"/>
        <w:ind w:left="72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Single user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Multi user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Multiple companies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Multiple Warehouses for a company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Multiple Currencies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User selectable decimal places for currency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Multiple workstation configurations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Multiple logos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User selectable decimal places for inventory units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Copy to New company function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Company backups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Restore Last function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Restore Any function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Password protection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Screen and report permissions by user or group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Screen fields translations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Popup messages translation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Screens and reports customizations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Add-in functions, reports, and forms technology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Export data to Microsoft Excel, Word, HTML, and text functionality</w:t>
      </w:r>
    </w:p>
    <w:p w:rsidR="00E15279" w:rsidRPr="00E15279" w:rsidRDefault="00E15279" w:rsidP="00E15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545454"/>
          <w:sz w:val="18"/>
          <w:szCs w:val="18"/>
        </w:rPr>
      </w:pPr>
      <w:bookmarkStart w:id="0" w:name="purchase_orders_software"/>
      <w:bookmarkEnd w:id="0"/>
      <w:r w:rsidRPr="00E15279">
        <w:rPr>
          <w:rFonts w:ascii="Verdana" w:eastAsia="Times New Roman" w:hAnsi="Verdana" w:cs="Times New Roman"/>
          <w:b/>
          <w:bCs/>
          <w:color w:val="545454"/>
          <w:sz w:val="18"/>
          <w:szCs w:val="18"/>
        </w:rPr>
        <w:t>Purchasing</w:t>
      </w:r>
    </w:p>
    <w:p w:rsidR="00E15279" w:rsidRPr="00E15279" w:rsidRDefault="00E15279" w:rsidP="00E15279">
      <w:pPr>
        <w:shd w:val="clear" w:color="auto" w:fill="FFFFFF"/>
        <w:spacing w:before="100" w:beforeAutospacing="1" w:after="100" w:afterAutospacing="1" w:line="285" w:lineRule="atLeast"/>
        <w:ind w:left="72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Purchase orders for inventory and fixed assets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Automatic with suffix/prefix or manual purchase order numbering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Receiving inventory and fixed assets against purchase orders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Automatic purchase order generation based on historical data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Quick price quotation based on purchasing history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Supplier database with suspension and probation warning flags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Supplier catalog for inventory items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Purchasing unit of measure conversion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Supplier's term agreements (contracts) for inventory items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lastRenderedPageBreak/>
        <w:t>Supplier multiple pickup locations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Supplier browse and advanced search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Buying materials for specific work orders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Blanket purchase orders with the delivery schedule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Support for purchase order approval process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Support for "onetime buy" items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Support for items with temporary IDs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Payment terms and predefined memos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Support for custom printed purchase order from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Reports include Low Stock Notification and Inventory to Order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Copy to New function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Support for screen customization</w:t>
      </w:r>
    </w:p>
    <w:p w:rsidR="00E15279" w:rsidRPr="00E15279" w:rsidRDefault="00E15279" w:rsidP="00E15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b/>
          <w:bCs/>
          <w:color w:val="545454"/>
          <w:sz w:val="18"/>
          <w:szCs w:val="18"/>
        </w:rPr>
        <w:t>Warehouse Appointments</w:t>
      </w:r>
    </w:p>
    <w:p w:rsidR="00E15279" w:rsidRPr="00E15279" w:rsidRDefault="00E15279" w:rsidP="00E15279">
      <w:pPr>
        <w:shd w:val="clear" w:color="auto" w:fill="FFFFFF"/>
        <w:spacing w:before="100" w:beforeAutospacing="1" w:after="100" w:afterAutospacing="1" w:line="285" w:lineRule="atLeast"/>
        <w:ind w:left="72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Scheduling warehouse appointments for inventory items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Automatic with suffix/prefix or manual appointment numbering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Receiving inventory against warehouse appointments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</w:r>
      <w:proofErr w:type="gramStart"/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Reporting</w:t>
      </w:r>
      <w:proofErr w:type="gramEnd"/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 xml:space="preserve"> back to a client the appointments' status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Support for screen customization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Automated invoices for handling and shipping.</w:t>
      </w:r>
    </w:p>
    <w:p w:rsidR="00E15279" w:rsidRPr="00E15279" w:rsidRDefault="00E15279" w:rsidP="00E15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b/>
          <w:bCs/>
          <w:color w:val="545454"/>
          <w:sz w:val="18"/>
          <w:szCs w:val="18"/>
        </w:rPr>
        <w:t>Inventory Control</w:t>
      </w:r>
    </w:p>
    <w:p w:rsidR="00E15279" w:rsidRPr="00E15279" w:rsidRDefault="00E15279" w:rsidP="00E15279">
      <w:pPr>
        <w:shd w:val="clear" w:color="auto" w:fill="FFFFFF"/>
        <w:spacing w:before="100" w:beforeAutospacing="1" w:after="100" w:afterAutospacing="1" w:line="285" w:lineRule="atLeast"/>
        <w:ind w:left="72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Inventory Item Master List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Inventory Item Master List filters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Inventory unit detail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Unit detail filters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Multiple warehouse locations with a default location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Multiple Warehouses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Warehouse/location movement logs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Inventory direct positive/negative adjustment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Multiple receive/issue screen formats and views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Auto-loading support for inventory issues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Issue by location, serial number, remarks support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Multiple Pick list and packing List formats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Stow list at receiving support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Serial/lot number data entry assistance at receiving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Internal Inventory Labels with barcodes support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Barcode scanning at receiving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Barcode scanning at loading and shipping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Inventory Repairs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Inventory Leasing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Inventory shipped/used units archives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Inventory Cost Quotation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lastRenderedPageBreak/>
        <w:t>Inventory reservations for specific work orders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Buy, Sell, and Make items types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First and second Serial/Lot numbers with full barcode support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Auto-assign Serial/Lot numbers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Inventory Categories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Unit of Measure conversions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Package Types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Cost Centers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Default suppliers (clients)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Warranties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In Stock, On Hold, Committed, and On Order totals and details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Item pictures with catalog printing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Manufacturing and Engineering numbers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General Leger accounts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Fast browse and advanced Search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Monthly demand auto-calculation based on historical data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 xml:space="preserve">Numerous reports and </w:t>
      </w:r>
      <w:proofErr w:type="spellStart"/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barcoded</w:t>
      </w:r>
      <w:proofErr w:type="spellEnd"/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 xml:space="preserve"> labels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Ten custom dropdown lists for extra properties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Copy to New function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LIFO, FIFO, and average costs evaluation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Screen customization support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Inventory Import/Export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Batch barcode readers support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RF barcode readers support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Multiple barcode format definitions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Composite barcode parsing</w:t>
      </w:r>
    </w:p>
    <w:p w:rsidR="00E15279" w:rsidRPr="00E15279" w:rsidRDefault="00E15279" w:rsidP="00E15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b/>
          <w:bCs/>
          <w:color w:val="545454"/>
          <w:sz w:val="18"/>
          <w:szCs w:val="18"/>
        </w:rPr>
        <w:t>Sales/Shipping Orders</w:t>
      </w:r>
    </w:p>
    <w:p w:rsidR="00E15279" w:rsidRPr="00E15279" w:rsidRDefault="00E15279" w:rsidP="00E15279">
      <w:pPr>
        <w:shd w:val="clear" w:color="auto" w:fill="FFFFFF"/>
        <w:spacing w:before="100" w:beforeAutospacing="1" w:after="100" w:afterAutospacing="1" w:line="285" w:lineRule="atLeast"/>
        <w:ind w:left="72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Sales/Warehouse Shipping orders for inventory items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Automatic with suffix/prefix or manual order numbering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Order fulfillment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Customer/Contact List with line of business classification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Customer Multiple "ship to" locations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Customer warning flags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Customer multiple sales representatives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Customer browse and advanced search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Customer link to supplier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Order approval support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Support for kits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Support for work orders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Quotes for outstanding orders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Invoices for shipped orders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Pick List and Packing Slip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Shipping Manifest (Bill of Lading)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lastRenderedPageBreak/>
        <w:t>Payment terms and predefined memos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Carriers and "ship via" lists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Fill or Kill orders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Auto and semi-auto backorder generation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Copy to New function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Screen customization support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Customer and sales representative auto-email support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Automated invoices for handling and shipping.</w:t>
      </w:r>
    </w:p>
    <w:p w:rsidR="00E15279" w:rsidRPr="00E15279" w:rsidRDefault="00E15279" w:rsidP="00E15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545454"/>
          <w:sz w:val="18"/>
          <w:szCs w:val="18"/>
        </w:rPr>
      </w:pPr>
      <w:bookmarkStart w:id="1" w:name="bom"/>
      <w:r w:rsidRPr="00E15279">
        <w:rPr>
          <w:rFonts w:ascii="Verdana" w:eastAsia="Times New Roman" w:hAnsi="Verdana" w:cs="Times New Roman"/>
          <w:b/>
          <w:bCs/>
          <w:color w:val="545454"/>
          <w:sz w:val="18"/>
          <w:szCs w:val="18"/>
        </w:rPr>
        <w:t>Work Orders</w:t>
      </w:r>
    </w:p>
    <w:p w:rsidR="00E15279" w:rsidRPr="00E15279" w:rsidRDefault="00E15279" w:rsidP="00E15279">
      <w:pPr>
        <w:shd w:val="clear" w:color="auto" w:fill="FFFFFF"/>
        <w:spacing w:before="100" w:beforeAutospacing="1" w:after="100" w:afterAutospacing="1" w:line="285" w:lineRule="atLeast"/>
        <w:ind w:left="72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Machine assembly orders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Automatic with suffix/prefix or manual order numbering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Fixed Asset repair and maintenance orders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Customer site orders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Automatic product creation with serial number assignments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Automatic parts consumption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Blanket work orders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Approval support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Parts and labor quotations</w:t>
      </w:r>
    </w:p>
    <w:bookmarkEnd w:id="1"/>
    <w:p w:rsidR="00E15279" w:rsidRPr="00E15279" w:rsidRDefault="00E15279" w:rsidP="00E15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b/>
          <w:bCs/>
          <w:color w:val="545454"/>
          <w:sz w:val="18"/>
          <w:szCs w:val="18"/>
        </w:rPr>
        <w:t>Bill of Materials</w:t>
      </w:r>
    </w:p>
    <w:p w:rsidR="00E15279" w:rsidRPr="00E15279" w:rsidRDefault="00E15279" w:rsidP="00E15279">
      <w:pPr>
        <w:shd w:val="clear" w:color="auto" w:fill="FFFFFF"/>
        <w:spacing w:before="100" w:beforeAutospacing="1" w:after="100" w:afterAutospacing="1" w:line="285" w:lineRule="atLeast"/>
        <w:ind w:left="72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Single level bill of materials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Multi level bill of materials (up to 20 levels)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Component serial number tracking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Circular reference detection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Automatic assembly cost calculation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Critical parts support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Purchase and reserve parts support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Copy to New function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Screen customization support</w:t>
      </w:r>
    </w:p>
    <w:p w:rsidR="00E15279" w:rsidRPr="00E15279" w:rsidRDefault="00E15279" w:rsidP="00E15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b/>
          <w:bCs/>
          <w:color w:val="545454"/>
          <w:sz w:val="18"/>
          <w:szCs w:val="18"/>
        </w:rPr>
        <w:t>Fixed Asset Management</w:t>
      </w:r>
    </w:p>
    <w:p w:rsidR="00E15279" w:rsidRPr="00E15279" w:rsidRDefault="00E15279" w:rsidP="00E15279">
      <w:pPr>
        <w:shd w:val="clear" w:color="auto" w:fill="FFFFFF"/>
        <w:spacing w:before="100" w:beforeAutospacing="1" w:after="100" w:afterAutospacing="1" w:line="285" w:lineRule="atLeast"/>
        <w:ind w:left="720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Automatic with suffix/prefix or manual asset tags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Tangible Assets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Intangible Assets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Asset to asset allocation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Usage counters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Energy consumption counters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Replacement costs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Direct receive/retirement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Purchase order receive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Deprecation comparison (by two deprecation types) reports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lastRenderedPageBreak/>
        <w:t>Copy to New function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Asset pictures with catalog printing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</w:r>
      <w:proofErr w:type="spellStart"/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Barcoded</w:t>
      </w:r>
      <w:proofErr w:type="spellEnd"/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 xml:space="preserve"> asset tag labels</w:t>
      </w: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br/>
        <w:t>Screen customization support</w:t>
      </w:r>
    </w:p>
    <w:p w:rsidR="00E15279" w:rsidRPr="00E15279" w:rsidRDefault="00E15279" w:rsidP="00E15279">
      <w:pPr>
        <w:shd w:val="clear" w:color="auto" w:fill="FFFFFF"/>
        <w:spacing w:after="0" w:line="285" w:lineRule="atLeast"/>
        <w:rPr>
          <w:rFonts w:ascii="Verdana" w:eastAsia="Times New Roman" w:hAnsi="Verdana" w:cs="Times New Roman"/>
          <w:b/>
          <w:bCs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b/>
          <w:bCs/>
          <w:color w:val="545454"/>
          <w:sz w:val="18"/>
          <w:szCs w:val="18"/>
        </w:rPr>
        <w:t>Hardware/Software Requirements:</w:t>
      </w:r>
    </w:p>
    <w:p w:rsidR="00E15279" w:rsidRPr="00E15279" w:rsidRDefault="00E15279" w:rsidP="00E152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Intel or AMD based PC</w:t>
      </w:r>
    </w:p>
    <w:p w:rsidR="00E15279" w:rsidRPr="00E15279" w:rsidRDefault="00E15279" w:rsidP="00E152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Windows XP SP2/Server 2003/Vista</w:t>
      </w:r>
    </w:p>
    <w:p w:rsidR="00E15279" w:rsidRPr="00E15279" w:rsidRDefault="00E15279" w:rsidP="00E152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60MB free disk space</w:t>
      </w:r>
    </w:p>
    <w:p w:rsidR="00E15279" w:rsidRPr="00E15279" w:rsidRDefault="00E15279" w:rsidP="00E152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800 x 600 minimum screen resolution</w:t>
      </w:r>
    </w:p>
    <w:p w:rsidR="00E15279" w:rsidRPr="00E15279" w:rsidRDefault="00E15279" w:rsidP="00E152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Network for multi user configurations (optional)</w:t>
      </w:r>
    </w:p>
    <w:p w:rsidR="00E15279" w:rsidRPr="00E15279" w:rsidRDefault="00E15279" w:rsidP="00E15279">
      <w:pPr>
        <w:shd w:val="clear" w:color="auto" w:fill="FFFFFF"/>
        <w:spacing w:after="0" w:line="285" w:lineRule="atLeast"/>
        <w:rPr>
          <w:rFonts w:ascii="Verdana" w:eastAsia="Times New Roman" w:hAnsi="Verdana" w:cs="Times New Roman"/>
          <w:b/>
          <w:bCs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b/>
          <w:bCs/>
          <w:color w:val="545454"/>
          <w:sz w:val="18"/>
          <w:szCs w:val="18"/>
        </w:rPr>
        <w:t>Technical Features:</w:t>
      </w:r>
    </w:p>
    <w:p w:rsidR="00E15279" w:rsidRPr="00E15279" w:rsidRDefault="00E15279" w:rsidP="00E152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Single/Multi user with password protection</w:t>
      </w:r>
    </w:p>
    <w:p w:rsidR="00E15279" w:rsidRPr="00E15279" w:rsidRDefault="00E15279" w:rsidP="00E152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Multiple Company, Training, and Test Datasets</w:t>
      </w:r>
    </w:p>
    <w:p w:rsidR="00E15279" w:rsidRPr="00E15279" w:rsidRDefault="00E15279" w:rsidP="00E152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Backup and Restore</w:t>
      </w:r>
    </w:p>
    <w:p w:rsidR="00E15279" w:rsidRPr="00E15279" w:rsidRDefault="00E15279" w:rsidP="00E152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Workstation/Login Sensitive Configuration and Screen Customization</w:t>
      </w:r>
    </w:p>
    <w:p w:rsidR="00E15279" w:rsidRPr="00E15279" w:rsidRDefault="00E15279" w:rsidP="00E152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Scan/Print Barcode Ready</w:t>
      </w:r>
    </w:p>
    <w:p w:rsidR="00E15279" w:rsidRPr="00E15279" w:rsidRDefault="00E15279" w:rsidP="00E152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5" w:lineRule="atLeast"/>
        <w:rPr>
          <w:rFonts w:ascii="Verdana" w:eastAsia="Times New Roman" w:hAnsi="Verdana" w:cs="Times New Roman"/>
          <w:color w:val="545454"/>
          <w:sz w:val="18"/>
          <w:szCs w:val="18"/>
        </w:rPr>
      </w:pPr>
      <w:r w:rsidRPr="00E15279">
        <w:rPr>
          <w:rFonts w:ascii="Verdana" w:eastAsia="Times New Roman" w:hAnsi="Verdana" w:cs="Times New Roman"/>
          <w:color w:val="545454"/>
          <w:sz w:val="18"/>
          <w:szCs w:val="18"/>
        </w:rPr>
        <w:t>MS SQL Server Backend (optional)</w:t>
      </w:r>
    </w:p>
    <w:p w:rsidR="006355FC" w:rsidRDefault="006355FC"/>
    <w:sectPr w:rsidR="006355FC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8460D"/>
    <w:multiLevelType w:val="multilevel"/>
    <w:tmpl w:val="6A6659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3B046B"/>
    <w:multiLevelType w:val="multilevel"/>
    <w:tmpl w:val="7704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4F0A78"/>
    <w:multiLevelType w:val="multilevel"/>
    <w:tmpl w:val="4B648E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5279"/>
    <w:rsid w:val="006355FC"/>
    <w:rsid w:val="00953ABD"/>
    <w:rsid w:val="00E15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15279"/>
  </w:style>
  <w:style w:type="paragraph" w:styleId="NormalWeb">
    <w:name w:val="Normal (Web)"/>
    <w:basedOn w:val="Normal"/>
    <w:uiPriority w:val="99"/>
    <w:semiHidden/>
    <w:unhideWhenUsed/>
    <w:rsid w:val="00E15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1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8274">
          <w:marLeft w:val="0"/>
          <w:marRight w:val="0"/>
          <w:marTop w:val="0"/>
          <w:marBottom w:val="0"/>
          <w:divBdr>
            <w:top w:val="single" w:sz="2" w:space="8" w:color="BBBBBB"/>
            <w:left w:val="single" w:sz="2" w:space="0" w:color="656565"/>
            <w:bottom w:val="single" w:sz="6" w:space="8" w:color="FFFFFF"/>
            <w:right w:val="single" w:sz="2" w:space="0" w:color="656565"/>
          </w:divBdr>
        </w:div>
        <w:div w:id="1980959443">
          <w:marLeft w:val="0"/>
          <w:marRight w:val="0"/>
          <w:marTop w:val="0"/>
          <w:marBottom w:val="0"/>
          <w:divBdr>
            <w:top w:val="single" w:sz="6" w:space="8" w:color="EEEEEE"/>
            <w:left w:val="single" w:sz="2" w:space="8" w:color="656565"/>
            <w:bottom w:val="single" w:sz="2" w:space="8" w:color="BBBBBB"/>
            <w:right w:val="single" w:sz="2" w:space="8" w:color="656565"/>
          </w:divBdr>
          <w:divsChild>
            <w:div w:id="1347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945</Words>
  <Characters>5392</Characters>
  <Application>Microsoft Office Word</Application>
  <DocSecurity>0</DocSecurity>
  <Lines>44</Lines>
  <Paragraphs>12</Paragraphs>
  <ScaleCrop>false</ScaleCrop>
  <Company>Hewlett-Packard</Company>
  <LinksUpToDate>false</LinksUpToDate>
  <CharactersWithSpaces>6325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1</cp:revision>
  <dcterms:created xsi:type="dcterms:W3CDTF">2011-06-08T02:40:00Z</dcterms:created>
  <dcterms:modified xsi:type="dcterms:W3CDTF">2011-06-08T02:41:00Z</dcterms:modified>
</cp:coreProperties>
</file>