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r w:rsidR="00B97977">
        <w:rPr>
          <w:rFonts w:ascii="Verdana" w:hAnsi="Verdana" w:cs="Arial"/>
          <w:sz w:val="18"/>
          <w:szCs w:val="18"/>
        </w:rPr>
        <w:t>Kohalwila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Gonalwala,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Kelaniya,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8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+94772317666,+94716825707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E370BB" w:rsidRPr="008A7B72" w:rsidRDefault="00E370BB">
      <w:pPr>
        <w:rPr>
          <w:rFonts w:ascii="Verdana" w:hAnsi="Verdana"/>
          <w:sz w:val="20"/>
          <w:szCs w:val="20"/>
        </w:rPr>
      </w:pPr>
    </w:p>
    <w:p w:rsidR="00030ABA" w:rsidRPr="008A7B72" w:rsidRDefault="00874F50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vertAlign w:val="superscript"/>
        </w:rPr>
        <w:t>17</w:t>
      </w:r>
      <w:r w:rsidR="007724C4" w:rsidRPr="007724C4">
        <w:rPr>
          <w:rFonts w:ascii="Verdana" w:hAnsi="Verdana"/>
          <w:sz w:val="20"/>
          <w:szCs w:val="20"/>
          <w:vertAlign w:val="superscript"/>
        </w:rPr>
        <w:t>th</w:t>
      </w:r>
      <w:r w:rsidR="007724C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Oct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F34D9F">
        <w:rPr>
          <w:rFonts w:ascii="Verdana" w:hAnsi="Verdana"/>
          <w:sz w:val="20"/>
          <w:szCs w:val="20"/>
        </w:rPr>
        <w:t>4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>Mr. Anuranga Indrajith Handaragam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874F50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M4PO14000003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People’s Merchant Bank,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#21, Nawam Mawatha,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Colombo 02.</w:t>
      </w:r>
    </w:p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874F50">
        <w:rPr>
          <w:rFonts w:ascii="Verdana" w:hAnsi="Verdana"/>
          <w:b/>
          <w:bCs/>
          <w:sz w:val="20"/>
          <w:szCs w:val="20"/>
          <w:u w:val="single"/>
        </w:rPr>
        <w:t>Introduce Interest Waive for</w:t>
      </w:r>
      <w:r w:rsidR="00F34D9F">
        <w:rPr>
          <w:rFonts w:ascii="Verdana" w:hAnsi="Verdana"/>
          <w:b/>
          <w:bCs/>
          <w:sz w:val="20"/>
          <w:szCs w:val="20"/>
          <w:u w:val="single"/>
        </w:rPr>
        <w:t xml:space="preserve"> Pawn</w:t>
      </w:r>
      <w:r w:rsidR="007724C4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151D1A" w:rsidRPr="008A7B72">
        <w:rPr>
          <w:rFonts w:ascii="Verdana" w:hAnsi="Verdana"/>
          <w:b/>
          <w:bCs/>
          <w:sz w:val="20"/>
          <w:szCs w:val="20"/>
          <w:u w:val="single"/>
        </w:rPr>
        <w:t xml:space="preserve">Management </w:t>
      </w:r>
      <w:r w:rsidR="007B5D01" w:rsidRPr="008A7B72">
        <w:rPr>
          <w:rFonts w:ascii="Verdana" w:hAnsi="Verdana"/>
          <w:b/>
          <w:bCs/>
          <w:sz w:val="20"/>
          <w:szCs w:val="20"/>
          <w:u w:val="single"/>
        </w:rPr>
        <w:t>Software Solution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tbl>
      <w:tblPr>
        <w:tblW w:w="6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40"/>
        <w:gridCol w:w="3960"/>
        <w:gridCol w:w="2160"/>
      </w:tblGrid>
      <w:tr w:rsidR="007724C4" w:rsidTr="007724C4">
        <w:trPr>
          <w:trHeight w:val="192"/>
        </w:trPr>
        <w:tc>
          <w:tcPr>
            <w:tcW w:w="540" w:type="dxa"/>
            <w:shd w:val="clear" w:color="auto" w:fill="auto"/>
          </w:tcPr>
          <w:p w:rsidR="007724C4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7724C4" w:rsidRPr="0000250C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250C">
              <w:rPr>
                <w:rFonts w:ascii="Verdana" w:hAnsi="Verdana" w:cs="Arial"/>
                <w:b/>
                <w:sz w:val="18"/>
                <w:szCs w:val="18"/>
              </w:rPr>
              <w:t>Delivery Items</w:t>
            </w:r>
          </w:p>
        </w:tc>
        <w:tc>
          <w:tcPr>
            <w:tcW w:w="2160" w:type="dxa"/>
          </w:tcPr>
          <w:p w:rsidR="007724C4" w:rsidRPr="0000250C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Man Days</w:t>
            </w:r>
          </w:p>
        </w:tc>
      </w:tr>
      <w:tr w:rsidR="007724C4" w:rsidRPr="00C83BCF" w:rsidTr="00C83BCF">
        <w:trPr>
          <w:trHeight w:val="233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</w:t>
            </w:r>
          </w:p>
        </w:tc>
        <w:tc>
          <w:tcPr>
            <w:tcW w:w="3960" w:type="dxa"/>
            <w:shd w:val="clear" w:color="auto" w:fill="auto"/>
          </w:tcPr>
          <w:p w:rsidR="007724C4" w:rsidRPr="00C83BCF" w:rsidRDefault="00874F50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Introduce New Screen</w:t>
            </w:r>
          </w:p>
        </w:tc>
        <w:tc>
          <w:tcPr>
            <w:tcW w:w="2160" w:type="dxa"/>
          </w:tcPr>
          <w:p w:rsidR="007724C4" w:rsidRPr="00C83BCF" w:rsidRDefault="0050525D" w:rsidP="00F34D9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</w:t>
            </w:r>
            <w:r w:rsidR="00874F50">
              <w:rPr>
                <w:rFonts w:ascii="Verdana" w:hAnsi="Verdana" w:cs="Arial"/>
                <w:sz w:val="18"/>
                <w:szCs w:val="18"/>
              </w:rPr>
              <w:t>d</w:t>
            </w:r>
          </w:p>
        </w:tc>
      </w:tr>
      <w:tr w:rsidR="007724C4" w:rsidTr="00C83BCF">
        <w:trPr>
          <w:trHeight w:val="260"/>
        </w:trPr>
        <w:tc>
          <w:tcPr>
            <w:tcW w:w="540" w:type="dxa"/>
            <w:shd w:val="clear" w:color="auto" w:fill="auto"/>
          </w:tcPr>
          <w:p w:rsidR="007724C4" w:rsidRDefault="00874F50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2.</w:t>
            </w:r>
          </w:p>
        </w:tc>
        <w:tc>
          <w:tcPr>
            <w:tcW w:w="3960" w:type="dxa"/>
            <w:shd w:val="clear" w:color="auto" w:fill="auto"/>
          </w:tcPr>
          <w:p w:rsidR="007724C4" w:rsidRPr="00C83BCF" w:rsidRDefault="00874F50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Introduce New Table to Record Waive Off</w:t>
            </w:r>
          </w:p>
        </w:tc>
        <w:tc>
          <w:tcPr>
            <w:tcW w:w="2160" w:type="dxa"/>
          </w:tcPr>
          <w:p w:rsidR="007724C4" w:rsidRPr="00C83BCF" w:rsidRDefault="0050525D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.2</w:t>
            </w:r>
            <w:r w:rsidR="00874F50">
              <w:rPr>
                <w:rFonts w:ascii="Verdana" w:hAnsi="Verdana" w:cs="Arial"/>
                <w:sz w:val="18"/>
                <w:szCs w:val="18"/>
              </w:rPr>
              <w:t>d</w:t>
            </w:r>
          </w:p>
        </w:tc>
      </w:tr>
      <w:tr w:rsidR="00874F50" w:rsidTr="00C83BCF">
        <w:trPr>
          <w:trHeight w:val="260"/>
        </w:trPr>
        <w:tc>
          <w:tcPr>
            <w:tcW w:w="540" w:type="dxa"/>
            <w:shd w:val="clear" w:color="auto" w:fill="auto"/>
          </w:tcPr>
          <w:p w:rsidR="00874F50" w:rsidRDefault="00874F50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3.</w:t>
            </w:r>
          </w:p>
        </w:tc>
        <w:tc>
          <w:tcPr>
            <w:tcW w:w="3960" w:type="dxa"/>
            <w:shd w:val="clear" w:color="auto" w:fill="auto"/>
          </w:tcPr>
          <w:p w:rsidR="00874F50" w:rsidRDefault="00874F50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Pass the GL Entries and Create Waive off Receipt </w:t>
            </w:r>
          </w:p>
        </w:tc>
        <w:tc>
          <w:tcPr>
            <w:tcW w:w="2160" w:type="dxa"/>
          </w:tcPr>
          <w:p w:rsidR="00874F50" w:rsidRPr="00C83BCF" w:rsidRDefault="0050525D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</w:t>
            </w:r>
            <w:r w:rsidR="00874F50">
              <w:rPr>
                <w:rFonts w:ascii="Verdana" w:hAnsi="Verdana" w:cs="Arial"/>
                <w:sz w:val="18"/>
                <w:szCs w:val="18"/>
              </w:rPr>
              <w:t>d</w:t>
            </w:r>
          </w:p>
        </w:tc>
      </w:tr>
      <w:tr w:rsidR="00874F50" w:rsidTr="00C83BCF">
        <w:trPr>
          <w:trHeight w:val="260"/>
        </w:trPr>
        <w:tc>
          <w:tcPr>
            <w:tcW w:w="540" w:type="dxa"/>
            <w:shd w:val="clear" w:color="auto" w:fill="auto"/>
          </w:tcPr>
          <w:p w:rsidR="00874F50" w:rsidRDefault="00874F50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874F50" w:rsidRPr="00874F50" w:rsidRDefault="00874F50" w:rsidP="00C83BCF">
            <w:pPr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874F50">
              <w:rPr>
                <w:rFonts w:ascii="Verdana" w:hAnsi="Verdana" w:cs="Arial"/>
                <w:b/>
                <w:sz w:val="18"/>
                <w:szCs w:val="18"/>
              </w:rPr>
              <w:t>Total</w:t>
            </w:r>
          </w:p>
        </w:tc>
        <w:tc>
          <w:tcPr>
            <w:tcW w:w="2160" w:type="dxa"/>
          </w:tcPr>
          <w:p w:rsidR="00874F50" w:rsidRPr="00C83BCF" w:rsidRDefault="0050525D" w:rsidP="0050525D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</w:t>
            </w:r>
            <w:r w:rsidR="00874F50">
              <w:rPr>
                <w:rFonts w:ascii="Verdana" w:hAnsi="Verdana" w:cs="Arial"/>
                <w:sz w:val="18"/>
                <w:szCs w:val="18"/>
              </w:rPr>
              <w:t>.</w:t>
            </w:r>
            <w:r>
              <w:rPr>
                <w:rFonts w:ascii="Verdana" w:hAnsi="Verdana" w:cs="Arial"/>
                <w:sz w:val="18"/>
                <w:szCs w:val="18"/>
              </w:rPr>
              <w:t>2</w:t>
            </w:r>
            <w:r w:rsidR="00874F50">
              <w:rPr>
                <w:rFonts w:ascii="Verdana" w:hAnsi="Verdana" w:cs="Arial"/>
                <w:sz w:val="18"/>
                <w:szCs w:val="18"/>
              </w:rPr>
              <w:t>d</w:t>
            </w:r>
          </w:p>
        </w:tc>
      </w:tr>
    </w:tbl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B6A5A" w:rsidRPr="00F34D9F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F83ADB">
        <w:rPr>
          <w:rFonts w:ascii="Verdana" w:hAnsi="Verdana" w:cs="Tahoma"/>
          <w:sz w:val="18"/>
          <w:szCs w:val="18"/>
        </w:rPr>
        <w:t xml:space="preserve"> without Maintenance</w:t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>
        <w:rPr>
          <w:rFonts w:ascii="Verdana" w:hAnsi="Verdana" w:cs="Tahoma"/>
          <w:sz w:val="18"/>
          <w:szCs w:val="18"/>
        </w:rPr>
        <w:tab/>
      </w:r>
      <w:r w:rsidR="0029127E"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  <w:t xml:space="preserve">     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</w:t>
      </w:r>
      <w:r w:rsidR="00874F5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96,153.75</w:t>
      </w:r>
    </w:p>
    <w:p w:rsidR="00C510C7" w:rsidRDefault="00C510C7" w:rsidP="00C510C7">
      <w:pPr>
        <w:jc w:val="both"/>
        <w:rPr>
          <w:rFonts w:ascii="Verdana" w:hAnsi="Verdana" w:cs="Tahoma"/>
          <w:b/>
          <w:sz w:val="18"/>
          <w:szCs w:val="18"/>
        </w:rPr>
      </w:pPr>
    </w:p>
    <w:p w:rsidR="00A47A59" w:rsidRDefault="00A47A59" w:rsidP="00A47A59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**If this Software with in MAINTENANCE </w:t>
      </w:r>
    </w:p>
    <w:p w:rsidR="00A47A59" w:rsidRDefault="00A47A59" w:rsidP="00A47A59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u w:val="thick"/>
          <w:lang w:eastAsia="en-US" w:bidi="ar-SA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   Special Discount for PMF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  <w:t>Rs.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  <w:t xml:space="preserve">         </w:t>
      </w:r>
      <w:r w:rsidRPr="00471928">
        <w:rPr>
          <w:rFonts w:ascii="Calibri" w:eastAsia="Times New Roman" w:hAnsi="Calibri" w:cs="Times New Roman"/>
          <w:color w:val="000000"/>
          <w:sz w:val="22"/>
          <w:szCs w:val="22"/>
          <w:u w:val="thick"/>
          <w:lang w:eastAsia="en-US" w:bidi="ar-SA"/>
        </w:rPr>
        <w:t>36,153.75</w:t>
      </w:r>
    </w:p>
    <w:p w:rsidR="00A47A59" w:rsidRDefault="00A47A59" w:rsidP="00A47A59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A47A59" w:rsidRPr="00471928" w:rsidRDefault="00A47A59" w:rsidP="00A47A59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     Total cost</w:t>
      </w:r>
      <w:r>
        <w:rPr>
          <w:rFonts w:ascii="Verdana" w:hAnsi="Verdana" w:cs="Tahoma"/>
          <w:b/>
          <w:sz w:val="18"/>
          <w:szCs w:val="18"/>
        </w:rPr>
        <w:tab/>
        <w:t>(Under Maintenance)</w:t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</w:r>
      <w:r>
        <w:rPr>
          <w:rFonts w:ascii="Verdana" w:hAnsi="Verdana" w:cs="Tahoma"/>
          <w:b/>
          <w:sz w:val="18"/>
          <w:szCs w:val="18"/>
        </w:rPr>
        <w:tab/>
        <w:t>Rs.</w:t>
      </w:r>
      <w:r>
        <w:rPr>
          <w:rFonts w:ascii="Verdana" w:hAnsi="Verdana" w:cs="Tahoma"/>
          <w:b/>
          <w:sz w:val="18"/>
          <w:szCs w:val="18"/>
        </w:rPr>
        <w:tab/>
        <w:t xml:space="preserve">       </w:t>
      </w:r>
      <w:r w:rsidRPr="00471928">
        <w:rPr>
          <w:rFonts w:ascii="Calibri" w:eastAsia="Times New Roman" w:hAnsi="Calibri" w:cs="Times New Roman"/>
          <w:b/>
          <w:color w:val="000000"/>
          <w:sz w:val="22"/>
          <w:szCs w:val="22"/>
          <w:u w:val="double"/>
          <w:lang w:eastAsia="en-US" w:bidi="ar-SA"/>
        </w:rPr>
        <w:t>60,000.00</w:t>
      </w:r>
      <w:r>
        <w:rPr>
          <w:rFonts w:ascii="Verdana" w:hAnsi="Verdana" w:cs="Tahoma"/>
          <w:b/>
          <w:sz w:val="18"/>
          <w:szCs w:val="18"/>
        </w:rPr>
        <w:t xml:space="preserve"> </w:t>
      </w:r>
    </w:p>
    <w:p w:rsidR="00C510C7" w:rsidRDefault="00C510C7" w:rsidP="00C510C7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C510C7" w:rsidRDefault="00C510C7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E370BB" w:rsidRPr="008A7B72" w:rsidRDefault="00E370BB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Currency of Offer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All prices are in Sri Lankan Rupees.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C510C7">
        <w:rPr>
          <w:rFonts w:ascii="Verdana" w:hAnsi="Verdana" w:cs="Tahoma"/>
          <w:sz w:val="20"/>
          <w:szCs w:val="20"/>
        </w:rPr>
        <w:t xml:space="preserve">one </w:t>
      </w:r>
      <w:r w:rsidR="00233701">
        <w:rPr>
          <w:rFonts w:ascii="Verdana" w:hAnsi="Verdana" w:cs="Tahoma"/>
          <w:sz w:val="20"/>
          <w:szCs w:val="20"/>
        </w:rPr>
        <w:t>(0</w:t>
      </w:r>
      <w:r w:rsidR="00C510C7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B46BB7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.8pt;margin-top:1.35pt;width:83.6pt;height:36.95pt;z-index:251658240;mso-width-relative:margin;mso-height-relative:margin" stroked="f">
            <v:textbox>
              <w:txbxContent>
                <w:p w:rsidR="00351294" w:rsidRDefault="00F34D9F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823595" cy="377825"/>
                        <wp:effectExtent l="19050" t="0" r="0" b="0"/>
                        <wp:docPr id="2" name="Picture 1" descr="MySingnatur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Singnature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595" cy="37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J.M Madhujith Jayakody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0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096" w:rsidRDefault="00493096" w:rsidP="00544F17">
      <w:r>
        <w:separator/>
      </w:r>
    </w:p>
  </w:endnote>
  <w:endnote w:type="continuationSeparator" w:id="0">
    <w:p w:rsidR="00493096" w:rsidRDefault="00493096" w:rsidP="00544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46BB7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A47A59">
            <w:rPr>
              <w:noProof/>
            </w:rPr>
            <w:t>2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096" w:rsidRDefault="00493096" w:rsidP="00544F17">
      <w:r>
        <w:separator/>
      </w:r>
    </w:p>
  </w:footnote>
  <w:footnote w:type="continuationSeparator" w:id="0">
    <w:p w:rsidR="00493096" w:rsidRDefault="00493096" w:rsidP="00544F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5CBB"/>
    <w:rsid w:val="0000250C"/>
    <w:rsid w:val="000103FB"/>
    <w:rsid w:val="00012FF6"/>
    <w:rsid w:val="0002538E"/>
    <w:rsid w:val="00030998"/>
    <w:rsid w:val="00030ABA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B5F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93096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4854"/>
    <w:rsid w:val="00851937"/>
    <w:rsid w:val="00854206"/>
    <w:rsid w:val="008609D1"/>
    <w:rsid w:val="00861521"/>
    <w:rsid w:val="0086588C"/>
    <w:rsid w:val="00874F50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6132"/>
    <w:rsid w:val="009A22DC"/>
    <w:rsid w:val="009A3234"/>
    <w:rsid w:val="009A4690"/>
    <w:rsid w:val="009A5C7F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79E6"/>
    <w:rsid w:val="00A41D4D"/>
    <w:rsid w:val="00A43FF4"/>
    <w:rsid w:val="00A47A59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B13344"/>
    <w:rsid w:val="00B172FA"/>
    <w:rsid w:val="00B406B6"/>
    <w:rsid w:val="00B44D9F"/>
    <w:rsid w:val="00B451DB"/>
    <w:rsid w:val="00B46BB7"/>
    <w:rsid w:val="00B54FEA"/>
    <w:rsid w:val="00B6489A"/>
    <w:rsid w:val="00B64F4C"/>
    <w:rsid w:val="00B8413C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10C7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86C20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1644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7</cp:revision>
  <cp:lastPrinted>2013-02-03T02:27:00Z</cp:lastPrinted>
  <dcterms:created xsi:type="dcterms:W3CDTF">2014-10-17T16:01:00Z</dcterms:created>
  <dcterms:modified xsi:type="dcterms:W3CDTF">2014-11-13T05:17:00Z</dcterms:modified>
</cp:coreProperties>
</file>