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30" w:rsidRPr="003C6D76" w:rsidRDefault="00B1143F" w:rsidP="00041F30">
      <w:pPr>
        <w:pStyle w:val="Heading2"/>
        <w:rPr>
          <w:rFonts w:asciiTheme="minorHAnsi" w:eastAsiaTheme="minorHAnsi" w:hAnsiTheme="minorHAnsi"/>
          <w:sz w:val="28"/>
          <w:szCs w:val="22"/>
        </w:rPr>
      </w:pPr>
      <w:bookmarkStart w:id="0" w:name="m_7389906632193041156_-218972697__MailAu"/>
      <w:r w:rsidRPr="003C6D76">
        <w:rPr>
          <w:rFonts w:asciiTheme="minorHAnsi" w:eastAsiaTheme="minorHAnsi" w:hAnsiTheme="minorHAnsi"/>
          <w:sz w:val="28"/>
          <w:szCs w:val="22"/>
        </w:rPr>
        <w:t xml:space="preserve">Requirement Definition Document </w:t>
      </w:r>
      <w:bookmarkEnd w:id="0"/>
      <w:r w:rsidR="003C6D76">
        <w:rPr>
          <w:rFonts w:asciiTheme="minorHAnsi" w:eastAsiaTheme="minorHAnsi" w:hAnsiTheme="minorHAnsi"/>
          <w:sz w:val="28"/>
          <w:szCs w:val="22"/>
        </w:rPr>
        <w:t>– Pawning system</w:t>
      </w:r>
    </w:p>
    <w:p w:rsidR="00041F30" w:rsidRPr="003C6D76" w:rsidRDefault="00041F30" w:rsidP="00041F30">
      <w:pPr>
        <w:spacing w:before="100" w:beforeAutospacing="1" w:after="100" w:afterAutospacing="1"/>
        <w:rPr>
          <w:rFonts w:asciiTheme="minorHAnsi" w:hAnsiTheme="minorHAnsi"/>
          <w:szCs w:val="22"/>
        </w:rPr>
      </w:pPr>
      <w:r w:rsidRPr="003C6D76">
        <w:rPr>
          <w:rFonts w:asciiTheme="minorHAnsi" w:hAnsiTheme="minorHAnsi"/>
          <w:b/>
          <w:bCs/>
          <w:szCs w:val="22"/>
        </w:rPr>
        <w:t>1. Renewal Process.</w:t>
      </w:r>
    </w:p>
    <w:p w:rsidR="00041F30" w:rsidRPr="00DB08FC" w:rsidRDefault="00041F30" w:rsidP="00041F30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Current renewal process should be change according following.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When customer settles the total interest, ticket should be able renewed.  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When ticket is renewed same ticket number should be maintain in the system and expire date to be adjusted as per the current scheme.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There should option to maintain the renewal version of the ticket. 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Interest, advance rate and document charges should be applied as per the current scheme. 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According to the current scheme advance rate</w:t>
      </w:r>
      <w:r w:rsidR="00406638">
        <w:rPr>
          <w:rFonts w:asciiTheme="minorHAnsi" w:hAnsiTheme="minorHAnsi"/>
          <w:sz w:val="22"/>
          <w:szCs w:val="22"/>
        </w:rPr>
        <w:t>,</w:t>
      </w:r>
      <w:r w:rsidRPr="00DB08FC">
        <w:rPr>
          <w:rFonts w:asciiTheme="minorHAnsi" w:hAnsiTheme="minorHAnsi"/>
          <w:sz w:val="22"/>
          <w:szCs w:val="22"/>
        </w:rPr>
        <w:t xml:space="preserve"> if renewal advance amount is greater than previous advance amount, customer should pay the balance amount prior to renewal. System should </w:t>
      </w:r>
      <w:r w:rsidR="00406638">
        <w:rPr>
          <w:rFonts w:asciiTheme="minorHAnsi" w:hAnsiTheme="minorHAnsi"/>
          <w:sz w:val="22"/>
          <w:szCs w:val="22"/>
        </w:rPr>
        <w:t xml:space="preserve">show alert </w:t>
      </w:r>
      <w:r w:rsidRPr="00DB08FC">
        <w:rPr>
          <w:rFonts w:asciiTheme="minorHAnsi" w:hAnsiTheme="minorHAnsi"/>
          <w:sz w:val="22"/>
          <w:szCs w:val="22"/>
        </w:rPr>
        <w:t>message</w:t>
      </w:r>
      <w:r w:rsidR="00406638">
        <w:rPr>
          <w:rFonts w:asciiTheme="minorHAnsi" w:hAnsiTheme="minorHAnsi"/>
          <w:sz w:val="22"/>
          <w:szCs w:val="22"/>
        </w:rPr>
        <w:t xml:space="preserve"> to user with</w:t>
      </w:r>
      <w:r w:rsidRPr="00DB08FC">
        <w:rPr>
          <w:rFonts w:asciiTheme="minorHAnsi" w:hAnsiTheme="minorHAnsi"/>
          <w:sz w:val="22"/>
          <w:szCs w:val="22"/>
        </w:rPr>
        <w:t xml:space="preserve"> the amount and block to proceed.</w:t>
      </w:r>
    </w:p>
    <w:p w:rsidR="00041F30" w:rsidRPr="00DB08FC" w:rsidRDefault="00041F30" w:rsidP="00DB08FC">
      <w:pPr>
        <w:pStyle w:val="gmail-m7389906632193041156msolistparagraph"/>
        <w:numPr>
          <w:ilvl w:val="0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When ticket renewed ; Renewal-notice should be printed with following details 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Ticket No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Version 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Date/ time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Expire date 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Balance amount to paid 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Customer name</w:t>
      </w:r>
    </w:p>
    <w:p w:rsidR="00041F30" w:rsidRPr="00DB08FC" w:rsidRDefault="00041F30" w:rsidP="00DB08FC">
      <w:pPr>
        <w:pStyle w:val="gmail-m7389906632193041156msolistparagraph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Customer address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Version should be shown with ticket number in the </w:t>
      </w:r>
      <w:r w:rsidRPr="00DB08FC">
        <w:rPr>
          <w:rFonts w:asciiTheme="minorHAnsi" w:hAnsiTheme="minorHAnsi"/>
          <w:b/>
          <w:sz w:val="22"/>
          <w:szCs w:val="22"/>
        </w:rPr>
        <w:t xml:space="preserve">Trial </w:t>
      </w:r>
      <w:r w:rsidR="005E5CAB">
        <w:rPr>
          <w:rFonts w:asciiTheme="minorHAnsi" w:hAnsiTheme="minorHAnsi"/>
          <w:b/>
          <w:sz w:val="22"/>
          <w:szCs w:val="22"/>
        </w:rPr>
        <w:t>B</w:t>
      </w:r>
      <w:r w:rsidRPr="00DB08FC">
        <w:rPr>
          <w:rFonts w:asciiTheme="minorHAnsi" w:hAnsiTheme="minorHAnsi"/>
          <w:b/>
          <w:sz w:val="22"/>
          <w:szCs w:val="22"/>
        </w:rPr>
        <w:t xml:space="preserve">alance </w:t>
      </w:r>
      <w:r w:rsidR="005E5CAB">
        <w:rPr>
          <w:rFonts w:asciiTheme="minorHAnsi" w:hAnsiTheme="minorHAnsi"/>
          <w:b/>
          <w:sz w:val="22"/>
          <w:szCs w:val="22"/>
        </w:rPr>
        <w:t>R</w:t>
      </w:r>
      <w:r w:rsidRPr="00DB08FC">
        <w:rPr>
          <w:rFonts w:asciiTheme="minorHAnsi" w:hAnsiTheme="minorHAnsi"/>
          <w:b/>
          <w:sz w:val="22"/>
          <w:szCs w:val="22"/>
        </w:rPr>
        <w:t>eport</w:t>
      </w:r>
      <w:r w:rsidRPr="00DB08FC">
        <w:rPr>
          <w:rFonts w:asciiTheme="minorHAnsi" w:hAnsiTheme="minorHAnsi"/>
          <w:sz w:val="22"/>
          <w:szCs w:val="22"/>
        </w:rPr>
        <w:t xml:space="preserve"> (Portfolio report) and </w:t>
      </w:r>
      <w:r w:rsidRPr="00DB08FC">
        <w:rPr>
          <w:rFonts w:asciiTheme="minorHAnsi" w:hAnsiTheme="minorHAnsi"/>
          <w:b/>
          <w:sz w:val="22"/>
          <w:szCs w:val="22"/>
        </w:rPr>
        <w:t>Daily Pawning Statement</w:t>
      </w:r>
      <w:r w:rsidRPr="00DB08FC">
        <w:rPr>
          <w:rFonts w:asciiTheme="minorHAnsi" w:hAnsiTheme="minorHAnsi"/>
          <w:sz w:val="22"/>
          <w:szCs w:val="22"/>
        </w:rPr>
        <w:t>.</w:t>
      </w:r>
    </w:p>
    <w:p w:rsidR="00041F30" w:rsidRPr="003C6D76" w:rsidRDefault="00041F30" w:rsidP="00041F30">
      <w:pPr>
        <w:spacing w:before="100" w:beforeAutospacing="1" w:after="100" w:afterAutospacing="1"/>
        <w:rPr>
          <w:rFonts w:asciiTheme="minorHAnsi" w:hAnsiTheme="minorHAnsi"/>
        </w:rPr>
      </w:pPr>
      <w:r w:rsidRPr="003C6D76">
        <w:rPr>
          <w:rFonts w:asciiTheme="minorHAnsi" w:hAnsiTheme="minorHAnsi"/>
          <w:b/>
          <w:bCs/>
        </w:rPr>
        <w:t xml:space="preserve">2. New </w:t>
      </w:r>
      <w:r w:rsidR="00DB08FC" w:rsidRPr="003C6D76">
        <w:rPr>
          <w:rFonts w:asciiTheme="minorHAnsi" w:hAnsiTheme="minorHAnsi"/>
          <w:b/>
          <w:bCs/>
        </w:rPr>
        <w:t>P</w:t>
      </w:r>
      <w:r w:rsidRPr="003C6D76">
        <w:rPr>
          <w:rFonts w:asciiTheme="minorHAnsi" w:hAnsiTheme="minorHAnsi"/>
          <w:b/>
          <w:bCs/>
        </w:rPr>
        <w:t xml:space="preserve">arameters for Schemes </w:t>
      </w:r>
    </w:p>
    <w:p w:rsidR="00041F30" w:rsidRPr="00DB08FC" w:rsidRDefault="00041F30" w:rsidP="00041F30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Make more flexible scheme creation by incorporate following parameters to the system. 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Document charges parameter should be able to define </w:t>
      </w:r>
      <w:r w:rsidRPr="00DB08FC">
        <w:rPr>
          <w:rFonts w:asciiTheme="minorHAnsi" w:hAnsiTheme="minorHAnsi"/>
          <w:b/>
          <w:bCs/>
          <w:sz w:val="22"/>
          <w:szCs w:val="22"/>
        </w:rPr>
        <w:t>slab wise</w:t>
      </w:r>
      <w:r w:rsidRPr="00DB08FC">
        <w:rPr>
          <w:rFonts w:asciiTheme="minorHAnsi" w:hAnsiTheme="minorHAnsi"/>
          <w:sz w:val="22"/>
          <w:szCs w:val="22"/>
        </w:rPr>
        <w:t xml:space="preserve">.  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Document charges parameter should be able to </w:t>
      </w:r>
      <w:r w:rsidRPr="00DB08FC">
        <w:rPr>
          <w:rFonts w:asciiTheme="minorHAnsi" w:hAnsiTheme="minorHAnsi"/>
          <w:b/>
          <w:bCs/>
          <w:sz w:val="22"/>
          <w:szCs w:val="22"/>
        </w:rPr>
        <w:t>product wise</w:t>
      </w:r>
      <w:r w:rsidRPr="00DB08FC">
        <w:rPr>
          <w:rFonts w:asciiTheme="minorHAnsi" w:hAnsiTheme="minorHAnsi"/>
          <w:sz w:val="22"/>
          <w:szCs w:val="22"/>
        </w:rPr>
        <w:t xml:space="preserve"> and </w:t>
      </w:r>
      <w:r w:rsidRPr="00DB08FC">
        <w:rPr>
          <w:rFonts w:asciiTheme="minorHAnsi" w:hAnsiTheme="minorHAnsi"/>
          <w:b/>
          <w:bCs/>
          <w:sz w:val="22"/>
          <w:szCs w:val="22"/>
        </w:rPr>
        <w:t>scheme wise</w:t>
      </w:r>
      <w:r w:rsidRPr="00DB08FC">
        <w:rPr>
          <w:rFonts w:asciiTheme="minorHAnsi" w:hAnsiTheme="minorHAnsi"/>
          <w:sz w:val="22"/>
          <w:szCs w:val="22"/>
        </w:rPr>
        <w:t xml:space="preserve">. </w:t>
      </w:r>
    </w:p>
    <w:p w:rsidR="00041F30" w:rsidRPr="00DB08FC" w:rsidRDefault="00041F30" w:rsidP="00041F30">
      <w:pPr>
        <w:pStyle w:val="gmail-m7389906632193041156mso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>Document charges parameter should be able to apply to</w:t>
      </w:r>
      <w:r w:rsidRPr="00DB08FC">
        <w:rPr>
          <w:rFonts w:asciiTheme="minorHAnsi" w:hAnsiTheme="minorHAnsi"/>
          <w:b/>
          <w:bCs/>
          <w:sz w:val="22"/>
          <w:szCs w:val="22"/>
        </w:rPr>
        <w:t xml:space="preserve"> fixed amount </w:t>
      </w:r>
      <w:r w:rsidRPr="00DB08FC">
        <w:rPr>
          <w:rFonts w:asciiTheme="minorHAnsi" w:hAnsiTheme="minorHAnsi"/>
          <w:sz w:val="22"/>
          <w:szCs w:val="22"/>
        </w:rPr>
        <w:t>or</w:t>
      </w:r>
      <w:r w:rsidRPr="00DB08FC">
        <w:rPr>
          <w:rFonts w:asciiTheme="minorHAnsi" w:hAnsiTheme="minorHAnsi"/>
          <w:b/>
          <w:bCs/>
          <w:sz w:val="22"/>
          <w:szCs w:val="22"/>
        </w:rPr>
        <w:t xml:space="preserve"> percentage of advance value. </w:t>
      </w:r>
      <w:r w:rsidRPr="00DB08FC">
        <w:rPr>
          <w:rFonts w:asciiTheme="minorHAnsi" w:hAnsiTheme="minorHAnsi"/>
          <w:sz w:val="22"/>
          <w:szCs w:val="22"/>
        </w:rPr>
        <w:t> </w:t>
      </w:r>
    </w:p>
    <w:p w:rsidR="00041F30" w:rsidRPr="003C6D76" w:rsidRDefault="00DB08FC" w:rsidP="00041F30">
      <w:pPr>
        <w:spacing w:before="100" w:beforeAutospacing="1" w:after="100" w:afterAutospacing="1"/>
        <w:rPr>
          <w:rFonts w:asciiTheme="minorHAnsi" w:hAnsiTheme="minorHAnsi"/>
          <w:szCs w:val="22"/>
        </w:rPr>
      </w:pPr>
      <w:r w:rsidRPr="003C6D76">
        <w:rPr>
          <w:rFonts w:asciiTheme="minorHAnsi" w:hAnsiTheme="minorHAnsi"/>
          <w:b/>
          <w:bCs/>
          <w:szCs w:val="22"/>
        </w:rPr>
        <w:t>3</w:t>
      </w:r>
      <w:r w:rsidR="00041F30" w:rsidRPr="003C6D76">
        <w:rPr>
          <w:rFonts w:asciiTheme="minorHAnsi" w:hAnsiTheme="minorHAnsi"/>
          <w:b/>
          <w:bCs/>
          <w:szCs w:val="22"/>
        </w:rPr>
        <w:t>. New Schemes creation</w:t>
      </w:r>
    </w:p>
    <w:p w:rsidR="00041F30" w:rsidRPr="00DB08FC" w:rsidRDefault="00041F30" w:rsidP="00041F30">
      <w:pPr>
        <w:pStyle w:val="gmail-m7389906632193041156msolistparagraph"/>
        <w:rPr>
          <w:rFonts w:asciiTheme="minorHAnsi" w:hAnsiTheme="minorHAnsi"/>
          <w:sz w:val="22"/>
          <w:szCs w:val="22"/>
        </w:rPr>
      </w:pPr>
      <w:r w:rsidRPr="00DB08FC">
        <w:rPr>
          <w:rFonts w:asciiTheme="minorHAnsi" w:hAnsiTheme="minorHAnsi"/>
          <w:sz w:val="22"/>
          <w:szCs w:val="22"/>
        </w:rPr>
        <w:t xml:space="preserve">Currently new pawning Schemes should be create each branch separately.  There should be option to create once for all branches or option to copy and apply. </w:t>
      </w:r>
    </w:p>
    <w:p w:rsidR="00DB08FC" w:rsidRPr="003C6D76" w:rsidRDefault="00DB08FC" w:rsidP="00041F30">
      <w:pPr>
        <w:pStyle w:val="gmail-m7389906632193041156msolistparagraph"/>
        <w:rPr>
          <w:rFonts w:asciiTheme="minorHAnsi" w:hAnsiTheme="minorHAnsi"/>
          <w:b/>
          <w:szCs w:val="22"/>
        </w:rPr>
      </w:pPr>
      <w:r w:rsidRPr="003C6D76">
        <w:rPr>
          <w:rFonts w:asciiTheme="minorHAnsi" w:hAnsiTheme="minorHAnsi"/>
          <w:b/>
          <w:szCs w:val="22"/>
        </w:rPr>
        <w:t xml:space="preserve">4. New Daily monitoring Report </w:t>
      </w:r>
    </w:p>
    <w:p w:rsidR="00DB08FC" w:rsidRDefault="00DB08FC" w:rsidP="00041F30">
      <w:pPr>
        <w:pStyle w:val="gmail-m7389906632193041156mso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Management requested the new report format of daily monitoring of the pawning operation. </w:t>
      </w:r>
      <w:r w:rsidR="00406638">
        <w:rPr>
          <w:rFonts w:asciiTheme="minorHAnsi" w:hAnsiTheme="minorHAnsi"/>
          <w:sz w:val="22"/>
          <w:szCs w:val="22"/>
        </w:rPr>
        <w:t xml:space="preserve"> Refer following format.  This report should be in </w:t>
      </w:r>
      <w:r w:rsidR="00406638" w:rsidRPr="00406638">
        <w:rPr>
          <w:rFonts w:asciiTheme="minorHAnsi" w:hAnsiTheme="minorHAnsi"/>
          <w:b/>
          <w:sz w:val="22"/>
          <w:szCs w:val="22"/>
        </w:rPr>
        <w:t>Excel</w:t>
      </w:r>
      <w:r w:rsidR="00406638">
        <w:rPr>
          <w:rFonts w:asciiTheme="minorHAnsi" w:hAnsiTheme="minorHAnsi"/>
          <w:sz w:val="22"/>
          <w:szCs w:val="22"/>
        </w:rPr>
        <w:t xml:space="preserve"> or any other support format.</w:t>
      </w:r>
    </w:p>
    <w:p w:rsidR="00DB08FC" w:rsidRDefault="00DB08FC" w:rsidP="00041F30">
      <w:pPr>
        <w:pStyle w:val="gmail-m7389906632193041156msolistparagraph"/>
        <w:rPr>
          <w:rFonts w:asciiTheme="minorHAnsi" w:hAnsiTheme="minorHAnsi"/>
          <w:sz w:val="22"/>
          <w:szCs w:val="22"/>
        </w:rPr>
      </w:pPr>
    </w:p>
    <w:p w:rsidR="00DB08FC" w:rsidRDefault="00DB08FC" w:rsidP="00DB08FC">
      <w:pPr>
        <w:pStyle w:val="gmail-m7389906632193041156msolistparagraph"/>
        <w:rPr>
          <w:rFonts w:asciiTheme="minorHAnsi" w:hAnsiTheme="minorHAnsi"/>
          <w:sz w:val="22"/>
          <w:szCs w:val="22"/>
        </w:rPr>
        <w:sectPr w:rsidR="00DB08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8620" w:type="dxa"/>
        <w:tblInd w:w="93" w:type="dxa"/>
        <w:tblLook w:val="04A0" w:firstRow="1" w:lastRow="0" w:firstColumn="1" w:lastColumn="0" w:noHBand="0" w:noVBand="1"/>
      </w:tblPr>
      <w:tblGrid>
        <w:gridCol w:w="3020"/>
        <w:gridCol w:w="1120"/>
        <w:gridCol w:w="1120"/>
        <w:gridCol w:w="1120"/>
        <w:gridCol w:w="1120"/>
        <w:gridCol w:w="1120"/>
      </w:tblGrid>
      <w:tr w:rsidR="00DB08FC" w:rsidRPr="00DB08FC" w:rsidTr="00406638">
        <w:trPr>
          <w:trHeight w:val="225"/>
        </w:trPr>
        <w:tc>
          <w:tcPr>
            <w:tcW w:w="3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lastRenderedPageBreak/>
              <w:t>Gold Loans</w:t>
            </w:r>
          </w:p>
          <w:p w:rsidR="00406638" w:rsidRPr="00DB08FC" w:rsidRDefault="00406638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Granting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8FC" w:rsidRDefault="00DB08FC" w:rsidP="00DB08FC">
            <w:pPr>
              <w:jc w:val="center"/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>Today</w:t>
            </w:r>
          </w:p>
          <w:p w:rsidR="00406638" w:rsidRPr="00DB08FC" w:rsidRDefault="00406638" w:rsidP="00DB08FC">
            <w:pPr>
              <w:jc w:val="center"/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>&lt;Date&gt;</w:t>
            </w:r>
          </w:p>
        </w:tc>
        <w:tc>
          <w:tcPr>
            <w:tcW w:w="44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Month to </w:t>
            </w:r>
            <w:r w:rsidR="00406638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&lt;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Date</w:t>
            </w:r>
            <w:r w:rsidR="00406638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&gt;</w:t>
            </w:r>
          </w:p>
        </w:tc>
      </w:tr>
      <w:tr w:rsidR="00DB08FC" w:rsidRPr="00DB08FC" w:rsidTr="00406638">
        <w:trPr>
          <w:trHeight w:val="450"/>
        </w:trPr>
        <w:tc>
          <w:tcPr>
            <w:tcW w:w="30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strike/>
                <w:color w:val="000000"/>
                <w:sz w:val="16"/>
                <w:szCs w:val="16"/>
              </w:rPr>
              <w:t>Target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strike/>
                <w:color w:val="000000"/>
                <w:sz w:val="16"/>
                <w:szCs w:val="16"/>
              </w:rPr>
              <w:t>Achievement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Previous Month</w:t>
            </w:r>
          </w:p>
        </w:tc>
      </w:tr>
      <w:tr w:rsidR="00406638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Time Period - 01 Month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                            -03 Month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                            -06 Month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Italic" w:eastAsia="Times New Roman" w:hAnsi="Calibri Italic"/>
                <w:color w:val="000000"/>
                <w:sz w:val="16"/>
                <w:szCs w:val="16"/>
              </w:rPr>
            </w:pPr>
            <w:r w:rsidRPr="00DB08FC">
              <w:rPr>
                <w:rFonts w:ascii="Calibri Italic" w:eastAsia="Times New Roman" w:hAnsi="Calibri Italic"/>
                <w:color w:val="000000"/>
                <w:sz w:val="16"/>
                <w:szCs w:val="16"/>
              </w:rPr>
              <w:t xml:space="preserve">                             -09 Month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                            -12 Month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Italic" w:eastAsia="Times New Roman" w:hAnsi="Calibri Italic"/>
                <w:color w:val="000000"/>
                <w:sz w:val="16"/>
                <w:szCs w:val="16"/>
              </w:rPr>
            </w:pPr>
            <w:r w:rsidRPr="00DB08FC">
              <w:rPr>
                <w:rFonts w:ascii="Calibri Italic" w:eastAsia="Times New Roman" w:hAnsi="Calibri Italic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 xml:space="preserve">Total New </w:t>
            </w:r>
            <w:r w:rsidR="00406638" w:rsidRPr="00DB08FC"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>Granting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Italic" w:eastAsia="Times New Roman" w:hAnsi="Calibri Italic"/>
                <w:color w:val="000000"/>
                <w:sz w:val="16"/>
                <w:szCs w:val="16"/>
              </w:rPr>
            </w:pPr>
            <w:r w:rsidRPr="00DB08FC">
              <w:rPr>
                <w:rFonts w:ascii="Calibri Italic" w:eastAsia="Times New Roman" w:hAnsi="Calibri Italic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406638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Auctioned - (Capital + Interest)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Italic" w:eastAsia="Times New Roman" w:hAnsi="Calibri Italic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 Italic" w:eastAsia="Times New Roman" w:hAnsi="Calibri Italic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</w:tr>
      <w:tr w:rsidR="00406638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Auction Loss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Italic" w:eastAsia="Times New Roman" w:hAnsi="Calibri Italic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 Italic" w:eastAsia="Times New Roman" w:hAnsi="Calibri Italic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</w:tr>
      <w:tr w:rsidR="00406638" w:rsidRPr="00DB08FC" w:rsidTr="00437475">
        <w:trPr>
          <w:trHeight w:val="45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638" w:rsidRPr="00DB08FC" w:rsidRDefault="00406638" w:rsidP="00DB08F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38" w:rsidRDefault="00406638" w:rsidP="00DB08FC">
            <w:pPr>
              <w:jc w:val="center"/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>Today</w:t>
            </w:r>
          </w:p>
          <w:p w:rsidR="00406638" w:rsidRPr="00DB08FC" w:rsidRDefault="00406638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 Bold" w:eastAsia="Times New Roman" w:hAnsi="Calibri Bold"/>
                <w:b/>
                <w:bCs/>
                <w:color w:val="000000"/>
                <w:sz w:val="16"/>
                <w:szCs w:val="16"/>
              </w:rPr>
              <w:t>&lt;Date&gt;</w:t>
            </w:r>
          </w:p>
        </w:tc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06638" w:rsidRPr="00DB08FC" w:rsidRDefault="00406638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Month to &lt;Date&gt;</w:t>
            </w:r>
          </w:p>
        </w:tc>
      </w:tr>
      <w:tr w:rsidR="00DB08FC" w:rsidRPr="00DB08FC" w:rsidTr="00406638">
        <w:trPr>
          <w:trHeight w:val="45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Actual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Previous Month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Variance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B08FC" w:rsidRPr="00DB08FC" w:rsidRDefault="00DB08FC" w:rsidP="00DB08F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Compared to last Month</w:t>
            </w:r>
            <w:r w:rsidR="00406638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%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Renewals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Redemptions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Capital Deductions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Interest Income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406638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OD Collected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strike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strike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strike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406638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Service Charge</w:t>
            </w:r>
            <w:r w:rsidR="00406638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( Document Charges)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25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Net Portfolio Amount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DB08FC" w:rsidRPr="00DB08FC" w:rsidTr="00406638">
        <w:trPr>
          <w:trHeight w:val="24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 Bold" w:eastAsia="Times New Roman" w:hAnsi="Calibri Bold"/>
                <w:color w:val="000000"/>
                <w:sz w:val="16"/>
                <w:szCs w:val="16"/>
              </w:rPr>
            </w:pPr>
            <w:r w:rsidRPr="00DB08FC">
              <w:rPr>
                <w:rFonts w:ascii="Calibri Bold" w:eastAsia="Times New Roman" w:hAnsi="Calibri Bold"/>
                <w:color w:val="000000"/>
                <w:sz w:val="16"/>
                <w:szCs w:val="16"/>
              </w:rPr>
              <w:t>Gram Increase in portfolio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8FC" w:rsidRPr="00DB08FC" w:rsidRDefault="00DB08FC" w:rsidP="00DB08F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DB08FC"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</w:tbl>
    <w:p w:rsidR="00DB08FC" w:rsidRPr="00B1143F" w:rsidRDefault="00B1143F" w:rsidP="00DB08FC">
      <w:pPr>
        <w:pStyle w:val="gmail-m7389906632193041156msolistparagraph"/>
        <w:rPr>
          <w:rFonts w:asciiTheme="minorHAnsi" w:hAnsiTheme="minorHAnsi"/>
          <w:i/>
          <w:sz w:val="22"/>
          <w:szCs w:val="22"/>
        </w:rPr>
      </w:pPr>
      <w:r w:rsidRPr="00B1143F">
        <w:rPr>
          <w:rFonts w:asciiTheme="minorHAnsi" w:hAnsiTheme="minorHAnsi"/>
          <w:i/>
          <w:sz w:val="22"/>
          <w:szCs w:val="22"/>
        </w:rPr>
        <w:t xml:space="preserve">Note: Grey highlighted rows and columns will not be included in the report </w:t>
      </w:r>
    </w:p>
    <w:p w:rsidR="00B1143F" w:rsidRPr="003C6D76" w:rsidRDefault="00041F30" w:rsidP="00B1143F">
      <w:pPr>
        <w:jc w:val="both"/>
        <w:rPr>
          <w:rFonts w:asciiTheme="minorHAnsi" w:hAnsiTheme="minorHAnsi"/>
          <w:b/>
          <w:szCs w:val="22"/>
        </w:rPr>
      </w:pPr>
      <w:r w:rsidRPr="003C6D76">
        <w:rPr>
          <w:rFonts w:asciiTheme="minorHAnsi" w:hAnsiTheme="minorHAnsi"/>
          <w:b/>
          <w:szCs w:val="22"/>
        </w:rPr>
        <w:t> </w:t>
      </w:r>
      <w:r w:rsidR="003C6D76">
        <w:rPr>
          <w:rFonts w:asciiTheme="minorHAnsi" w:hAnsiTheme="minorHAnsi"/>
          <w:b/>
          <w:szCs w:val="22"/>
        </w:rPr>
        <w:t xml:space="preserve">Requirement </w:t>
      </w:r>
      <w:r w:rsidR="00B1143F" w:rsidRPr="003C6D76">
        <w:rPr>
          <w:rFonts w:asciiTheme="minorHAnsi" w:hAnsiTheme="minorHAnsi"/>
          <w:b/>
          <w:szCs w:val="22"/>
        </w:rPr>
        <w:t>Sign-off</w:t>
      </w:r>
    </w:p>
    <w:p w:rsidR="00B1143F" w:rsidRDefault="00B1143F" w:rsidP="00B1143F">
      <w:pPr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2520"/>
        <w:gridCol w:w="1800"/>
        <w:gridCol w:w="2340"/>
      </w:tblGrid>
      <w:tr w:rsidR="00B1143F" w:rsidTr="00F810D5">
        <w:tc>
          <w:tcPr>
            <w:tcW w:w="2610" w:type="dxa"/>
          </w:tcPr>
          <w:p w:rsidR="00B1143F" w:rsidRPr="00B1143F" w:rsidRDefault="00B1143F" w:rsidP="00FC417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1143F">
              <w:rPr>
                <w:rFonts w:asciiTheme="minorHAnsi" w:hAnsiTheme="minorHAnsi"/>
                <w:b/>
                <w:sz w:val="22"/>
                <w:szCs w:val="22"/>
              </w:rPr>
              <w:t>Department</w:t>
            </w:r>
          </w:p>
        </w:tc>
        <w:tc>
          <w:tcPr>
            <w:tcW w:w="2520" w:type="dxa"/>
          </w:tcPr>
          <w:p w:rsidR="00B1143F" w:rsidRPr="00B1143F" w:rsidRDefault="00B1143F" w:rsidP="00FC417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1143F"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1800" w:type="dxa"/>
          </w:tcPr>
          <w:p w:rsidR="00B1143F" w:rsidRPr="00B1143F" w:rsidRDefault="00B1143F" w:rsidP="00FC417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1143F">
              <w:rPr>
                <w:rFonts w:asciiTheme="minorHAnsi" w:hAnsi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340" w:type="dxa"/>
          </w:tcPr>
          <w:p w:rsidR="00B1143F" w:rsidRPr="00B1143F" w:rsidRDefault="00B1143F" w:rsidP="00FC417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B1143F"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</w:tr>
      <w:tr w:rsidR="00B1143F" w:rsidTr="00F810D5">
        <w:trPr>
          <w:trHeight w:val="485"/>
        </w:trPr>
        <w:tc>
          <w:tcPr>
            <w:tcW w:w="261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Pawning Department </w:t>
            </w:r>
          </w:p>
        </w:tc>
        <w:tc>
          <w:tcPr>
            <w:tcW w:w="252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143F">
              <w:rPr>
                <w:rFonts w:asciiTheme="minorHAnsi" w:hAnsiTheme="minorHAnsi"/>
                <w:sz w:val="22"/>
                <w:szCs w:val="22"/>
              </w:rPr>
              <w:t>Rajinda</w:t>
            </w:r>
            <w:proofErr w:type="spellEnd"/>
            <w:r w:rsidRPr="00B1143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143F">
              <w:rPr>
                <w:rFonts w:asciiTheme="minorHAnsi" w:hAnsiTheme="minorHAnsi"/>
                <w:sz w:val="22"/>
                <w:szCs w:val="22"/>
              </w:rPr>
              <w:t>Amaratunga</w:t>
            </w:r>
            <w:proofErr w:type="spellEnd"/>
          </w:p>
        </w:tc>
        <w:tc>
          <w:tcPr>
            <w:tcW w:w="180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1143F" w:rsidTr="00F810D5">
        <w:tc>
          <w:tcPr>
            <w:tcW w:w="261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  <w:r w:rsidRPr="00B1143F">
              <w:rPr>
                <w:rFonts w:asciiTheme="minorHAnsi" w:hAnsiTheme="minorHAnsi"/>
                <w:sz w:val="22"/>
                <w:szCs w:val="22"/>
              </w:rPr>
              <w:t xml:space="preserve">Leasing Department </w:t>
            </w:r>
          </w:p>
        </w:tc>
        <w:tc>
          <w:tcPr>
            <w:tcW w:w="252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143F">
              <w:rPr>
                <w:rFonts w:asciiTheme="minorHAnsi" w:hAnsiTheme="minorHAnsi"/>
                <w:sz w:val="22"/>
                <w:szCs w:val="22"/>
              </w:rPr>
              <w:t>Charith</w:t>
            </w:r>
            <w:proofErr w:type="spellEnd"/>
            <w:r w:rsidRPr="00B1143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143F">
              <w:rPr>
                <w:rFonts w:asciiTheme="minorHAnsi" w:hAnsiTheme="minorHAnsi"/>
                <w:sz w:val="22"/>
                <w:szCs w:val="22"/>
              </w:rPr>
              <w:t>Guneratne</w:t>
            </w:r>
            <w:proofErr w:type="spellEnd"/>
          </w:p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1143F" w:rsidTr="00F810D5">
        <w:tc>
          <w:tcPr>
            <w:tcW w:w="261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  <w:r w:rsidRPr="00B1143F">
              <w:rPr>
                <w:rFonts w:asciiTheme="minorHAnsi" w:hAnsiTheme="minorHAnsi"/>
                <w:sz w:val="22"/>
                <w:szCs w:val="22"/>
              </w:rPr>
              <w:t xml:space="preserve">Finance Department </w:t>
            </w:r>
          </w:p>
        </w:tc>
        <w:tc>
          <w:tcPr>
            <w:tcW w:w="252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143F">
              <w:rPr>
                <w:rFonts w:asciiTheme="minorHAnsi" w:hAnsiTheme="minorHAnsi"/>
                <w:sz w:val="22"/>
                <w:szCs w:val="22"/>
              </w:rPr>
              <w:t>Aloka</w:t>
            </w:r>
            <w:proofErr w:type="spellEnd"/>
            <w:r w:rsidRPr="00B1143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143F">
              <w:rPr>
                <w:rFonts w:asciiTheme="minorHAnsi" w:hAnsiTheme="minorHAnsi"/>
                <w:sz w:val="22"/>
                <w:szCs w:val="22"/>
              </w:rPr>
              <w:t>Hewawasam</w:t>
            </w:r>
            <w:proofErr w:type="spellEnd"/>
          </w:p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B1143F" w:rsidRPr="00B1143F" w:rsidRDefault="00B1143F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810D5" w:rsidTr="00F810D5">
        <w:tc>
          <w:tcPr>
            <w:tcW w:w="2610" w:type="dxa"/>
          </w:tcPr>
          <w:p w:rsidR="00F810D5" w:rsidRPr="00B1143F" w:rsidRDefault="00F810D5" w:rsidP="00FC417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IT Department </w:t>
            </w:r>
          </w:p>
        </w:tc>
        <w:tc>
          <w:tcPr>
            <w:tcW w:w="2520" w:type="dxa"/>
          </w:tcPr>
          <w:p w:rsidR="00F810D5" w:rsidRPr="00B1143F" w:rsidRDefault="00F810D5" w:rsidP="00FC417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Anuranga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Handaragama</w:t>
            </w:r>
            <w:proofErr w:type="spellEnd"/>
          </w:p>
        </w:tc>
        <w:tc>
          <w:tcPr>
            <w:tcW w:w="1800" w:type="dxa"/>
          </w:tcPr>
          <w:p w:rsidR="00F810D5" w:rsidRPr="00B1143F" w:rsidRDefault="00F810D5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810D5" w:rsidRPr="00B1143F" w:rsidRDefault="00F810D5" w:rsidP="00FC417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41F30" w:rsidRPr="00DB08FC" w:rsidRDefault="00041F30" w:rsidP="00B1143F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</w:p>
    <w:p w:rsidR="00E21E15" w:rsidRPr="00DB08FC" w:rsidRDefault="00E21E15">
      <w:pPr>
        <w:rPr>
          <w:rFonts w:asciiTheme="minorHAnsi" w:hAnsiTheme="minorHAnsi"/>
          <w:sz w:val="22"/>
          <w:szCs w:val="22"/>
        </w:rPr>
      </w:pPr>
      <w:bookmarkStart w:id="1" w:name="_GoBack"/>
      <w:bookmarkEnd w:id="1"/>
    </w:p>
    <w:sectPr w:rsidR="00E21E15" w:rsidRPr="00DB08FC" w:rsidSect="00DB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Bold">
    <w:panose1 w:val="00000000000000000000"/>
    <w:charset w:val="00"/>
    <w:family w:val="roman"/>
    <w:notTrueType/>
    <w:pitch w:val="default"/>
  </w:font>
  <w:font w:name="Calibri 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3617A"/>
    <w:multiLevelType w:val="hybridMultilevel"/>
    <w:tmpl w:val="3A9E4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6FC902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B571D"/>
    <w:multiLevelType w:val="hybridMultilevel"/>
    <w:tmpl w:val="935C9C3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9EE74E8"/>
    <w:multiLevelType w:val="hybridMultilevel"/>
    <w:tmpl w:val="878A3AE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58359A1"/>
    <w:multiLevelType w:val="hybridMultilevel"/>
    <w:tmpl w:val="9EFED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33891"/>
    <w:multiLevelType w:val="hybridMultilevel"/>
    <w:tmpl w:val="6D80392E"/>
    <w:lvl w:ilvl="0" w:tplc="FC50406A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46C27"/>
    <w:multiLevelType w:val="hybridMultilevel"/>
    <w:tmpl w:val="D57CA33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A6FC902A">
      <w:start w:val="1"/>
      <w:numFmt w:val="lowerRoman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30"/>
    <w:rsid w:val="00041F30"/>
    <w:rsid w:val="003C6D76"/>
    <w:rsid w:val="00406638"/>
    <w:rsid w:val="005E5CAB"/>
    <w:rsid w:val="00B1143F"/>
    <w:rsid w:val="00DB08FC"/>
    <w:rsid w:val="00E21E15"/>
    <w:rsid w:val="00F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41F3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1F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mail-m7389906632193041156msolistparagraph">
    <w:name w:val="gmail-m_7389906632193041156msolistparagraph"/>
    <w:basedOn w:val="Normal"/>
    <w:rsid w:val="00041F3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1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1143F"/>
    <w:rPr>
      <w:rFonts w:ascii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143F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F3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41F3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1F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mail-m7389906632193041156msolistparagraph">
    <w:name w:val="gmail-m_7389906632193041156msolistparagraph"/>
    <w:basedOn w:val="Normal"/>
    <w:rsid w:val="00041F3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11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B1143F"/>
    <w:rPr>
      <w:rFonts w:ascii="Calibr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143F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Anuranga Handaragama</dc:creator>
  <cp:lastModifiedBy>Anuranga Handaragama</cp:lastModifiedBy>
  <cp:revision>4</cp:revision>
  <dcterms:created xsi:type="dcterms:W3CDTF">2019-07-15T03:14:00Z</dcterms:created>
  <dcterms:modified xsi:type="dcterms:W3CDTF">2019-07-15T03:50:00Z</dcterms:modified>
</cp:coreProperties>
</file>