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7F" w:rsidRDefault="00246B26" w:rsidP="0086757F">
      <w:pPr>
        <w:pStyle w:val="pw-post-body-paragraph"/>
        <w:shd w:val="clear" w:color="auto" w:fill="FFFFFF"/>
        <w:spacing w:before="514" w:beforeAutospacing="0" w:after="0" w:afterAutospacing="0" w:line="276" w:lineRule="auto"/>
        <w:jc w:val="center"/>
        <w:rPr>
          <w:rStyle w:val="Strong"/>
          <w:rFonts w:ascii="Georgia" w:hAnsi="Georgia"/>
          <w:color w:val="242424"/>
          <w:spacing w:val="-1"/>
          <w:sz w:val="32"/>
          <w:szCs w:val="32"/>
          <w:u w:val="single"/>
        </w:rPr>
      </w:pPr>
      <w:r w:rsidRPr="00246B26">
        <w:rPr>
          <w:rStyle w:val="Strong"/>
          <w:rFonts w:ascii="Georgia" w:hAnsi="Georgia"/>
          <w:color w:val="242424"/>
          <w:spacing w:val="-1"/>
          <w:sz w:val="32"/>
          <w:szCs w:val="32"/>
          <w:u w:val="single"/>
        </w:rPr>
        <w:t>Cloud Platform Integration</w:t>
      </w:r>
    </w:p>
    <w:p w:rsidR="0086757F" w:rsidRPr="0086757F" w:rsidRDefault="0086757F" w:rsidP="0086757F">
      <w:pPr>
        <w:pStyle w:val="Heading1"/>
        <w:numPr>
          <w:ilvl w:val="0"/>
          <w:numId w:val="5"/>
        </w:numPr>
        <w:spacing w:before="0" w:after="180" w:line="240" w:lineRule="atLeast"/>
        <w:jc w:val="both"/>
        <w:rPr>
          <w:rStyle w:val="Strong"/>
          <w:rFonts w:ascii="Arial" w:hAnsi="Arial" w:cs="Arial"/>
          <w:b w:val="0"/>
          <w:bCs w:val="0"/>
          <w:color w:val="333333"/>
          <w:sz w:val="57"/>
          <w:szCs w:val="57"/>
          <w:u w:val="single"/>
        </w:rPr>
      </w:pPr>
      <w:r w:rsidRPr="0086757F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Connectivity</w:t>
      </w:r>
      <w:r w:rsidRPr="0086757F">
        <w:rPr>
          <w:rFonts w:ascii="Arial" w:hAnsi="Arial" w:cs="Arial"/>
          <w:b/>
          <w:bCs/>
          <w:color w:val="333333"/>
          <w:sz w:val="57"/>
          <w:szCs w:val="57"/>
          <w:u w:val="single"/>
        </w:rPr>
        <w:t xml:space="preserve"> </w:t>
      </w:r>
      <w:r w:rsidRPr="0086757F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Options</w:t>
      </w:r>
    </w:p>
    <w:p w:rsidR="00246B26" w:rsidRPr="0086757F" w:rsidRDefault="00246B26" w:rsidP="0086757F">
      <w:pPr>
        <w:pStyle w:val="pw-post-body-paragraph"/>
        <w:numPr>
          <w:ilvl w:val="0"/>
          <w:numId w:val="3"/>
        </w:numPr>
        <w:shd w:val="clear" w:color="auto" w:fill="FFFFFF"/>
        <w:spacing w:before="514" w:beforeAutospacing="0" w:after="0" w:afterAutospacing="0"/>
        <w:jc w:val="both"/>
        <w:rPr>
          <w:rFonts w:ascii="Georgia" w:hAnsi="Georgia"/>
          <w:b/>
          <w:bCs/>
          <w:color w:val="242424"/>
          <w:spacing w:val="-1"/>
          <w:sz w:val="28"/>
          <w:szCs w:val="28"/>
          <w:u w:val="single"/>
        </w:rPr>
      </w:pPr>
      <w:r w:rsidRPr="0086757F">
        <w:rPr>
          <w:b/>
          <w:bCs/>
          <w:sz w:val="28"/>
          <w:szCs w:val="28"/>
        </w:rPr>
        <w:t>Standard Adapters</w:t>
      </w:r>
    </w:p>
    <w:p w:rsidR="00246B26" w:rsidRDefault="00246B26" w:rsidP="0086757F">
      <w:pPr>
        <w:spacing w:before="300" w:after="30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46B2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SAP Integration Suite comes with a set of standard adapters that allow you to specify a certain connection type and to define, for example, which technical protocols should be used to connect a sender or a receiver system to the tenant and how this connection is protected. You can use these adapters out-of-the-box when designing integration flows.</w:t>
      </w:r>
    </w:p>
    <w:p w:rsidR="0086757F" w:rsidRPr="0086757F" w:rsidRDefault="0086757F" w:rsidP="0086757F">
      <w:pPr>
        <w:pStyle w:val="Heading2"/>
        <w:numPr>
          <w:ilvl w:val="0"/>
          <w:numId w:val="3"/>
        </w:numPr>
        <w:spacing w:after="12" w:afterAutospacing="0"/>
        <w:jc w:val="both"/>
        <w:rPr>
          <w:color w:val="007DB8"/>
          <w:sz w:val="28"/>
          <w:szCs w:val="28"/>
        </w:rPr>
      </w:pPr>
      <w:r w:rsidRPr="0086757F">
        <w:rPr>
          <w:rStyle w:val="text"/>
          <w:color w:val="007DB8"/>
          <w:sz w:val="28"/>
          <w:szCs w:val="28"/>
        </w:rPr>
        <w:t>Connectors</w:t>
      </w:r>
    </w:p>
    <w:p w:rsidR="0086757F" w:rsidRDefault="0086757F" w:rsidP="0086757F">
      <w:pPr>
        <w:pStyle w:val="p"/>
        <w:spacing w:before="30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Connect </w:t>
      </w:r>
      <w:r>
        <w:rPr>
          <w:rStyle w:val="ph"/>
          <w:rFonts w:ascii="Arial" w:hAnsi="Arial" w:cs="Arial"/>
          <w:color w:val="333333"/>
        </w:rPr>
        <w:t>SAP Integration Suite</w:t>
      </w:r>
      <w:r>
        <w:rPr>
          <w:rFonts w:ascii="Arial" w:hAnsi="Arial" w:cs="Arial"/>
          <w:color w:val="333333"/>
        </w:rPr>
        <w:t> to a number of SAP and non-SAP applications such like Citrix Go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Webinar, Dropbox Business, Evernote, Gmail, to name a few examples. Each connector is an application programming interface (API) that provides a set of API resources and methods you can use to access the resources of the associated application.</w:t>
      </w:r>
    </w:p>
    <w:p w:rsidR="00246B26" w:rsidRDefault="0086757F" w:rsidP="0086757F">
      <w:pPr>
        <w:pStyle w:val="p"/>
        <w:spacing w:before="30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Open</w:t>
      </w:r>
      <w:r>
        <w:rPr>
          <w:rFonts w:ascii="Arial" w:hAnsi="Arial" w:cs="Arial"/>
          <w:color w:val="333333"/>
        </w:rPr>
        <w:t xml:space="preserve"> Connectors provides you with a </w:t>
      </w:r>
      <w:proofErr w:type="spellStart"/>
      <w:r>
        <w:rPr>
          <w:rFonts w:ascii="Arial" w:hAnsi="Arial" w:cs="Arial"/>
          <w:color w:val="333333"/>
        </w:rPr>
        <w:t>catalog</w:t>
      </w:r>
      <w:proofErr w:type="spellEnd"/>
      <w:r>
        <w:rPr>
          <w:rFonts w:ascii="Arial" w:hAnsi="Arial" w:cs="Arial"/>
          <w:color w:val="333333"/>
        </w:rPr>
        <w:t xml:space="preserve"> of 170+ non-SAP connectors. You can use the </w:t>
      </w:r>
      <w:r>
        <w:rPr>
          <w:rStyle w:val="ph"/>
          <w:rFonts w:ascii="Arial" w:hAnsi="Arial" w:cs="Arial"/>
          <w:b/>
          <w:bCs/>
          <w:color w:val="333333"/>
        </w:rPr>
        <w:t>Open</w:t>
      </w:r>
      <w:r>
        <w:rPr>
          <w:rStyle w:val="ph"/>
          <w:rFonts w:ascii="Arial" w:hAnsi="Arial" w:cs="Arial"/>
          <w:b/>
          <w:bCs/>
          <w:color w:val="333333"/>
        </w:rPr>
        <w:t xml:space="preserve"> </w:t>
      </w:r>
      <w:r>
        <w:rPr>
          <w:rStyle w:val="ph"/>
          <w:rFonts w:ascii="Arial" w:hAnsi="Arial" w:cs="Arial"/>
          <w:b/>
          <w:bCs/>
          <w:color w:val="333333"/>
        </w:rPr>
        <w:t>Connectors</w:t>
      </w:r>
      <w:r>
        <w:rPr>
          <w:rFonts w:ascii="Arial" w:hAnsi="Arial" w:cs="Arial"/>
          <w:color w:val="333333"/>
        </w:rPr>
        <w:t> adapter to connect </w:t>
      </w:r>
      <w:r>
        <w:rPr>
          <w:rStyle w:val="ph"/>
          <w:rFonts w:ascii="Arial" w:hAnsi="Arial" w:cs="Arial"/>
          <w:color w:val="333333"/>
        </w:rPr>
        <w:t>SAP Integration Suite</w:t>
      </w:r>
      <w:r>
        <w:rPr>
          <w:rFonts w:ascii="Arial" w:hAnsi="Arial" w:cs="Arial"/>
          <w:color w:val="333333"/>
        </w:rPr>
        <w:t> tenant with such a connector (see: </w:t>
      </w:r>
      <w:hyperlink r:id="rId5" w:tooltip="You use the OpenConnectors receiver adapter in integration flows to communicate with more than 170 non-SAP cloud applications that are supported by Open Connectors." w:history="1">
        <w:r>
          <w:rPr>
            <w:rStyle w:val="Hyperlink"/>
            <w:rFonts w:ascii="Arial" w:hAnsi="Arial" w:cs="Arial"/>
            <w:color w:val="007DB8"/>
          </w:rPr>
          <w:t>Open</w:t>
        </w:r>
        <w:r>
          <w:rPr>
            <w:rStyle w:val="Hyperlink"/>
            <w:rFonts w:ascii="Arial" w:hAnsi="Arial" w:cs="Arial"/>
            <w:color w:val="007DB8"/>
          </w:rPr>
          <w:t xml:space="preserve"> </w:t>
        </w:r>
        <w:r>
          <w:rPr>
            <w:rStyle w:val="Hyperlink"/>
            <w:rFonts w:ascii="Arial" w:hAnsi="Arial" w:cs="Arial"/>
            <w:color w:val="007DB8"/>
          </w:rPr>
          <w:t>Connectors Receiver Adapter</w:t>
        </w:r>
      </w:hyperlink>
      <w:r>
        <w:rPr>
          <w:rFonts w:ascii="Arial" w:hAnsi="Arial" w:cs="Arial"/>
          <w:color w:val="333333"/>
        </w:rPr>
        <w:t>).</w:t>
      </w:r>
    </w:p>
    <w:p w:rsidR="00246B26" w:rsidRPr="0086757F" w:rsidRDefault="00246B26" w:rsidP="0086757F">
      <w:pPr>
        <w:pStyle w:val="Heading2"/>
        <w:numPr>
          <w:ilvl w:val="0"/>
          <w:numId w:val="3"/>
        </w:numPr>
        <w:spacing w:after="12" w:afterAutospacing="0"/>
        <w:jc w:val="both"/>
        <w:rPr>
          <w:sz w:val="28"/>
          <w:szCs w:val="28"/>
        </w:rPr>
      </w:pPr>
      <w:r w:rsidRPr="0086757F">
        <w:rPr>
          <w:rStyle w:val="text"/>
          <w:sz w:val="28"/>
          <w:szCs w:val="28"/>
        </w:rPr>
        <w:t>Adapter Development Kit</w:t>
      </w:r>
    </w:p>
    <w:p w:rsidR="00246B26" w:rsidRDefault="00246B26" w:rsidP="0086757F">
      <w:pPr>
        <w:pStyle w:val="p"/>
        <w:spacing w:before="30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Adapter Development Kit (ADK) enables you to develop your own custom adapters.</w:t>
      </w:r>
      <w:r w:rsidR="0086757F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You can use custom adapters when designing integration flows using the </w:t>
      </w:r>
      <w:r>
        <w:rPr>
          <w:rStyle w:val="ph"/>
          <w:rFonts w:ascii="Arial" w:hAnsi="Arial" w:cs="Arial"/>
          <w:color w:val="333333"/>
        </w:rPr>
        <w:t>Cloud Integration</w:t>
      </w:r>
      <w:r>
        <w:rPr>
          <w:rFonts w:ascii="Arial" w:hAnsi="Arial" w:cs="Arial"/>
          <w:color w:val="333333"/>
        </w:rPr>
        <w:t> </w:t>
      </w:r>
      <w:r>
        <w:rPr>
          <w:rStyle w:val="ph"/>
          <w:rFonts w:ascii="Arial" w:hAnsi="Arial" w:cs="Arial"/>
          <w:b/>
          <w:bCs/>
          <w:color w:val="333333"/>
        </w:rPr>
        <w:t>Design</w:t>
      </w:r>
      <w:r>
        <w:rPr>
          <w:rFonts w:ascii="Arial" w:hAnsi="Arial" w:cs="Arial"/>
          <w:color w:val="333333"/>
        </w:rPr>
        <w:t> application.</w:t>
      </w:r>
    </w:p>
    <w:p w:rsidR="0086757F" w:rsidRDefault="0086757F" w:rsidP="0086757F">
      <w:pPr>
        <w:pStyle w:val="p"/>
        <w:spacing w:before="300" w:beforeAutospacing="0" w:after="300" w:afterAutospacing="0"/>
        <w:jc w:val="both"/>
        <w:rPr>
          <w:rFonts w:ascii="Arial" w:hAnsi="Arial" w:cs="Arial"/>
          <w:color w:val="333333"/>
        </w:rPr>
      </w:pPr>
    </w:p>
    <w:p w:rsidR="0086757F" w:rsidRDefault="0086757F" w:rsidP="0086757F">
      <w:pPr>
        <w:pStyle w:val="Heading1"/>
        <w:spacing w:before="0" w:after="180" w:line="240" w:lineRule="atLeast"/>
        <w:rPr>
          <w:rFonts w:ascii="Arial" w:hAnsi="Arial" w:cs="Arial"/>
          <w:color w:val="333333"/>
          <w:sz w:val="57"/>
          <w:szCs w:val="57"/>
        </w:rPr>
      </w:pPr>
      <w:r>
        <w:rPr>
          <w:rFonts w:ascii="Arial" w:hAnsi="Arial" w:cs="Arial"/>
          <w:b/>
          <w:bCs/>
          <w:color w:val="333333"/>
          <w:sz w:val="57"/>
          <w:szCs w:val="57"/>
        </w:rPr>
        <w:t>Creating an Integration Package</w:t>
      </w:r>
    </w:p>
    <w:p w:rsidR="0086757F" w:rsidRDefault="0086757F" w:rsidP="0086757F">
      <w:pPr>
        <w:pStyle w:val="shortdesc"/>
        <w:spacing w:before="300" w:beforeAutospacing="0" w:after="30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an integration package that is specific to your integration scenario.</w:t>
      </w:r>
    </w:p>
    <w:p w:rsidR="0086757F" w:rsidRDefault="0086757F" w:rsidP="0086757F">
      <w:pPr>
        <w:pStyle w:val="Heading2"/>
        <w:spacing w:before="276" w:beforeAutospacing="0" w:after="12" w:afterAutospacing="0" w:line="24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text"/>
          <w:rFonts w:ascii="Arial" w:hAnsi="Arial" w:cs="Arial"/>
          <w:color w:val="333333"/>
          <w:sz w:val="42"/>
          <w:szCs w:val="42"/>
        </w:rPr>
        <w:t>Procedure</w:t>
      </w:r>
    </w:p>
    <w:p w:rsidR="0086757F" w:rsidRDefault="0086757F" w:rsidP="0086757F">
      <w:pPr>
        <w:numPr>
          <w:ilvl w:val="0"/>
          <w:numId w:val="6"/>
        </w:numPr>
        <w:spacing w:before="100" w:beforeAutospacing="1" w:after="180" w:line="336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ph"/>
          <w:rFonts w:ascii="Arial" w:hAnsi="Arial" w:cs="Arial"/>
          <w:color w:val="333333"/>
        </w:rPr>
        <w:t>Choose </w:t>
      </w:r>
      <w:proofErr w:type="gramStart"/>
      <w:r>
        <w:rPr>
          <w:rStyle w:val="ph"/>
          <w:rFonts w:ascii="Arial" w:hAnsi="Arial" w:cs="Arial"/>
          <w:b/>
          <w:bCs/>
          <w:color w:val="333333"/>
        </w:rPr>
        <w:t>Design</w:t>
      </w:r>
      <w:r>
        <w:rPr>
          <w:rStyle w:val="ph"/>
          <w:rFonts w:ascii="Arial" w:hAnsi="Arial" w:cs="Arial"/>
          <w:color w:val="333333"/>
        </w:rPr>
        <w:t>  </w:t>
      </w:r>
      <w:r>
        <w:rPr>
          <w:rStyle w:val="ph"/>
          <w:rFonts w:ascii="Arial" w:hAnsi="Arial" w:cs="Arial"/>
          <w:b/>
          <w:bCs/>
          <w:color w:val="333333"/>
        </w:rPr>
        <w:t>Integrations</w:t>
      </w:r>
      <w:proofErr w:type="gramEnd"/>
      <w:r>
        <w:rPr>
          <w:rStyle w:val="ph"/>
          <w:rFonts w:ascii="Arial" w:hAnsi="Arial" w:cs="Arial"/>
          <w:b/>
          <w:bCs/>
          <w:color w:val="333333"/>
        </w:rPr>
        <w:t xml:space="preserve"> and APIs</w:t>
      </w:r>
      <w:r>
        <w:rPr>
          <w:rStyle w:val="ph"/>
          <w:rFonts w:ascii="Arial" w:hAnsi="Arial" w:cs="Arial"/>
          <w:color w:val="333333"/>
        </w:rPr>
        <w:t>.</w:t>
      </w:r>
    </w:p>
    <w:p w:rsidR="0086757F" w:rsidRDefault="0086757F" w:rsidP="0086757F">
      <w:pPr>
        <w:numPr>
          <w:ilvl w:val="0"/>
          <w:numId w:val="6"/>
        </w:numPr>
        <w:spacing w:before="180" w:after="180" w:line="336" w:lineRule="atLeast"/>
        <w:rPr>
          <w:rFonts w:ascii="Arial" w:hAnsi="Arial" w:cs="Arial"/>
          <w:color w:val="333333"/>
        </w:rPr>
      </w:pPr>
      <w:r>
        <w:rPr>
          <w:rStyle w:val="ph"/>
          <w:rFonts w:ascii="Arial" w:hAnsi="Arial" w:cs="Arial"/>
          <w:color w:val="333333"/>
        </w:rPr>
        <w:t>Choose </w:t>
      </w:r>
      <w:r>
        <w:rPr>
          <w:rStyle w:val="ph"/>
          <w:rFonts w:ascii="Arial" w:hAnsi="Arial" w:cs="Arial"/>
          <w:b/>
          <w:bCs/>
          <w:color w:val="333333"/>
        </w:rPr>
        <w:t>Create</w:t>
      </w:r>
      <w:r>
        <w:rPr>
          <w:rStyle w:val="ph"/>
          <w:rFonts w:ascii="Arial" w:hAnsi="Arial" w:cs="Arial"/>
          <w:color w:val="333333"/>
        </w:rPr>
        <w:t>.</w:t>
      </w:r>
    </w:p>
    <w:p w:rsidR="0086757F" w:rsidRDefault="0086757F" w:rsidP="0086757F">
      <w:pPr>
        <w:numPr>
          <w:ilvl w:val="0"/>
          <w:numId w:val="6"/>
        </w:numPr>
        <w:spacing w:before="180" w:after="180" w:line="336" w:lineRule="atLeast"/>
        <w:rPr>
          <w:rFonts w:ascii="Arial" w:hAnsi="Arial" w:cs="Arial"/>
          <w:color w:val="333333"/>
        </w:rPr>
      </w:pPr>
      <w:r>
        <w:rPr>
          <w:rStyle w:val="ph"/>
          <w:rFonts w:ascii="Arial" w:hAnsi="Arial" w:cs="Arial"/>
          <w:color w:val="333333"/>
        </w:rPr>
        <w:t>In the </w:t>
      </w:r>
      <w:r>
        <w:rPr>
          <w:rStyle w:val="ph"/>
          <w:rFonts w:ascii="Arial" w:hAnsi="Arial" w:cs="Arial"/>
          <w:b/>
          <w:bCs/>
          <w:color w:val="333333"/>
        </w:rPr>
        <w:t>Header</w:t>
      </w:r>
      <w:r>
        <w:rPr>
          <w:rStyle w:val="ph"/>
          <w:rFonts w:ascii="Arial" w:hAnsi="Arial" w:cs="Arial"/>
          <w:color w:val="333333"/>
        </w:rPr>
        <w:t> tab, provide a </w:t>
      </w:r>
      <w:r>
        <w:rPr>
          <w:rStyle w:val="ph"/>
          <w:rFonts w:ascii="Arial" w:hAnsi="Arial" w:cs="Arial"/>
          <w:b/>
          <w:bCs/>
          <w:color w:val="333333"/>
        </w:rPr>
        <w:t>Name</w:t>
      </w:r>
      <w:r>
        <w:rPr>
          <w:rStyle w:val="ph"/>
          <w:rFonts w:ascii="Arial" w:hAnsi="Arial" w:cs="Arial"/>
          <w:color w:val="333333"/>
        </w:rPr>
        <w:t>, a </w:t>
      </w:r>
      <w:r>
        <w:rPr>
          <w:rStyle w:val="ph"/>
          <w:rFonts w:ascii="Arial" w:hAnsi="Arial" w:cs="Arial"/>
          <w:b/>
          <w:bCs/>
          <w:color w:val="333333"/>
        </w:rPr>
        <w:t>Technical Name</w:t>
      </w:r>
      <w:r>
        <w:rPr>
          <w:rStyle w:val="ph"/>
          <w:rFonts w:ascii="Arial" w:hAnsi="Arial" w:cs="Arial"/>
          <w:color w:val="333333"/>
        </w:rPr>
        <w:t>, and a </w:t>
      </w:r>
      <w:r>
        <w:rPr>
          <w:rStyle w:val="ph"/>
          <w:rFonts w:ascii="Arial" w:hAnsi="Arial" w:cs="Arial"/>
          <w:b/>
          <w:bCs/>
          <w:color w:val="333333"/>
        </w:rPr>
        <w:t>Short Description</w:t>
      </w:r>
      <w:r>
        <w:rPr>
          <w:rStyle w:val="ph"/>
          <w:rFonts w:ascii="Arial" w:hAnsi="Arial" w:cs="Arial"/>
          <w:color w:val="333333"/>
        </w:rPr>
        <w:t> for the package.</w:t>
      </w:r>
    </w:p>
    <w:p w:rsidR="0086757F" w:rsidRDefault="0086757F" w:rsidP="0086757F">
      <w:pPr>
        <w:numPr>
          <w:ilvl w:val="0"/>
          <w:numId w:val="6"/>
        </w:numPr>
        <w:spacing w:before="180" w:after="180" w:line="336" w:lineRule="atLeast"/>
        <w:rPr>
          <w:rFonts w:ascii="Arial" w:hAnsi="Arial" w:cs="Arial"/>
          <w:color w:val="333333"/>
        </w:rPr>
      </w:pPr>
      <w:r>
        <w:rPr>
          <w:rStyle w:val="ph"/>
          <w:rFonts w:ascii="Arial" w:hAnsi="Arial" w:cs="Arial"/>
          <w:color w:val="333333"/>
        </w:rPr>
        <w:lastRenderedPageBreak/>
        <w:t>Choose </w:t>
      </w:r>
      <w:r>
        <w:rPr>
          <w:rStyle w:val="ph"/>
          <w:rFonts w:ascii="Arial" w:hAnsi="Arial" w:cs="Arial"/>
          <w:b/>
          <w:bCs/>
          <w:color w:val="333333"/>
        </w:rPr>
        <w:t>Save</w:t>
      </w:r>
      <w:r>
        <w:rPr>
          <w:rStyle w:val="ph"/>
          <w:rFonts w:ascii="Arial" w:hAnsi="Arial" w:cs="Arial"/>
          <w:color w:val="333333"/>
        </w:rPr>
        <w:t> to keep your package.</w:t>
      </w:r>
    </w:p>
    <w:p w:rsidR="0086757F" w:rsidRDefault="0086757F" w:rsidP="0086757F">
      <w:pPr>
        <w:numPr>
          <w:ilvl w:val="0"/>
          <w:numId w:val="6"/>
        </w:numPr>
        <w:spacing w:before="180" w:after="100" w:afterAutospacing="1" w:line="336" w:lineRule="atLeast"/>
        <w:rPr>
          <w:rFonts w:ascii="Arial" w:hAnsi="Arial" w:cs="Arial"/>
          <w:color w:val="333333"/>
        </w:rPr>
      </w:pPr>
      <w:r>
        <w:rPr>
          <w:rStyle w:val="ph"/>
          <w:rFonts w:ascii="Arial" w:hAnsi="Arial" w:cs="Arial"/>
          <w:color w:val="333333"/>
        </w:rPr>
        <w:t>Navigate to other tabs of the package to explore what else you can do with the package.</w:t>
      </w:r>
    </w:p>
    <w:p w:rsidR="0086757F" w:rsidRDefault="0086757F" w:rsidP="0086757F">
      <w:pPr>
        <w:pStyle w:val="Heading1"/>
        <w:spacing w:before="0" w:after="180" w:line="240" w:lineRule="atLeast"/>
        <w:rPr>
          <w:rFonts w:ascii="Arial" w:hAnsi="Arial" w:cs="Arial"/>
          <w:color w:val="333333"/>
          <w:sz w:val="57"/>
          <w:szCs w:val="57"/>
        </w:rPr>
      </w:pPr>
      <w:r>
        <w:rPr>
          <w:rFonts w:ascii="Arial" w:hAnsi="Arial" w:cs="Arial"/>
          <w:b/>
          <w:bCs/>
          <w:color w:val="333333"/>
          <w:sz w:val="57"/>
          <w:szCs w:val="57"/>
        </w:rPr>
        <w:t>Creating an Integration Flow</w:t>
      </w:r>
    </w:p>
    <w:p w:rsidR="0086757F" w:rsidRPr="0086757F" w:rsidRDefault="0086757F" w:rsidP="0086757F">
      <w:pPr>
        <w:spacing w:after="30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675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 integration flow is a graphical representation of the flow and processing of messages between two or more participants using an integration runtime platform, ensuring successful communication.</w:t>
      </w:r>
    </w:p>
    <w:p w:rsidR="0086757F" w:rsidRPr="0086757F" w:rsidRDefault="0086757F" w:rsidP="0086757F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675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can create an integration flow in different ways:</w:t>
      </w:r>
    </w:p>
    <w:p w:rsidR="0086757F" w:rsidRPr="0086757F" w:rsidRDefault="0086757F" w:rsidP="0086757F">
      <w:pPr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675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Let AI generate your integration flow based on the descriptions you provide.</w:t>
      </w:r>
    </w:p>
    <w:p w:rsidR="0086757F" w:rsidRPr="0086757F" w:rsidRDefault="0086757F" w:rsidP="0086757F">
      <w:pPr>
        <w:numPr>
          <w:ilvl w:val="0"/>
          <w:numId w:val="7"/>
        </w:numPr>
        <w:spacing w:before="24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675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Manually add an integration flow either by creating or uploading.</w:t>
      </w:r>
    </w:p>
    <w:p w:rsidR="00064866" w:rsidRPr="00064866" w:rsidRDefault="00064866" w:rsidP="0006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86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 integration flow with the following shapes is created:</w:t>
      </w:r>
    </w:p>
    <w:p w:rsidR="00064866" w:rsidRPr="00064866" w:rsidRDefault="00064866" w:rsidP="00064866">
      <w:pPr>
        <w:numPr>
          <w:ilvl w:val="0"/>
          <w:numId w:val="8"/>
        </w:numPr>
        <w:spacing w:before="240" w:after="24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486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Sender</w:t>
      </w:r>
      <w:r w:rsidRPr="0006486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Represents your source system auto-filled with the details of the same in the adapter channel.</w:t>
      </w:r>
    </w:p>
    <w:p w:rsidR="00064866" w:rsidRPr="00064866" w:rsidRDefault="00064866" w:rsidP="00064866">
      <w:pPr>
        <w:numPr>
          <w:ilvl w:val="0"/>
          <w:numId w:val="8"/>
        </w:numPr>
        <w:spacing w:before="240" w:after="24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486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Receiver</w:t>
      </w:r>
      <w:r w:rsidRPr="0006486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Represents your target system auto-filled with the details of the same in the adapter channel.</w:t>
      </w:r>
    </w:p>
    <w:p w:rsidR="00064866" w:rsidRPr="00064866" w:rsidRDefault="00064866" w:rsidP="00064866">
      <w:pPr>
        <w:numPr>
          <w:ilvl w:val="0"/>
          <w:numId w:val="8"/>
        </w:numPr>
        <w:spacing w:before="240" w:after="24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486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Integration Process</w:t>
      </w:r>
      <w:r w:rsidRPr="0006486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The shape where you add all the steps that define how a message is processed in the tenant.</w:t>
      </w:r>
    </w:p>
    <w:p w:rsidR="0086757F" w:rsidRDefault="0086757F" w:rsidP="0086757F">
      <w:pPr>
        <w:pStyle w:val="p"/>
        <w:spacing w:before="300" w:beforeAutospacing="0" w:after="300" w:afterAutospacing="0"/>
        <w:jc w:val="both"/>
        <w:rPr>
          <w:rFonts w:ascii="Arial" w:hAnsi="Arial" w:cs="Arial"/>
          <w:color w:val="333333"/>
        </w:rPr>
      </w:pPr>
      <w:bookmarkStart w:id="0" w:name="_GoBack"/>
      <w:bookmarkEnd w:id="0"/>
    </w:p>
    <w:p w:rsidR="00246B26" w:rsidRPr="00246B26" w:rsidRDefault="00246B26" w:rsidP="00246B26">
      <w:pPr>
        <w:spacing w:before="300" w:after="30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246B26" w:rsidRPr="00246B26" w:rsidRDefault="00246B26" w:rsidP="00246B26">
      <w:pPr>
        <w:pStyle w:val="pw-post-body-paragraph"/>
        <w:shd w:val="clear" w:color="auto" w:fill="FFFFFF"/>
        <w:spacing w:before="514" w:beforeAutospacing="0" w:after="0" w:afterAutospacing="0" w:line="276" w:lineRule="auto"/>
        <w:rPr>
          <w:rFonts w:ascii="Georgia" w:hAnsi="Georgia"/>
          <w:color w:val="242424"/>
          <w:spacing w:val="-1"/>
        </w:rPr>
      </w:pPr>
    </w:p>
    <w:sectPr w:rsidR="00246B26" w:rsidRPr="0024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D89"/>
    <w:multiLevelType w:val="hybridMultilevel"/>
    <w:tmpl w:val="6D7ED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251D"/>
    <w:multiLevelType w:val="hybridMultilevel"/>
    <w:tmpl w:val="18D87A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535403"/>
    <w:multiLevelType w:val="multilevel"/>
    <w:tmpl w:val="98C2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41F21"/>
    <w:multiLevelType w:val="hybridMultilevel"/>
    <w:tmpl w:val="E7D47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4251C"/>
    <w:multiLevelType w:val="hybridMultilevel"/>
    <w:tmpl w:val="4E801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46A5E"/>
    <w:multiLevelType w:val="multilevel"/>
    <w:tmpl w:val="A9B2C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0411F"/>
    <w:multiLevelType w:val="hybridMultilevel"/>
    <w:tmpl w:val="2C0895E4"/>
    <w:lvl w:ilvl="0" w:tplc="D4C425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897"/>
    <w:multiLevelType w:val="multilevel"/>
    <w:tmpl w:val="5DA4C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EB"/>
    <w:rsid w:val="00064866"/>
    <w:rsid w:val="00246B26"/>
    <w:rsid w:val="002974D1"/>
    <w:rsid w:val="0073177F"/>
    <w:rsid w:val="0086757F"/>
    <w:rsid w:val="00877BAC"/>
    <w:rsid w:val="00D71051"/>
    <w:rsid w:val="00E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112E"/>
  <w15:chartTrackingRefBased/>
  <w15:docId w15:val="{2247DD1D-20DC-43EC-A718-CC7E61EF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6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0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19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7B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B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xt">
    <w:name w:val="text"/>
    <w:basedOn w:val="DefaultParagraphFont"/>
    <w:rsid w:val="00246B26"/>
  </w:style>
  <w:style w:type="paragraph" w:customStyle="1" w:styleId="p">
    <w:name w:val="p"/>
    <w:basedOn w:val="Normal"/>
    <w:rsid w:val="0024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246B26"/>
  </w:style>
  <w:style w:type="paragraph" w:styleId="ListParagraph">
    <w:name w:val="List Paragraph"/>
    <w:basedOn w:val="Normal"/>
    <w:uiPriority w:val="34"/>
    <w:qFormat/>
    <w:rsid w:val="00867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hortdesc">
    <w:name w:val="shortdesc"/>
    <w:basedOn w:val="Normal"/>
    <w:rsid w:val="0086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06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ap.com/docs/integration-suite/sap-integration-suite/openconnectors-receiver-adap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pasumarthi</dc:creator>
  <cp:keywords/>
  <dc:description/>
  <cp:lastModifiedBy>Mahindra pasumarthi</cp:lastModifiedBy>
  <cp:revision>1</cp:revision>
  <dcterms:created xsi:type="dcterms:W3CDTF">2024-08-28T07:10:00Z</dcterms:created>
  <dcterms:modified xsi:type="dcterms:W3CDTF">2024-08-28T14:50:00Z</dcterms:modified>
</cp:coreProperties>
</file>