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CDE1D" w14:textId="77777777" w:rsidR="00F8785F" w:rsidRDefault="00F8785F">
      <w:pPr>
        <w:ind w:left="180" w:right="-150"/>
      </w:pPr>
    </w:p>
    <w:tbl>
      <w:tblPr>
        <w:tblStyle w:val="a"/>
        <w:tblpPr w:leftFromText="180" w:rightFromText="180" w:topFromText="180" w:bottomFromText="180" w:horzAnchor="margin" w:tblpXSpec="center" w:tblpYSpec="top"/>
        <w:tblW w:w="117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05"/>
        <w:gridCol w:w="3960"/>
        <w:gridCol w:w="3480"/>
      </w:tblGrid>
      <w:tr w:rsidR="00F8785F" w14:paraId="17E225C4" w14:textId="77777777">
        <w:trPr>
          <w:jc w:val="center"/>
        </w:trPr>
        <w:tc>
          <w:tcPr>
            <w:tcW w:w="4305" w:type="dxa"/>
            <w:vAlign w:val="center"/>
          </w:tcPr>
          <w:p w14:paraId="5601C558" w14:textId="77777777" w:rsidR="00F8785F" w:rsidRDefault="001B3269">
            <w:pPr>
              <w:widowControl w:val="0"/>
              <w:spacing w:line="240" w:lineRule="auto"/>
              <w:jc w:val="center"/>
            </w:pPr>
            <w:r>
              <w:rPr>
                <w:noProof/>
              </w:rPr>
              <w:drawing>
                <wp:inline distT="114300" distB="114300" distL="114300" distR="114300" wp14:anchorId="47EE9F95" wp14:editId="286CDF83">
                  <wp:extent cx="2352675" cy="66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352675" cy="660400"/>
                          </a:xfrm>
                          <a:prstGeom prst="rect">
                            <a:avLst/>
                          </a:prstGeom>
                          <a:ln/>
                        </pic:spPr>
                      </pic:pic>
                    </a:graphicData>
                  </a:graphic>
                </wp:inline>
              </w:drawing>
            </w:r>
          </w:p>
          <w:p w14:paraId="1CFC9BC4" w14:textId="77777777" w:rsidR="00F8785F" w:rsidRDefault="001B3269">
            <w:pPr>
              <w:widowControl w:val="0"/>
              <w:spacing w:line="240" w:lineRule="auto"/>
              <w:jc w:val="center"/>
            </w:pPr>
            <w:r>
              <w:rPr>
                <w:sz w:val="20"/>
                <w:szCs w:val="20"/>
              </w:rPr>
              <w:t>1954 Airport Road Atlanta, GA 30341</w:t>
            </w:r>
          </w:p>
        </w:tc>
        <w:tc>
          <w:tcPr>
            <w:tcW w:w="3960" w:type="dxa"/>
            <w:vAlign w:val="center"/>
          </w:tcPr>
          <w:p w14:paraId="21F06F3E" w14:textId="77777777" w:rsidR="00F8785F" w:rsidRDefault="001B3269">
            <w:pPr>
              <w:widowControl w:val="0"/>
              <w:spacing w:line="240" w:lineRule="auto"/>
              <w:jc w:val="center"/>
              <w:rPr>
                <w:sz w:val="40"/>
                <w:szCs w:val="40"/>
              </w:rPr>
            </w:pPr>
            <w:r>
              <w:rPr>
                <w:b/>
                <w:color w:val="042739"/>
                <w:sz w:val="40"/>
                <w:szCs w:val="40"/>
              </w:rPr>
              <w:t>ESTIMATE</w:t>
            </w:r>
          </w:p>
        </w:tc>
        <w:tc>
          <w:tcPr>
            <w:tcW w:w="3480" w:type="dxa"/>
          </w:tcPr>
          <w:p w14:paraId="1FE86A7A" w14:textId="77777777" w:rsidR="00F8785F" w:rsidRDefault="00F8785F">
            <w:pPr>
              <w:widowControl w:val="0"/>
              <w:spacing w:line="240" w:lineRule="auto"/>
            </w:pPr>
          </w:p>
          <w:tbl>
            <w:tblPr>
              <w:tblStyle w:val="a0"/>
              <w:tblW w:w="3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280"/>
            </w:tblGrid>
            <w:tr w:rsidR="00F8785F" w14:paraId="4B8DC8B3" w14:textId="77777777">
              <w:tc>
                <w:tcPr>
                  <w:tcW w:w="3280" w:type="dxa"/>
                  <w:vAlign w:val="center"/>
                </w:tcPr>
                <w:p w14:paraId="324992B4" w14:textId="214273A5" w:rsidR="00F8785F" w:rsidRDefault="001B3269" w:rsidP="00F4180F">
                  <w:pPr>
                    <w:framePr w:hSpace="180" w:vSpace="180" w:wrap="around" w:hAnchor="margin" w:xAlign="center" w:yAlign="top"/>
                    <w:widowControl w:val="0"/>
                    <w:spacing w:line="240" w:lineRule="auto"/>
                    <w:rPr>
                      <w:b/>
                      <w:sz w:val="24"/>
                      <w:szCs w:val="24"/>
                    </w:rPr>
                  </w:pPr>
                  <w:r>
                    <w:rPr>
                      <w:b/>
                      <w:sz w:val="24"/>
                      <w:szCs w:val="24"/>
                    </w:rPr>
                    <w:t xml:space="preserve">Date: </w:t>
                  </w:r>
                  <w:r w:rsidR="00F4180F">
                    <w:rPr>
                      <w:b/>
                      <w:sz w:val="24"/>
                      <w:szCs w:val="24"/>
                    </w:rPr>
                    <w:t>08/11/2025</w:t>
                  </w:r>
                </w:p>
              </w:tc>
            </w:tr>
            <w:tr w:rsidR="00F8785F" w14:paraId="13337929" w14:textId="77777777">
              <w:tc>
                <w:tcPr>
                  <w:tcW w:w="3280" w:type="dxa"/>
                  <w:vAlign w:val="center"/>
                </w:tcPr>
                <w:p w14:paraId="1959558B" w14:textId="6524A671" w:rsidR="00F8785F" w:rsidRDefault="001B3269" w:rsidP="00F4180F">
                  <w:pPr>
                    <w:framePr w:hSpace="180" w:vSpace="180" w:wrap="around" w:hAnchor="margin" w:xAlign="center" w:yAlign="top"/>
                    <w:widowControl w:val="0"/>
                    <w:spacing w:line="240" w:lineRule="auto"/>
                    <w:rPr>
                      <w:b/>
                      <w:sz w:val="24"/>
                      <w:szCs w:val="24"/>
                    </w:rPr>
                  </w:pPr>
                  <w:r>
                    <w:rPr>
                      <w:b/>
                      <w:sz w:val="24"/>
                      <w:szCs w:val="24"/>
                    </w:rPr>
                    <w:t xml:space="preserve">WO: </w:t>
                  </w:r>
                  <w:r w:rsidR="00F4180F">
                    <w:t xml:space="preserve"> </w:t>
                  </w:r>
                  <w:r w:rsidR="00F4180F" w:rsidRPr="00F4180F">
                    <w:rPr>
                      <w:b/>
                      <w:sz w:val="24"/>
                      <w:szCs w:val="24"/>
                    </w:rPr>
                    <w:tab/>
                    <w:t>4180181</w:t>
                  </w:r>
                </w:p>
              </w:tc>
            </w:tr>
          </w:tbl>
          <w:p w14:paraId="38BBCE32" w14:textId="77777777" w:rsidR="00F8785F" w:rsidRDefault="00F8785F">
            <w:pPr>
              <w:widowControl w:val="0"/>
              <w:spacing w:line="240" w:lineRule="auto"/>
            </w:pPr>
          </w:p>
        </w:tc>
      </w:tr>
    </w:tbl>
    <w:p w14:paraId="59CF7C42" w14:textId="77777777" w:rsidR="00F8785F" w:rsidRDefault="00F8785F">
      <w:pPr>
        <w:ind w:right="-150"/>
      </w:pPr>
    </w:p>
    <w:p w14:paraId="7D468838" w14:textId="77777777" w:rsidR="00F8785F" w:rsidRDefault="00F8785F">
      <w:pPr>
        <w:ind w:left="180" w:right="-150"/>
      </w:pPr>
    </w:p>
    <w:p w14:paraId="4BE14961" w14:textId="77777777" w:rsidR="004C57CF" w:rsidRDefault="004C57CF">
      <w:pPr>
        <w:ind w:left="180" w:right="-150"/>
      </w:pPr>
    </w:p>
    <w:p w14:paraId="15E4C55B" w14:textId="77777777" w:rsidR="00F8785F" w:rsidRDefault="00F8785F">
      <w:pPr>
        <w:ind w:left="180" w:right="-150"/>
      </w:pPr>
    </w:p>
    <w:p w14:paraId="6F8BAD29" w14:textId="202A6AB6" w:rsidR="00F8785F" w:rsidRPr="00F4180F" w:rsidRDefault="001B3269" w:rsidP="00F4180F">
      <w:pPr>
        <w:pStyle w:val="Heading4"/>
        <w:shd w:val="clear" w:color="auto" w:fill="FFFFFF"/>
        <w:spacing w:line="332" w:lineRule="auto"/>
        <w:jc w:val="center"/>
        <w:rPr>
          <w:b/>
          <w:color w:val="353435"/>
          <w:sz w:val="26"/>
          <w:szCs w:val="26"/>
          <w:u w:val="single"/>
        </w:rPr>
      </w:pPr>
      <w:bookmarkStart w:id="0" w:name="_rezdwcbqxxi1" w:colFirst="0" w:colLast="0"/>
      <w:bookmarkEnd w:id="0"/>
      <w:r>
        <w:rPr>
          <w:b/>
          <w:color w:val="353435"/>
          <w:sz w:val="26"/>
          <w:szCs w:val="26"/>
          <w:u w:val="single"/>
        </w:rPr>
        <w:t xml:space="preserve">Address: </w:t>
      </w:r>
      <w:r w:rsidR="00F4180F" w:rsidRPr="00F4180F">
        <w:rPr>
          <w:b/>
          <w:color w:val="353435"/>
          <w:sz w:val="26"/>
          <w:szCs w:val="26"/>
          <w:u w:val="single"/>
        </w:rPr>
        <w:t>2291 Osceola Forest Court</w:t>
      </w:r>
      <w:r w:rsidR="00F4180F">
        <w:rPr>
          <w:b/>
          <w:color w:val="353435"/>
          <w:sz w:val="26"/>
          <w:szCs w:val="26"/>
          <w:u w:val="single"/>
        </w:rPr>
        <w:t xml:space="preserve"> </w:t>
      </w:r>
      <w:r w:rsidR="00F4180F" w:rsidRPr="00F4180F">
        <w:rPr>
          <w:b/>
          <w:color w:val="353435"/>
          <w:sz w:val="26"/>
          <w:szCs w:val="26"/>
          <w:u w:val="single"/>
        </w:rPr>
        <w:t>Jacksonville, FL 32259</w:t>
      </w:r>
    </w:p>
    <w:p w14:paraId="5C7EF0C2" w14:textId="77777777" w:rsidR="00F8785F" w:rsidRDefault="00F8785F">
      <w:pPr>
        <w:ind w:left="360"/>
      </w:pPr>
    </w:p>
    <w:p w14:paraId="0E3B00CB" w14:textId="54F520B7" w:rsidR="00F110CF" w:rsidRDefault="00F110CF">
      <w:pPr>
        <w:ind w:left="360"/>
      </w:pPr>
      <w:r>
        <w:t xml:space="preserve">Note: </w:t>
      </w:r>
      <w:r w:rsidR="00185B3A" w:rsidRPr="00185B3A">
        <w:t xml:space="preserve">There is a crack in the septic tank walls. If repairs are needed in the future, we can provide a bid </w:t>
      </w:r>
      <w:r w:rsidR="00185B3A">
        <w:t xml:space="preserve">in future </w:t>
      </w:r>
      <w:r w:rsidR="00185B3A" w:rsidRPr="00185B3A">
        <w:t>after inspecting the walls.</w:t>
      </w:r>
    </w:p>
    <w:p w14:paraId="01F7F529" w14:textId="77777777" w:rsidR="00185B3A" w:rsidRDefault="00185B3A">
      <w:pPr>
        <w:ind w:left="360"/>
      </w:pPr>
    </w:p>
    <w:tbl>
      <w:tblPr>
        <w:tblStyle w:val="a1"/>
        <w:tblW w:w="10245"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5720"/>
        <w:gridCol w:w="1080"/>
        <w:gridCol w:w="1350"/>
        <w:gridCol w:w="1345"/>
      </w:tblGrid>
      <w:tr w:rsidR="00F8785F" w14:paraId="05A3D01B" w14:textId="77777777" w:rsidTr="00F4180F">
        <w:trPr>
          <w:trHeight w:val="940"/>
          <w:tblHeader/>
        </w:trPr>
        <w:tc>
          <w:tcPr>
            <w:tcW w:w="750" w:type="dxa"/>
            <w:shd w:val="clear" w:color="auto" w:fill="C9DAF8"/>
            <w:tcMar>
              <w:top w:w="99" w:type="dxa"/>
              <w:left w:w="99" w:type="dxa"/>
              <w:bottom w:w="99" w:type="dxa"/>
              <w:right w:w="99" w:type="dxa"/>
            </w:tcMar>
            <w:vAlign w:val="center"/>
          </w:tcPr>
          <w:p w14:paraId="0CE72DDA" w14:textId="77777777" w:rsidR="00F8785F" w:rsidRDefault="001B3269">
            <w:pPr>
              <w:widowControl w:val="0"/>
              <w:spacing w:line="240" w:lineRule="auto"/>
              <w:jc w:val="center"/>
              <w:rPr>
                <w:b/>
                <w:color w:val="0000FF"/>
                <w:sz w:val="28"/>
                <w:szCs w:val="28"/>
              </w:rPr>
            </w:pPr>
            <w:r>
              <w:rPr>
                <w:b/>
                <w:color w:val="0000FF"/>
                <w:sz w:val="28"/>
                <w:szCs w:val="28"/>
              </w:rPr>
              <w:t>NO</w:t>
            </w:r>
          </w:p>
        </w:tc>
        <w:tc>
          <w:tcPr>
            <w:tcW w:w="5720" w:type="dxa"/>
            <w:shd w:val="clear" w:color="auto" w:fill="C9DAF8"/>
            <w:tcMar>
              <w:top w:w="99" w:type="dxa"/>
              <w:left w:w="99" w:type="dxa"/>
              <w:bottom w:w="99" w:type="dxa"/>
              <w:right w:w="99" w:type="dxa"/>
            </w:tcMar>
            <w:vAlign w:val="center"/>
          </w:tcPr>
          <w:p w14:paraId="1BD6C2D7" w14:textId="77777777" w:rsidR="00F8785F" w:rsidRDefault="001B3269">
            <w:pPr>
              <w:widowControl w:val="0"/>
              <w:spacing w:line="240" w:lineRule="auto"/>
              <w:jc w:val="center"/>
              <w:rPr>
                <w:b/>
                <w:color w:val="0000FF"/>
                <w:sz w:val="28"/>
                <w:szCs w:val="28"/>
              </w:rPr>
            </w:pPr>
            <w:r>
              <w:rPr>
                <w:b/>
                <w:color w:val="0000FF"/>
                <w:sz w:val="28"/>
                <w:szCs w:val="28"/>
              </w:rPr>
              <w:t>ITEM</w:t>
            </w:r>
          </w:p>
        </w:tc>
        <w:tc>
          <w:tcPr>
            <w:tcW w:w="1080" w:type="dxa"/>
            <w:shd w:val="clear" w:color="auto" w:fill="C9DAF8"/>
            <w:tcMar>
              <w:top w:w="99" w:type="dxa"/>
              <w:left w:w="99" w:type="dxa"/>
              <w:bottom w:w="99" w:type="dxa"/>
              <w:right w:w="99" w:type="dxa"/>
            </w:tcMar>
            <w:vAlign w:val="center"/>
          </w:tcPr>
          <w:p w14:paraId="18FD5FE4" w14:textId="77777777" w:rsidR="00F8785F" w:rsidRDefault="001B3269">
            <w:pPr>
              <w:widowControl w:val="0"/>
              <w:pBdr>
                <w:top w:val="nil"/>
                <w:left w:val="nil"/>
                <w:bottom w:val="nil"/>
                <w:right w:val="nil"/>
                <w:between w:val="nil"/>
              </w:pBdr>
              <w:spacing w:line="240" w:lineRule="auto"/>
              <w:jc w:val="center"/>
              <w:rPr>
                <w:b/>
                <w:color w:val="0000FF"/>
                <w:sz w:val="28"/>
                <w:szCs w:val="28"/>
              </w:rPr>
            </w:pPr>
            <w:r>
              <w:rPr>
                <w:b/>
                <w:color w:val="0000FF"/>
                <w:sz w:val="28"/>
                <w:szCs w:val="28"/>
              </w:rPr>
              <w:t>QTY</w:t>
            </w:r>
          </w:p>
        </w:tc>
        <w:tc>
          <w:tcPr>
            <w:tcW w:w="1350" w:type="dxa"/>
            <w:shd w:val="clear" w:color="auto" w:fill="C9DAF8"/>
            <w:tcMar>
              <w:top w:w="99" w:type="dxa"/>
              <w:left w:w="99" w:type="dxa"/>
              <w:bottom w:w="99" w:type="dxa"/>
              <w:right w:w="99" w:type="dxa"/>
            </w:tcMar>
            <w:vAlign w:val="center"/>
          </w:tcPr>
          <w:p w14:paraId="4B5460A1" w14:textId="77777777" w:rsidR="00F8785F" w:rsidRDefault="001B3269">
            <w:pPr>
              <w:widowControl w:val="0"/>
              <w:pBdr>
                <w:top w:val="nil"/>
                <w:left w:val="nil"/>
                <w:bottom w:val="nil"/>
                <w:right w:val="nil"/>
                <w:between w:val="nil"/>
              </w:pBdr>
              <w:spacing w:line="240" w:lineRule="auto"/>
              <w:jc w:val="center"/>
              <w:rPr>
                <w:b/>
                <w:color w:val="0000FF"/>
                <w:sz w:val="28"/>
                <w:szCs w:val="28"/>
              </w:rPr>
            </w:pPr>
            <w:r>
              <w:rPr>
                <w:b/>
                <w:color w:val="0000FF"/>
                <w:sz w:val="28"/>
                <w:szCs w:val="28"/>
              </w:rPr>
              <w:t>PRICE</w:t>
            </w:r>
          </w:p>
        </w:tc>
        <w:tc>
          <w:tcPr>
            <w:tcW w:w="1345" w:type="dxa"/>
            <w:shd w:val="clear" w:color="auto" w:fill="C9DAF8"/>
            <w:tcMar>
              <w:top w:w="99" w:type="dxa"/>
              <w:left w:w="99" w:type="dxa"/>
              <w:bottom w:w="99" w:type="dxa"/>
              <w:right w:w="99" w:type="dxa"/>
            </w:tcMar>
            <w:vAlign w:val="center"/>
          </w:tcPr>
          <w:p w14:paraId="7F0BE02B" w14:textId="77777777" w:rsidR="00F8785F" w:rsidRDefault="001B3269">
            <w:pPr>
              <w:widowControl w:val="0"/>
              <w:pBdr>
                <w:top w:val="nil"/>
                <w:left w:val="nil"/>
                <w:bottom w:val="nil"/>
                <w:right w:val="nil"/>
                <w:between w:val="nil"/>
              </w:pBdr>
              <w:spacing w:line="240" w:lineRule="auto"/>
              <w:jc w:val="center"/>
              <w:rPr>
                <w:b/>
                <w:color w:val="0000FF"/>
                <w:sz w:val="28"/>
                <w:szCs w:val="28"/>
              </w:rPr>
            </w:pPr>
            <w:r>
              <w:rPr>
                <w:b/>
                <w:color w:val="0000FF"/>
                <w:sz w:val="28"/>
                <w:szCs w:val="28"/>
              </w:rPr>
              <w:t>TOTAL</w:t>
            </w:r>
          </w:p>
        </w:tc>
      </w:tr>
      <w:tr w:rsidR="00F8785F" w14:paraId="530F4042" w14:textId="77777777" w:rsidTr="00F4180F">
        <w:trPr>
          <w:trHeight w:val="940"/>
          <w:tblHeader/>
        </w:trPr>
        <w:tc>
          <w:tcPr>
            <w:tcW w:w="750" w:type="dxa"/>
            <w:tcMar>
              <w:top w:w="99" w:type="dxa"/>
              <w:left w:w="99" w:type="dxa"/>
              <w:bottom w:w="99" w:type="dxa"/>
              <w:right w:w="99" w:type="dxa"/>
            </w:tcMar>
            <w:vAlign w:val="center"/>
          </w:tcPr>
          <w:p w14:paraId="7873404C" w14:textId="77777777" w:rsidR="00F8785F" w:rsidRDefault="001B3269">
            <w:pPr>
              <w:widowControl w:val="0"/>
              <w:pBdr>
                <w:top w:val="nil"/>
                <w:left w:val="nil"/>
                <w:bottom w:val="nil"/>
                <w:right w:val="nil"/>
                <w:between w:val="nil"/>
              </w:pBdr>
              <w:spacing w:line="240" w:lineRule="auto"/>
              <w:jc w:val="center"/>
              <w:rPr>
                <w:sz w:val="24"/>
                <w:szCs w:val="24"/>
              </w:rPr>
            </w:pPr>
            <w:r>
              <w:rPr>
                <w:sz w:val="24"/>
                <w:szCs w:val="24"/>
              </w:rPr>
              <w:t>1</w:t>
            </w:r>
          </w:p>
        </w:tc>
        <w:tc>
          <w:tcPr>
            <w:tcW w:w="5720" w:type="dxa"/>
            <w:tcMar>
              <w:top w:w="100" w:type="dxa"/>
              <w:left w:w="100" w:type="dxa"/>
              <w:bottom w:w="100" w:type="dxa"/>
              <w:right w:w="100" w:type="dxa"/>
            </w:tcMar>
          </w:tcPr>
          <w:p w14:paraId="775AF834" w14:textId="7515E303" w:rsidR="00F8785F" w:rsidRDefault="00F4180F">
            <w:pPr>
              <w:widowControl w:val="0"/>
              <w:spacing w:line="240" w:lineRule="auto"/>
              <w:rPr>
                <w:sz w:val="24"/>
                <w:szCs w:val="24"/>
              </w:rPr>
            </w:pPr>
            <w:r w:rsidRPr="00F4180F">
              <w:rPr>
                <w:sz w:val="24"/>
                <w:szCs w:val="24"/>
              </w:rPr>
              <w:t>We recommend pumping out over 12 inches of accumulated dirt at the bottom of the septic tank, which is causing strain on the dosing pump and may lead to premature failure. Removing this buildup will help restore proper pump function and prevent further damage.</w:t>
            </w:r>
          </w:p>
        </w:tc>
        <w:tc>
          <w:tcPr>
            <w:tcW w:w="1080" w:type="dxa"/>
            <w:tcMar>
              <w:top w:w="100" w:type="dxa"/>
              <w:left w:w="100" w:type="dxa"/>
              <w:bottom w:w="100" w:type="dxa"/>
              <w:right w:w="100" w:type="dxa"/>
            </w:tcMar>
            <w:vAlign w:val="center"/>
          </w:tcPr>
          <w:p w14:paraId="77F0E749" w14:textId="77777777" w:rsidR="00F8785F" w:rsidRDefault="001B3269">
            <w:pPr>
              <w:widowControl w:val="0"/>
              <w:pBdr>
                <w:top w:val="nil"/>
                <w:left w:val="nil"/>
                <w:bottom w:val="nil"/>
                <w:right w:val="nil"/>
                <w:between w:val="nil"/>
              </w:pBdr>
              <w:spacing w:line="240" w:lineRule="auto"/>
              <w:jc w:val="center"/>
              <w:rPr>
                <w:sz w:val="24"/>
                <w:szCs w:val="24"/>
              </w:rPr>
            </w:pPr>
            <w:r>
              <w:rPr>
                <w:sz w:val="24"/>
                <w:szCs w:val="24"/>
              </w:rPr>
              <w:t>1</w:t>
            </w:r>
          </w:p>
        </w:tc>
        <w:tc>
          <w:tcPr>
            <w:tcW w:w="1350" w:type="dxa"/>
            <w:tcMar>
              <w:top w:w="100" w:type="dxa"/>
              <w:left w:w="100" w:type="dxa"/>
              <w:bottom w:w="100" w:type="dxa"/>
              <w:right w:w="100" w:type="dxa"/>
            </w:tcMar>
            <w:vAlign w:val="center"/>
          </w:tcPr>
          <w:p w14:paraId="6FE5DA38" w14:textId="2928BEA7" w:rsidR="00F8785F" w:rsidRDefault="001B3269">
            <w:pPr>
              <w:widowControl w:val="0"/>
              <w:pBdr>
                <w:top w:val="nil"/>
                <w:left w:val="nil"/>
                <w:bottom w:val="nil"/>
                <w:right w:val="nil"/>
                <w:between w:val="nil"/>
              </w:pBdr>
              <w:spacing w:line="240" w:lineRule="auto"/>
              <w:jc w:val="right"/>
              <w:rPr>
                <w:sz w:val="24"/>
                <w:szCs w:val="24"/>
              </w:rPr>
            </w:pPr>
            <w:r>
              <w:rPr>
                <w:sz w:val="24"/>
                <w:szCs w:val="24"/>
              </w:rPr>
              <w:t>$</w:t>
            </w:r>
            <w:r w:rsidR="00F4180F">
              <w:rPr>
                <w:sz w:val="24"/>
                <w:szCs w:val="24"/>
              </w:rPr>
              <w:t>1,</w:t>
            </w:r>
            <w:r w:rsidR="00E71A65">
              <w:rPr>
                <w:sz w:val="24"/>
                <w:szCs w:val="24"/>
              </w:rPr>
              <w:t>4</w:t>
            </w:r>
            <w:r w:rsidR="00F4180F">
              <w:rPr>
                <w:sz w:val="24"/>
                <w:szCs w:val="24"/>
              </w:rPr>
              <w:t>20.00</w:t>
            </w:r>
          </w:p>
        </w:tc>
        <w:tc>
          <w:tcPr>
            <w:tcW w:w="1345" w:type="dxa"/>
            <w:tcMar>
              <w:top w:w="100" w:type="dxa"/>
              <w:left w:w="100" w:type="dxa"/>
              <w:bottom w:w="100" w:type="dxa"/>
              <w:right w:w="100" w:type="dxa"/>
            </w:tcMar>
            <w:vAlign w:val="center"/>
          </w:tcPr>
          <w:p w14:paraId="5FF19C8A" w14:textId="3B57FE13" w:rsidR="00F8785F" w:rsidRDefault="001B3269">
            <w:pPr>
              <w:widowControl w:val="0"/>
              <w:spacing w:line="240" w:lineRule="auto"/>
              <w:jc w:val="right"/>
              <w:rPr>
                <w:sz w:val="24"/>
                <w:szCs w:val="24"/>
              </w:rPr>
            </w:pPr>
            <w:r>
              <w:rPr>
                <w:sz w:val="24"/>
                <w:szCs w:val="24"/>
              </w:rPr>
              <w:t>$</w:t>
            </w:r>
            <w:r w:rsidR="00F4180F">
              <w:rPr>
                <w:sz w:val="24"/>
                <w:szCs w:val="24"/>
              </w:rPr>
              <w:t>1,</w:t>
            </w:r>
            <w:r w:rsidR="00E71A65">
              <w:rPr>
                <w:sz w:val="24"/>
                <w:szCs w:val="24"/>
              </w:rPr>
              <w:t>4</w:t>
            </w:r>
            <w:r w:rsidR="00F4180F">
              <w:rPr>
                <w:sz w:val="24"/>
                <w:szCs w:val="24"/>
              </w:rPr>
              <w:t>20.00</w:t>
            </w:r>
          </w:p>
        </w:tc>
      </w:tr>
      <w:tr w:rsidR="00F8785F" w14:paraId="229E9987" w14:textId="77777777" w:rsidTr="00F4180F">
        <w:trPr>
          <w:trHeight w:val="657"/>
        </w:trPr>
        <w:tc>
          <w:tcPr>
            <w:tcW w:w="7550" w:type="dxa"/>
            <w:gridSpan w:val="3"/>
            <w:shd w:val="clear" w:color="auto" w:fill="C9DAF8"/>
            <w:tcMar>
              <w:top w:w="100" w:type="dxa"/>
              <w:left w:w="100" w:type="dxa"/>
              <w:bottom w:w="100" w:type="dxa"/>
              <w:right w:w="100" w:type="dxa"/>
            </w:tcMar>
            <w:vAlign w:val="center"/>
          </w:tcPr>
          <w:p w14:paraId="64AEADA5" w14:textId="77777777" w:rsidR="00F8785F" w:rsidRDefault="001B3269">
            <w:pPr>
              <w:widowControl w:val="0"/>
              <w:pBdr>
                <w:top w:val="nil"/>
                <w:left w:val="nil"/>
                <w:bottom w:val="nil"/>
                <w:right w:val="nil"/>
                <w:between w:val="nil"/>
              </w:pBdr>
              <w:spacing w:line="240" w:lineRule="auto"/>
              <w:jc w:val="center"/>
              <w:rPr>
                <w:b/>
                <w:color w:val="0000FF"/>
                <w:sz w:val="32"/>
                <w:szCs w:val="32"/>
              </w:rPr>
            </w:pPr>
            <w:r>
              <w:rPr>
                <w:b/>
                <w:color w:val="0000FF"/>
                <w:sz w:val="32"/>
                <w:szCs w:val="32"/>
              </w:rPr>
              <w:t>Total</w:t>
            </w:r>
          </w:p>
        </w:tc>
        <w:tc>
          <w:tcPr>
            <w:tcW w:w="2695" w:type="dxa"/>
            <w:gridSpan w:val="2"/>
            <w:shd w:val="clear" w:color="auto" w:fill="C9DAF8"/>
            <w:tcMar>
              <w:top w:w="100" w:type="dxa"/>
              <w:left w:w="100" w:type="dxa"/>
              <w:bottom w:w="100" w:type="dxa"/>
              <w:right w:w="100" w:type="dxa"/>
            </w:tcMar>
            <w:vAlign w:val="center"/>
          </w:tcPr>
          <w:p w14:paraId="1C487433" w14:textId="20FA57FB" w:rsidR="00F8785F" w:rsidRDefault="001B3269">
            <w:pPr>
              <w:widowControl w:val="0"/>
              <w:spacing w:line="240" w:lineRule="auto"/>
              <w:jc w:val="right"/>
              <w:rPr>
                <w:b/>
                <w:color w:val="0000FF"/>
                <w:sz w:val="34"/>
                <w:szCs w:val="34"/>
              </w:rPr>
            </w:pPr>
            <w:r>
              <w:rPr>
                <w:b/>
                <w:color w:val="0000FF"/>
                <w:sz w:val="32"/>
                <w:szCs w:val="32"/>
              </w:rPr>
              <w:t>$</w:t>
            </w:r>
            <w:r w:rsidR="00BE2FDC">
              <w:rPr>
                <w:b/>
                <w:color w:val="0000FF"/>
                <w:sz w:val="32"/>
                <w:szCs w:val="32"/>
              </w:rPr>
              <w:t>1,420.00</w:t>
            </w:r>
          </w:p>
        </w:tc>
      </w:tr>
    </w:tbl>
    <w:p w14:paraId="39749115" w14:textId="77777777" w:rsidR="00F8785F" w:rsidRDefault="00F8785F">
      <w:pPr>
        <w:ind w:left="360"/>
      </w:pPr>
    </w:p>
    <w:sectPr w:rsidR="00F8785F">
      <w:pgSz w:w="12240" w:h="15840"/>
      <w:pgMar w:top="144" w:right="144" w:bottom="144" w:left="14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5F"/>
    <w:rsid w:val="00185B3A"/>
    <w:rsid w:val="001B3269"/>
    <w:rsid w:val="004C57CF"/>
    <w:rsid w:val="006A1D80"/>
    <w:rsid w:val="00BE2FDC"/>
    <w:rsid w:val="00C836A2"/>
    <w:rsid w:val="00E71A65"/>
    <w:rsid w:val="00F110CF"/>
    <w:rsid w:val="00F4180F"/>
    <w:rsid w:val="00F8785F"/>
    <w:rsid w:val="00FD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B132"/>
  <w15:docId w15:val="{D12D15CF-3101-4E03-9F01-09EDF618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Mohiuddin Khan Mahin</cp:lastModifiedBy>
  <cp:revision>8</cp:revision>
  <dcterms:created xsi:type="dcterms:W3CDTF">2024-06-28T14:57:00Z</dcterms:created>
  <dcterms:modified xsi:type="dcterms:W3CDTF">2025-08-11T22:04:00Z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d5a466ccc73202ec09f141bbabf6b24afec69a26489e0db4f6f18928dbe2212b</vt:lpwstr>
  </property>
</Properties>
</file>