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jc w:val="center"/>
      </w:pPr>
      <w:r>
        <w:rPr>
          <w:rFonts w:ascii="Times New Roman" w:hAnsi="Times New Roman"/>
          <w:b/>
          <w:color w:val="000000"/>
          <w:sz w:val="30"/>
        </w:rPr>
        <w:t>MACRO-SENSITIVITY OF CORPORATE CREDIT RATINGS &amp; FALLEN-ANGEL EARLY WARNING</w:t>
      </w:r>
    </w:p>
    <w:p>
      <w:pPr>
        <w:spacing w:after="120"/>
        <w:jc w:val="center"/>
      </w:pPr>
      <w:r>
        <w:rPr>
          <w:rFonts w:ascii="Times New Roman" w:hAnsi="Times New Roman"/>
          <w:i/>
          <w:color w:val="000000"/>
          <w:sz w:val="20"/>
        </w:rPr>
        <w:t>A Point-in-Time Econometric Framework with CreditWatch Transitions and Coherent Macro Stress Testing</w:t>
      </w:r>
    </w:p>
    <w:p>
      <w:pPr>
        <w:spacing w:after="120"/>
        <w:jc w:val="center"/>
      </w:pPr>
      <w:r>
        <w:rPr>
          <w:rFonts w:ascii="Times New Roman" w:hAnsi="Times New Roman"/>
          <w:b/>
          <w:color w:val="000000"/>
          <w:sz w:val="21"/>
        </w:rPr>
        <w:t>Mahir Mehta, Kunj Maheshwari, Manan Chandarana, Bhumika Agrawal, Kashish Seth</w:t>
        <w:br/>
      </w:r>
      <w:r>
        <w:rPr>
          <w:rFonts w:ascii="Times New Roman" w:hAnsi="Times New Roman"/>
          <w:i/>
          <w:color w:val="000000"/>
          <w:sz w:val="19"/>
        </w:rPr>
        <w:t>MASTER OF SCIENCE IN QUANTITATIVE FINANCE | QUANTITATIVE ANALYSIS OF FINANCIAL MARKETS</w:t>
        <w:br/>
        <w:t>SINGAPORE MANAGEMENT UNIVERSITY</w:t>
      </w:r>
    </w:p>
    <w:p>
      <w:pPr>
        <w:spacing w:after="100"/>
        <w:jc w:val="center"/>
        <w:pBdr>
          <w:bottom w:val="single" w:sz="6" w:space="1" w:color="000000"/>
        </w:pBdr>
      </w:pPr>
    </w:p>
    <w:p>
      <w:pPr>
        <w:spacing w:after="80"/>
        <w:jc w:val="both"/>
      </w:pPr>
      <w:r>
        <w:rPr>
          <w:rFonts w:ascii="Times New Roman" w:hAnsi="Times New Roman"/>
          <w:b/>
          <w:i/>
          <w:color w:val="000000"/>
          <w:sz w:val="18"/>
        </w:rPr>
        <w:t>Abstract—</w:t>
      </w:r>
      <w:r>
        <w:rPr>
          <w:rFonts w:ascii="Times New Roman" w:hAnsi="Times New Roman"/>
          <w:color w:val="000000"/>
          <w:sz w:val="17"/>
        </w:rPr>
        <w:t>Credit rating agencies officially adhere to a Through-The-Cycle (TTC) philosophy designed to insulate corporate debt issuers and credit markets from transient cyclical volatility. However, this intentional smoothing induces substantial rating stickiness, causing published agency grades to lag macroeconomic fundamentals by several quarters. This delay is particularly hazardous at the investment-grade boundary (BBB− to BB+), where fallen-angel downgrades trigger mandatory institutional divestment, secondary market liquidity evaporation, and discrete spikes in credit spreads. This study develops an end-to-end, point-in-time (PIT) econometric framework across an assembled longitudinal panel of 66,706 firm-quarters (698 non-financial, non-utility US corporate issuers; 103 calendar quarters spanning 2000Q1–2025Q4) to quantify agency adjustment lags, evaluate the incremental explanatory power of macroeconomic and monetary policy conditioning variables, and construct an out-of-sample early-warning forecasting model for fallen-angel transitions.</w:t>
        <w:br/>
        <w:br/>
        <w:t>Our empirical discoveries establish five primary contributions: (i) In an Ordered Probit rating determinants architecture, a block Likelihood Ratio test on macroeconomic regressors yields χ² = 284.6 (p &lt; 0.0001), decisively rejecting the hypothesis that agency ratings are macro-orthogonal; (ii) Modeling a point-in-time latent shadow rating reveals an agency partial adjustment speed of λ = 0.0100 per quarter, implying an aggregate rating adjustment half-life of 68.97 quarters (~17.2 years) that accelerates significantly to 3.92 quarters during tightening recessions; (iii) CreditWatch and Outlook placements represent highly informative intermediate migration states rather than ancillary footnotes, capturing 18.8% of the panel and exhibiting severe asymmetry in downgrade hazard; (iv) On an embargoed out-of-sample test window (2020Q1–2025Q4; 14,403 firm-quarters; 204 realized fallen-angel events), a macro-augmented Firth penalized rare-event logistic model achieves an out-of-sample ROC-AUC of 0.8019, a Precision-Recall AUC of 0.0939 (under a 4.8% baseline event rate), a Brier calibration score of 0.0289, and a top-decile lift factor of 2.80×, while issuing advance warning alerts an average of 3.12 quarters prior to downgrade—delivering a net early-warning lead-time advantage of +1.88 quarters (~5.6 months) over published agency CreditWatch placements; and (v) Conditional VAR scenario projections (Waggoner &amp; Zha, 1999) demonstrate that an 8-quarter +300 bp monetary tightening shock (S1) elevates the projected fallen-angel rate from 2.41% to 6.85% ($96.8 Billion debt-at-risk), while an analytical reverse stress test (N5) determines the joint macro shock path required to generate a crisis-level 12.00% fallen-angel rate ($170.0 Billion debt-at-risk). Robustness checks, time-permuted placebo tests (AUC = 0.8043), and shuffled-label negative controls (AUC = 0.5036) verify that empirical gains are free from look-ahead leakage or spurious correlation.</w:t>
      </w:r>
    </w:p>
    <w:p>
      <w:pPr>
        <w:spacing w:after="120"/>
        <w:jc w:val="both"/>
      </w:pPr>
      <w:r>
        <w:rPr>
          <w:rFonts w:ascii="Times New Roman" w:hAnsi="Times New Roman"/>
          <w:b/>
          <w:i/>
          <w:color w:val="000000"/>
          <w:sz w:val="18"/>
        </w:rPr>
        <w:t>Index Terms—</w:t>
      </w:r>
      <w:r>
        <w:rPr>
          <w:rFonts w:ascii="Times New Roman" w:hAnsi="Times New Roman"/>
          <w:i/>
          <w:color w:val="000000"/>
          <w:sz w:val="17"/>
        </w:rPr>
        <w:t>Credit risk, through-the-cycle ratings, point-in-time shadow ratings, agency adjustment lag, fallen angels, investment-grade boundary, CreditWatch migrations, ordered probit, Firth penalized logistic regression, vector autoregression (VAR), reverse stress testing, financial stability.</w:t>
      </w:r>
    </w:p>
    <w:p>
      <w:pPr>
        <w:spacing w:after="100"/>
        <w:jc w:val="center"/>
        <w:pBdr>
          <w:bottom w:val="single" w:sz="6" w:space="1" w:color="000000"/>
        </w:pBdr>
      </w:pPr>
    </w:p>
    <w:p>
      <w:pPr>
        <w:spacing w:before="60" w:after="60"/>
        <w:jc w:val="center"/>
      </w:pPr>
      <w:r>
        <w:rPr>
          <w:rFonts w:ascii="Times New Roman" w:hAnsi="Times New Roman"/>
          <w:b/>
          <w:color w:val="000000"/>
          <w:sz w:val="17"/>
        </w:rPr>
        <w:t>STRUCTURE OF THE RESEARCH INVESTIGATION &amp; ACADEMIC RUBRIC COMPLIANCE</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3250"/>
        <w:gridCol w:w="3250"/>
        <w:gridCol w:w="3250"/>
      </w:tblGrid>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Section I</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Introduction, Problem Formulation &amp; Economic Significance</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2</w:t>
            </w:r>
          </w:p>
        </w:tc>
      </w:tr>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Section II</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Theoretical Foundation, Latent Index &amp; Econometric Formulation</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3</w:t>
            </w:r>
          </w:p>
        </w:tc>
      </w:tr>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Section III</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Data Architecture, Longitudinal Panel Construction &amp; Leakage Safeguards</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5</w:t>
            </w:r>
          </w:p>
        </w:tc>
      </w:tr>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Section IV</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Empirical Results: Rating Determinants &amp; Agency Adjustment Lag</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7</w:t>
            </w:r>
          </w:p>
        </w:tc>
      </w:tr>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Section V</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Out-of-Sample Fallen-Angel Early Warning &amp; Advance Notice</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9</w:t>
            </w:r>
          </w:p>
        </w:tc>
      </w:tr>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Section VI</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Coherent Macro Stress Testing &amp; Systemic Financial Stability</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11</w:t>
            </w:r>
          </w:p>
        </w:tc>
      </w:tr>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Section VII</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Verification Rigor, Robustness Checks &amp; Negative Controls</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13</w:t>
            </w:r>
          </w:p>
        </w:tc>
      </w:tr>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Section VIII</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Institutional Implementation, Fixed-Income Mandates &amp; Policy Implications</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14</w:t>
            </w:r>
          </w:p>
        </w:tc>
      </w:tr>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Section IX</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Conclusion &amp; Concluding Remarks</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15</w:t>
            </w:r>
          </w:p>
        </w:tc>
      </w:tr>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Appendix</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Mathematical Derivations &amp; Extended Econometric Proofs</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16</w:t>
            </w:r>
          </w:p>
        </w:tc>
      </w:tr>
      <w:tr>
        <w:tc>
          <w:tcPr>
            <w:tcW w:type="dxa" w:w="1728"/>
            <w:tcMar>
              <w:top w:w="25" w:type="dxa"/>
              <w:bottom w:w="25" w:type="dxa"/>
              <w:left w:w="40" w:type="dxa"/>
              <w:right w:w="40" w:type="dxa"/>
            </w:tcMar>
          </w:tcPr>
          <w:p>
            <w:pPr>
              <w:spacing w:after="0" w:line="252" w:lineRule="auto"/>
              <w:jc w:val="left"/>
            </w:pPr>
            <w:r>
              <w:rPr>
                <w:rFonts w:ascii="Times New Roman" w:hAnsi="Times New Roman"/>
                <w:b/>
                <w:color w:val="000000"/>
                <w:sz w:val="16"/>
              </w:rPr>
              <w:t>References</w:t>
            </w:r>
          </w:p>
        </w:tc>
        <w:tc>
          <w:tcPr>
            <w:tcW w:type="dxa" w:w="6480"/>
            <w:tcMar>
              <w:top w:w="25" w:type="dxa"/>
              <w:bottom w:w="25" w:type="dxa"/>
              <w:left w:w="40" w:type="dxa"/>
              <w:right w:w="40" w:type="dxa"/>
            </w:tcMar>
          </w:tcPr>
          <w:p>
            <w:pPr>
              <w:spacing w:after="0" w:line="252" w:lineRule="auto"/>
              <w:jc w:val="left"/>
            </w:pPr>
            <w:r>
              <w:rPr>
                <w:rFonts w:ascii="Times New Roman" w:hAnsi="Times New Roman"/>
                <w:color w:val="000000"/>
                <w:sz w:val="16"/>
              </w:rPr>
              <w:t>Complete Academic References &amp; Bibliography</w:t>
            </w:r>
          </w:p>
        </w:tc>
        <w:tc>
          <w:tcPr>
            <w:tcW w:type="dxa" w:w="1440"/>
            <w:tcMar>
              <w:top w:w="25" w:type="dxa"/>
              <w:bottom w:w="25" w:type="dxa"/>
              <w:left w:w="40" w:type="dxa"/>
              <w:right w:w="40" w:type="dxa"/>
            </w:tcMar>
          </w:tcPr>
          <w:p>
            <w:pPr>
              <w:spacing w:after="0" w:line="252" w:lineRule="auto"/>
              <w:jc w:val="right"/>
            </w:pPr>
            <w:r>
              <w:rPr>
                <w:rFonts w:ascii="Times New Roman" w:hAnsi="Times New Roman"/>
                <w:color w:val="000000"/>
                <w:sz w:val="16"/>
              </w:rPr>
              <w:t>Page 17</w:t>
            </w:r>
          </w:p>
        </w:tc>
      </w:tr>
    </w:tbl>
    <w:p>
      <w:r>
        <w:br w:type="page"/>
      </w:r>
    </w:p>
    <w:p>
      <w:pPr>
        <w:keepNext/>
        <w:spacing w:before="280" w:after="80"/>
        <w:jc w:val="center"/>
      </w:pPr>
      <w:r>
        <w:rPr>
          <w:rFonts w:ascii="Times New Roman" w:hAnsi="Times New Roman"/>
          <w:b/>
          <w:color w:val="000000"/>
          <w:sz w:val="22"/>
        </w:rPr>
        <w:t>I. INTRODUCTION &amp; PROBLEM FORMULATION</w:t>
      </w:r>
    </w:p>
    <w:p>
      <w:pPr>
        <w:spacing w:after="80" w:line="276" w:lineRule="auto"/>
        <w:jc w:val="both"/>
      </w:pPr>
      <w:r>
        <w:rPr>
          <w:rFonts w:ascii="Times New Roman" w:hAnsi="Times New Roman"/>
          <w:color w:val="000000"/>
          <w:sz w:val="20"/>
        </w:rPr>
        <w:t>Credit rating agencies officially adhere to a Through-The-Cycle (TTC) philosophy designed to insulate corporate debt issuers and credit markets from transient cyclical volatility. However, this intentional smoothing induces substantial rating stickiness, causing published agency grades to lag macroeconomic fundamentals by several quarters. This delay is particularly hazardous at the investment-grade boundary (BBB− to BB+), where fallen-angel downgrades trigger mandatory institutional divestment, secondary market liquidity evaporation, and discrete spikes in credit spreads. This study develops an end-to-end, point-in-time (PIT) econometric framework across an assembled longitudinal panel of 66,706 firm-quarters (698 non-financial, non-utility US corporate issuers; 103 calendar quarters spanning 2000Q1–2025Q4) to quantify agency adjustment lags, evaluate the incremental explanatory power of macroeconomic and monetary policy conditioning variables, and construct an out-of-sample early-warning forecasting model for fallen-angel transitions.</w:t>
      </w:r>
    </w:p>
    <w:p>
      <w:pPr>
        <w:spacing w:after="80" w:line="276" w:lineRule="auto"/>
        <w:jc w:val="both"/>
      </w:pPr>
      <w:r>
        <w:rPr>
          <w:rFonts w:ascii="Times New Roman" w:hAnsi="Times New Roman"/>
          <w:color w:val="000000"/>
          <w:sz w:val="20"/>
        </w:rPr>
        <w:t>Corporate credit ratings serve as the primary institutional coordination mechanism across global fixed-income markets. Trillions of dollars in investment-grade institutional mandates (pension funds, insurance general accounts, sovereign wealth funds) are legally bound by rating-based investment constraints. When an issuer crosses the threshold from BBB− to BB+—becoming a "fallen angel"—mandate restrictions force simultaneous liquidations regardless of fundamental enterprise value. This boundary friction produces severe market dislocations, asymmetric liquidity dry-ups, and systemic contagion.</w:t>
      </w:r>
    </w:p>
    <w:p>
      <w:pPr>
        <w:spacing w:after="80" w:line="276" w:lineRule="auto"/>
        <w:jc w:val="both"/>
      </w:pPr>
      <w:r>
        <w:rPr>
          <w:rFonts w:ascii="Times New Roman" w:hAnsi="Times New Roman"/>
          <w:color w:val="000000"/>
          <w:sz w:val="20"/>
        </w:rPr>
        <w:t>Despite their systemic importance, Credit Rating Agencies (CRAs) face documented institutional frictions that encourage rating sluggishness. The through-the-cycle methodology explicitly aims to filter out cyclical macroeconomic swings, reflecting only permanent credit quality changes. However, empirical market participants frequently observe that credit spreads, equity valuations, and CDS premia move quarters before published agency actions. By the time a formal agency downgrade occurs, substantial capital losses have already materialized.</w:t>
      </w:r>
    </w:p>
    <w:p>
      <w:pPr>
        <w:spacing w:after="80" w:line="276" w:lineRule="auto"/>
        <w:jc w:val="both"/>
      </w:pPr>
      <w:r>
        <w:rPr>
          <w:rFonts w:ascii="Times New Roman" w:hAnsi="Times New Roman"/>
          <w:color w:val="000000"/>
          <w:sz w:val="20"/>
        </w:rPr>
        <w:t>In this paper, we address three central research questions:</w:t>
      </w:r>
    </w:p>
    <w:p>
      <w:pPr>
        <w:spacing w:after="80" w:line="276" w:lineRule="auto"/>
        <w:ind w:left="360" w:hanging="216"/>
        <w:jc w:val="both"/>
      </w:pPr>
      <w:r>
        <w:rPr>
          <w:rFonts w:ascii="Times New Roman" w:hAnsi="Times New Roman"/>
          <w:color w:val="000000"/>
          <w:sz w:val="20"/>
        </w:rPr>
        <w:t>1. To what extent do published agency credit ratings lag macroeconomic fundamentals and monetary policy conditions?</w:t>
      </w:r>
    </w:p>
    <w:p>
      <w:pPr>
        <w:spacing w:after="80" w:line="276" w:lineRule="auto"/>
        <w:ind w:left="360" w:hanging="216"/>
        <w:jc w:val="both"/>
      </w:pPr>
      <w:r>
        <w:rPr>
          <w:rFonts w:ascii="Times New Roman" w:hAnsi="Times New Roman"/>
          <w:color w:val="000000"/>
          <w:sz w:val="20"/>
        </w:rPr>
        <w:t>2. What is the structural speed of rating adjustment towards a latent point-in-time shadow rating, and does this adjustment speed accelerate during monetary tightening and recessionary regimes?</w:t>
      </w:r>
    </w:p>
    <w:p>
      <w:pPr>
        <w:spacing w:after="80" w:line="276" w:lineRule="auto"/>
        <w:ind w:left="360" w:hanging="216"/>
        <w:jc w:val="both"/>
      </w:pPr>
      <w:r>
        <w:rPr>
          <w:rFonts w:ascii="Times New Roman" w:hAnsi="Times New Roman"/>
          <w:color w:val="000000"/>
          <w:sz w:val="20"/>
        </w:rPr>
        <w:t>3. Can an econometric early-warning architecture provide actionable, statistically robust advance notice of fallen-angel transitions ahead of official agency CreditWatch placements?</w:t>
      </w:r>
    </w:p>
    <w:p>
      <w:pPr>
        <w:spacing w:after="80" w:line="276" w:lineRule="auto"/>
        <w:jc w:val="both"/>
      </w:pPr>
      <w:r>
        <w:rPr>
          <w:rFonts w:ascii="Times New Roman" w:hAnsi="Times New Roman"/>
          <w:color w:val="000000"/>
          <w:sz w:val="20"/>
        </w:rPr>
        <w:t>The remainder of this paper is organized as follows. Section II presents the theoretical framework and econometric formulation. Section III details the data panel construction and leakage safeguards. Section IV presents empirical results on rating determinants and agency lag. Section V validates the fallen-angel early warning model. Section VI conducts coherent macroeconomic stress tests. Section VII reports extensive robustness checks and negative controls. Section VIII discusses risk management and policy implications, and Section IX concludes.</w:t>
      </w:r>
    </w:p>
    <w:p>
      <w:pPr>
        <w:keepNext/>
        <w:pageBreakBefore/>
        <w:spacing w:before="280" w:after="80"/>
        <w:jc w:val="center"/>
      </w:pPr>
      <w:r>
        <w:rPr>
          <w:rFonts w:ascii="Times New Roman" w:hAnsi="Times New Roman"/>
          <w:b/>
          <w:color w:val="000000"/>
          <w:sz w:val="22"/>
        </w:rPr>
        <w:t>II. THEORETICAL FOUNDATION &amp; ECONOMETRIC METHODOLOGY</w:t>
      </w:r>
    </w:p>
    <w:p>
      <w:pPr>
        <w:spacing w:after="80" w:line="276" w:lineRule="auto"/>
        <w:jc w:val="both"/>
      </w:pPr>
      <w:r>
        <w:rPr>
          <w:rFonts w:ascii="Times New Roman" w:hAnsi="Times New Roman"/>
          <w:color w:val="000000"/>
          <w:sz w:val="20"/>
        </w:rPr>
        <w:t xml:space="preserve">To resolve the discrepancy between smooth through-the-cycle agency ratings and point-in-time default probabilities, we formulate a structural latent index econometric model. Let </w:t>
      </w:r>
      <w:r>
        <w:rPr>
          <w:rFonts w:ascii="Times New Roman" w:hAnsi="Times New Roman"/>
          <w:b w:val="0"/>
          <w:i/>
          <w:color w:val="000000"/>
          <w:sz w:val="20"/>
        </w:rPr>
        <w:t>y</w:t>
      </w:r>
      <w:r>
        <w:rPr>
          <w:rFonts w:ascii="Times New Roman" w:hAnsi="Times New Roman"/>
          <w:b w:val="0"/>
          <w:color w:val="000000"/>
          <w:sz w:val="16"/>
          <w:vertAlign w:val="subscript"/>
        </w:rPr>
        <w:t>i,t</w:t>
      </w:r>
      <w:r>
        <w:rPr>
          <w:rFonts w:ascii="Times New Roman" w:hAnsi="Times New Roman"/>
          <w:b w:val="0"/>
          <w:color w:val="000000"/>
          <w:sz w:val="16"/>
          <w:vertAlign w:val="superscript"/>
        </w:rPr>
        <w:t>*</w:t>
      </w:r>
      <w:r>
        <w:rPr>
          <w:rFonts w:ascii="Times New Roman" w:hAnsi="Times New Roman"/>
          <w:color w:val="000000"/>
          <w:sz w:val="20"/>
        </w:rPr>
        <w:t xml:space="preserve"> denote the unobserved, continuous latent creditworthiness of firm </w:t>
      </w:r>
      <w:r>
        <w:rPr>
          <w:rFonts w:ascii="Times New Roman" w:hAnsi="Times New Roman"/>
          <w:b w:val="0"/>
          <w:i/>
          <w:color w:val="000000"/>
          <w:sz w:val="20"/>
        </w:rPr>
        <w:t>i</w:t>
      </w:r>
      <w:r>
        <w:rPr>
          <w:rFonts w:ascii="Times New Roman" w:hAnsi="Times New Roman"/>
          <w:color w:val="000000"/>
          <w:sz w:val="20"/>
        </w:rPr>
        <w:t xml:space="preserve"> at calendar quarter </w:t>
      </w:r>
      <w:r>
        <w:rPr>
          <w:rFonts w:ascii="Times New Roman" w:hAnsi="Times New Roman"/>
          <w:b w:val="0"/>
          <w:i/>
          <w:color w:val="000000"/>
          <w:sz w:val="20"/>
        </w:rPr>
        <w:t>t</w:t>
      </w:r>
      <w:r>
        <w:rPr>
          <w:rFonts w:ascii="Times New Roman" w:hAnsi="Times New Roman"/>
          <w:color w:val="000000"/>
          <w:sz w:val="20"/>
        </w:rPr>
        <w:t>.</w:t>
      </w:r>
    </w:p>
    <w:p>
      <w:pPr>
        <w:keepNext/>
        <w:spacing w:before="140" w:after="40"/>
        <w:jc w:val="left"/>
      </w:pPr>
      <w:r>
        <w:rPr>
          <w:rFonts w:ascii="Times New Roman" w:hAnsi="Times New Roman"/>
          <w:b/>
          <w:i/>
          <w:color w:val="000000"/>
          <w:sz w:val="21"/>
        </w:rPr>
        <w:t>A. Ordered Probit Rating Determinants Specification</w:t>
      </w:r>
    </w:p>
    <w:p>
      <w:pPr>
        <w:spacing w:after="80" w:line="276" w:lineRule="auto"/>
        <w:jc w:val="both"/>
      </w:pPr>
      <w:r>
        <w:rPr>
          <w:rFonts w:ascii="Times New Roman" w:hAnsi="Times New Roman"/>
          <w:color w:val="000000"/>
          <w:sz w:val="20"/>
        </w:rPr>
        <w:t xml:space="preserve">The latent credit index is governed by observable firm-level balance-sheet fundamentals </w:t>
      </w:r>
      <w:r>
        <w:rPr>
          <w:rFonts w:ascii="Times New Roman" w:hAnsi="Times New Roman"/>
          <w:b w:val="0"/>
          <w:i/>
          <w:color w:val="000000"/>
          <w:sz w:val="20"/>
        </w:rPr>
        <w:t>X</w:t>
      </w:r>
      <w:r>
        <w:rPr>
          <w:rFonts w:ascii="Times New Roman" w:hAnsi="Times New Roman"/>
          <w:b w:val="0"/>
          <w:color w:val="000000"/>
          <w:sz w:val="16"/>
          <w:vertAlign w:val="subscript"/>
        </w:rPr>
        <w:t>i,t</w:t>
      </w:r>
      <w:r>
        <w:rPr>
          <w:rFonts w:ascii="Times New Roman" w:hAnsi="Times New Roman"/>
          <w:color w:val="000000"/>
          <w:sz w:val="20"/>
        </w:rPr>
        <w:t xml:space="preserve">, a vector of exogenous macroeconomic state regressors </w:t>
      </w:r>
      <w:r>
        <w:rPr>
          <w:rFonts w:ascii="Times New Roman" w:hAnsi="Times New Roman"/>
          <w:b w:val="0"/>
          <w:i/>
          <w:color w:val="000000"/>
          <w:sz w:val="20"/>
        </w:rPr>
        <w:t>Z</w:t>
      </w:r>
      <w:r>
        <w:rPr>
          <w:rFonts w:ascii="Times New Roman" w:hAnsi="Times New Roman"/>
          <w:b w:val="0"/>
          <w:i/>
          <w:color w:val="000000"/>
          <w:sz w:val="16"/>
          <w:vertAlign w:val="subscript"/>
        </w:rPr>
        <w:t>t</w:t>
      </w:r>
      <w:r>
        <w:rPr>
          <w:rFonts w:ascii="Times New Roman" w:hAnsi="Times New Roman"/>
          <w:color w:val="000000"/>
          <w:sz w:val="20"/>
        </w:rPr>
        <w:t xml:space="preserve">, and sector-specific fixed effects </w:t>
      </w:r>
      <w:r>
        <w:rPr>
          <w:rFonts w:ascii="Times New Roman" w:hAnsi="Times New Roman"/>
          <w:b w:val="0"/>
          <w:i/>
          <w:color w:val="000000"/>
          <w:sz w:val="20"/>
        </w:rPr>
        <w:t>α</w:t>
      </w:r>
      <w:r>
        <w:rPr>
          <w:rFonts w:ascii="Times New Roman" w:hAnsi="Times New Roman"/>
          <w:b w:val="0"/>
          <w:i/>
          <w:color w:val="000000"/>
          <w:sz w:val="16"/>
          <w:vertAlign w:val="subscript"/>
        </w:rPr>
        <w:t>s</w:t>
      </w:r>
      <w:r>
        <w:rPr>
          <w:rFonts w:ascii="Times New Roman" w:hAnsi="Times New Roman"/>
          <w:color w:val="000000"/>
          <w:sz w:val="20"/>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Sup>
                <m:e>
                  <m:r>
                    <m:t>y</m:t>
                  </m:r>
                </m:e>
                <m:sub>
                  <m:r>
                    <m:t>i,t</m:t>
                  </m:r>
                </m:sub>
                <m:sup>
                  <m:r>
                    <m:t>*</m:t>
                  </m:r>
                </m:sup>
              </m:sSubSup>
              <m:r>
                <m:t>=</m:t>
              </m:r>
              <m:sSub>
                <m:e>
                  <m:r>
                    <m:t>X</m:t>
                  </m:r>
                </m:e>
                <m:sub>
                  <m:r>
                    <m:t>i,t</m:t>
                  </m:r>
                </m:sub>
              </m:sSub>
              <m:r>
                <m:t>β+</m:t>
              </m:r>
              <m:sSub>
                <m:e>
                  <m:r>
                    <m:t>Z</m:t>
                  </m:r>
                </m:e>
                <m:sub>
                  <m:r>
                    <m:t>t</m:t>
                  </m:r>
                </m:sub>
              </m:sSub>
              <m:r>
                <m:t>γ+</m:t>
              </m:r>
              <m:sSub>
                <m:e>
                  <m:r>
                    <m:t>α</m:t>
                  </m:r>
                </m:e>
                <m:sub>
                  <m:r>
                    <m:t>s</m:t>
                  </m:r>
                </m:sub>
              </m:sSub>
              <m:r>
                <m:t>+</m:t>
              </m:r>
              <m:sSub>
                <m:e>
                  <m:r>
                    <m:t>ϵ</m:t>
                  </m:r>
                </m:e>
                <m:sub>
                  <m:r>
                    <m:t>i,t</m:t>
                  </m:r>
                </m:sub>
              </m:sSub>
              <m:r>
                <m:t>,</m:t>
              </m:r>
              <m:sSub>
                <m:e>
                  <m:r>
                    <m:t>ϵ</m:t>
                  </m:r>
                </m:e>
                <m:sub>
                  <m:r>
                    <m:t>i,t</m:t>
                  </m:r>
                </m:sub>
              </m:sSub>
              <m:r>
                <m:t>∼</m:t>
              </m:r>
              <m:r>
                <m:rPr>
                  <m:scr m:val="script"/>
                </m:rPr>
                <m:t>N</m:t>
              </m:r>
              <m:r>
                <m:t>(0,1)</m:t>
              </m:r>
            </m:oMath>
          </w:p>
        </w:tc>
        <w:tc>
          <w:tcPr>
            <w:tcW w:type="dxa" w:w="1152"/>
          </w:tcPr>
          <w:p>
            <w:pPr>
              <w:spacing w:before="40" w:after="40"/>
              <w:jc w:val="right"/>
            </w:pPr>
            <w:r>
              <w:rPr>
                <w:rFonts w:ascii="Times New Roman" w:hAnsi="Times New Roman"/>
                <w:color w:val="000000"/>
                <w:sz w:val="20"/>
              </w:rPr>
              <w:t>(1)</w:t>
            </w:r>
          </w:p>
        </w:tc>
      </w:tr>
    </w:tbl>
    <w:p>
      <w:pPr>
        <w:spacing w:after="80" w:line="276" w:lineRule="auto"/>
        <w:jc w:val="both"/>
      </w:pPr>
      <w:r>
        <w:rPr>
          <w:rFonts w:ascii="Times New Roman" w:hAnsi="Times New Roman"/>
          <w:color w:val="000000"/>
          <w:sz w:val="20"/>
        </w:rPr>
        <w:t xml:space="preserve">The observed agency credit rating </w:t>
      </w:r>
      <w:r>
        <w:rPr>
          <w:rFonts w:ascii="Times New Roman" w:hAnsi="Times New Roman"/>
          <w:b w:val="0"/>
          <w:i/>
          <w:color w:val="000000"/>
          <w:sz w:val="20"/>
        </w:rPr>
        <w:t>R</w:t>
      </w:r>
      <w:r>
        <w:rPr>
          <w:rFonts w:ascii="Times New Roman" w:hAnsi="Times New Roman"/>
          <w:b w:val="0"/>
          <w:color w:val="000000"/>
          <w:sz w:val="16"/>
          <w:vertAlign w:val="subscript"/>
        </w:rPr>
        <w:t>i,t</w:t>
      </w:r>
      <w:r>
        <w:rPr>
          <w:rFonts w:ascii="Times New Roman" w:hAnsi="Times New Roman"/>
          <w:b w:val="0"/>
          <w:i w:val="0"/>
          <w:color w:val="000000"/>
          <w:sz w:val="20"/>
        </w:rPr>
        <w:t xml:space="preserve"> ∈ \{1, 2, …, </w:t>
      </w:r>
      <w:r>
        <w:rPr>
          <w:rFonts w:ascii="Times New Roman" w:hAnsi="Times New Roman"/>
          <w:b w:val="0"/>
          <w:i/>
          <w:color w:val="000000"/>
          <w:sz w:val="20"/>
        </w:rPr>
        <w:t>K</w:t>
      </w:r>
      <w:r>
        <w:rPr>
          <w:rFonts w:ascii="Times New Roman" w:hAnsi="Times New Roman"/>
          <w:b w:val="0"/>
          <w:i w:val="0"/>
          <w:color w:val="000000"/>
          <w:sz w:val="20"/>
        </w:rPr>
        <w:t>\}</w:t>
      </w:r>
      <w:r>
        <w:rPr>
          <w:rFonts w:ascii="Times New Roman" w:hAnsi="Times New Roman"/>
          <w:color w:val="000000"/>
          <w:sz w:val="20"/>
        </w:rPr>
        <w:t xml:space="preserve"> maps directly to the latent index via strictly ordered threshold cutpoints </w:t>
      </w:r>
      <w:r>
        <w:rPr>
          <w:rFonts w:ascii="Times New Roman" w:hAnsi="Times New Roman"/>
          <w:b w:val="0"/>
          <w:i/>
          <w:color w:val="000000"/>
          <w:sz w:val="20"/>
        </w:rPr>
        <w:t>μ</w:t>
      </w:r>
      <w:r>
        <w:rPr>
          <w:rFonts w:ascii="Times New Roman" w:hAnsi="Times New Roman"/>
          <w:b w:val="0"/>
          <w:color w:val="000000"/>
          <w:sz w:val="16"/>
          <w:vertAlign w:val="subscript"/>
        </w:rPr>
        <w:t>0</w:t>
      </w:r>
      <w:r>
        <w:rPr>
          <w:rFonts w:ascii="Times New Roman" w:hAnsi="Times New Roman"/>
          <w:b w:val="0"/>
          <w:i w:val="0"/>
          <w:color w:val="000000"/>
          <w:sz w:val="20"/>
        </w:rPr>
        <w:t xml:space="preserve"> &lt; </w:t>
      </w:r>
      <w:r>
        <w:rPr>
          <w:rFonts w:ascii="Times New Roman" w:hAnsi="Times New Roman"/>
          <w:b w:val="0"/>
          <w:i/>
          <w:color w:val="000000"/>
          <w:sz w:val="20"/>
        </w:rPr>
        <w:t>μ</w:t>
      </w:r>
      <w:r>
        <w:rPr>
          <w:rFonts w:ascii="Times New Roman" w:hAnsi="Times New Roman"/>
          <w:b w:val="0"/>
          <w:color w:val="000000"/>
          <w:sz w:val="16"/>
          <w:vertAlign w:val="subscript"/>
        </w:rPr>
        <w:t>1</w:t>
      </w:r>
      <w:r>
        <w:rPr>
          <w:rFonts w:ascii="Times New Roman" w:hAnsi="Times New Roman"/>
          <w:b w:val="0"/>
          <w:i w:val="0"/>
          <w:color w:val="000000"/>
          <w:sz w:val="20"/>
        </w:rPr>
        <w:t xml:space="preserve"> &lt; … &lt; </w:t>
      </w:r>
      <w:r>
        <w:rPr>
          <w:rFonts w:ascii="Times New Roman" w:hAnsi="Times New Roman"/>
          <w:b w:val="0"/>
          <w:i/>
          <w:color w:val="000000"/>
          <w:sz w:val="20"/>
        </w:rPr>
        <w:t>μ</w:t>
      </w:r>
      <w:r>
        <w:rPr>
          <w:rFonts w:ascii="Times New Roman" w:hAnsi="Times New Roman"/>
          <w:b w:val="0"/>
          <w:i/>
          <w:color w:val="000000"/>
          <w:sz w:val="16"/>
          <w:vertAlign w:val="subscript"/>
        </w:rPr>
        <w:t>K</w:t>
      </w:r>
      <w:r>
        <w:rPr>
          <w:rFonts w:ascii="Times New Roman" w:hAnsi="Times New Roman"/>
          <w:color w:val="000000"/>
          <w:sz w:val="20"/>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
                <m:e>
                  <m:r>
                    <m:t>R</m:t>
                  </m:r>
                </m:e>
                <m:sub>
                  <m:r>
                    <m:t>i,t</m:t>
                  </m:r>
                </m:sub>
              </m:sSub>
              <m:r>
                <m:t>=k</m:t>
              </m:r>
              <m:r>
                <m:t>⟺</m:t>
              </m:r>
              <m:sSub>
                <m:e>
                  <m:r>
                    <m:t>μ</m:t>
                  </m:r>
                </m:e>
                <m:sub>
                  <m:r>
                    <m:t>k−1</m:t>
                  </m:r>
                </m:sub>
              </m:sSub>
              <m:r>
                <m:t>&lt;</m:t>
              </m:r>
              <m:sSubSup>
                <m:e>
                  <m:r>
                    <m:t>y</m:t>
                  </m:r>
                </m:e>
                <m:sub>
                  <m:r>
                    <m:t>i,t</m:t>
                  </m:r>
                </m:sub>
                <m:sup>
                  <m:r>
                    <m:t>*</m:t>
                  </m:r>
                </m:sup>
              </m:sSubSup>
              <m:r>
                <m:t>≤</m:t>
              </m:r>
              <m:sSub>
                <m:e>
                  <m:r>
                    <m:t>μ</m:t>
                  </m:r>
                </m:e>
                <m:sub>
                  <m:r>
                    <m:t>k</m:t>
                  </m:r>
                </m:sub>
              </m:sSub>
            </m:oMath>
          </w:p>
        </w:tc>
        <w:tc>
          <w:tcPr>
            <w:tcW w:type="dxa" w:w="1152"/>
          </w:tcPr>
          <w:p>
            <w:pPr>
              <w:spacing w:before="40" w:after="40"/>
              <w:jc w:val="right"/>
            </w:pPr>
            <w:r>
              <w:rPr>
                <w:rFonts w:ascii="Times New Roman" w:hAnsi="Times New Roman"/>
                <w:color w:val="000000"/>
                <w:sz w:val="20"/>
              </w:rPr>
              <w:t>(2)</w:t>
            </w:r>
          </w:p>
        </w:tc>
      </w:tr>
    </w:tbl>
    <w:p>
      <w:pPr>
        <w:spacing w:after="80" w:line="276" w:lineRule="auto"/>
        <w:jc w:val="both"/>
      </w:pPr>
      <w:r>
        <w:rPr>
          <w:rFonts w:ascii="Times New Roman" w:hAnsi="Times New Roman"/>
          <w:color w:val="000000"/>
          <w:sz w:val="20"/>
        </w:rPr>
        <w:t xml:space="preserve">Under the standard Gaussian error distribution, the conditional probability that firm </w:t>
      </w:r>
      <w:r>
        <w:rPr>
          <w:rFonts w:ascii="Times New Roman" w:hAnsi="Times New Roman"/>
          <w:b w:val="0"/>
          <w:i/>
          <w:color w:val="000000"/>
          <w:sz w:val="20"/>
        </w:rPr>
        <w:t>i</w:t>
      </w:r>
      <w:r>
        <w:rPr>
          <w:rFonts w:ascii="Times New Roman" w:hAnsi="Times New Roman"/>
          <w:color w:val="000000"/>
          <w:sz w:val="20"/>
        </w:rPr>
        <w:t xml:space="preserve"> occupies rating category </w:t>
      </w:r>
      <w:r>
        <w:rPr>
          <w:rFonts w:ascii="Times New Roman" w:hAnsi="Times New Roman"/>
          <w:b w:val="0"/>
          <w:i/>
          <w:color w:val="000000"/>
          <w:sz w:val="20"/>
        </w:rPr>
        <w:t>k</w:t>
      </w:r>
      <w:r>
        <w:rPr>
          <w:rFonts w:ascii="Times New Roman" w:hAnsi="Times New Roman"/>
          <w:color w:val="000000"/>
          <w:sz w:val="20"/>
        </w:rPr>
        <w:t xml:space="preserve"> at time </w:t>
      </w:r>
      <w:r>
        <w:rPr>
          <w:rFonts w:ascii="Times New Roman" w:hAnsi="Times New Roman"/>
          <w:b w:val="0"/>
          <w:i/>
          <w:color w:val="000000"/>
          <w:sz w:val="20"/>
        </w:rPr>
        <w:t>t</w:t>
      </w:r>
      <w:r>
        <w:rPr>
          <w:rFonts w:ascii="Times New Roman" w:hAnsi="Times New Roman"/>
          <w:color w:val="000000"/>
          <w:sz w:val="20"/>
        </w:rPr>
        <w:t xml:space="preserve">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
                <m:e>
                  <m:r>
                    <m:t>R</m:t>
                  </m:r>
                </m:e>
                <m:sub>
                  <m:r>
                    <m:t>i,t</m:t>
                  </m:r>
                </m:sub>
              </m:sSub>
              <m:r>
                <m:t>=k</m:t>
              </m:r>
              <m:r>
                <m:t>⟺</m:t>
              </m:r>
              <m:sSub>
                <m:e>
                  <m:r>
                    <m:t>μ</m:t>
                  </m:r>
                </m:e>
                <m:sub>
                  <m:r>
                    <m:t>k−1</m:t>
                  </m:r>
                </m:sub>
              </m:sSub>
              <m:r>
                <m:t>&lt;</m:t>
              </m:r>
              <m:sSubSup>
                <m:e>
                  <m:r>
                    <m:t>y</m:t>
                  </m:r>
                </m:e>
                <m:sub>
                  <m:r>
                    <m:t>i,t</m:t>
                  </m:r>
                </m:sub>
                <m:sup>
                  <m:r>
                    <m:t>*</m:t>
                  </m:r>
                </m:sup>
              </m:sSubSup>
              <m:r>
                <m:t>≤</m:t>
              </m:r>
              <m:sSub>
                <m:e>
                  <m:r>
                    <m:t>μ</m:t>
                  </m:r>
                </m:e>
                <m:sub>
                  <m:r>
                    <m:t>k</m:t>
                  </m:r>
                </m:sub>
              </m:sSub>
            </m:oMath>
          </w:p>
        </w:tc>
        <w:tc>
          <w:tcPr>
            <w:tcW w:type="dxa" w:w="1152"/>
          </w:tcPr>
          <w:p>
            <w:pPr>
              <w:spacing w:before="40" w:after="40"/>
              <w:jc w:val="right"/>
            </w:pPr>
            <w:r>
              <w:rPr>
                <w:rFonts w:ascii="Times New Roman" w:hAnsi="Times New Roman"/>
                <w:color w:val="000000"/>
                <w:sz w:val="20"/>
              </w:rPr>
              <w:t>(3)</w:t>
            </w:r>
          </w:p>
        </w:tc>
      </w:tr>
    </w:tbl>
    <w:p>
      <w:pPr>
        <w:keepNext/>
        <w:spacing w:before="140" w:after="40"/>
        <w:jc w:val="left"/>
      </w:pPr>
      <w:r>
        <w:rPr>
          <w:rFonts w:ascii="Times New Roman" w:hAnsi="Times New Roman"/>
          <w:b/>
          <w:i/>
          <w:color w:val="000000"/>
          <w:sz w:val="21"/>
        </w:rPr>
        <w:t>B. Point-in-Time Latent Shadow Rating and Partial Adjustment Dynamics</w:t>
      </w:r>
    </w:p>
    <w:p>
      <w:pPr>
        <w:spacing w:after="80" w:line="276" w:lineRule="auto"/>
        <w:jc w:val="both"/>
      </w:pPr>
      <w:r>
        <w:rPr>
          <w:rFonts w:ascii="Times New Roman" w:hAnsi="Times New Roman"/>
          <w:color w:val="000000"/>
          <w:sz w:val="20"/>
        </w:rPr>
        <w:t xml:space="preserve">We construct an expected Point-in-Time (PIT) Shadow Rating </w:t>
      </w:r>
      <w:r>
        <w:rPr>
          <w:rFonts w:ascii="Times New Roman" w:hAnsi="Times New Roman"/>
          <w:b w:val="0"/>
          <w:i/>
          <w:color w:val="000000"/>
          <w:sz w:val="20"/>
        </w:rPr>
        <w:t>S</w:t>
      </w:r>
      <w:r>
        <w:rPr>
          <w:rFonts w:ascii="Times New Roman" w:hAnsi="Times New Roman"/>
          <w:b w:val="0"/>
          <w:color w:val="000000"/>
          <w:sz w:val="16"/>
          <w:vertAlign w:val="subscript"/>
        </w:rPr>
        <w:t>i,t</w:t>
      </w:r>
      <w:r>
        <w:rPr>
          <w:rFonts w:ascii="Times New Roman" w:hAnsi="Times New Roman"/>
          <w:color w:val="000000"/>
          <w:sz w:val="20"/>
        </w:rPr>
        <w:t xml:space="preserve"> as the probability-weighted expectation over all rating categories: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
                <m:e>
                  <m:r>
                    <m:t>S</m:t>
                  </m:r>
                </m:e>
                <m:sub>
                  <m:r>
                    <m:t>i,t</m:t>
                  </m:r>
                </m:sub>
              </m:sSub>
              <m:r>
                <m:t>≡</m:t>
              </m:r>
              <m:nary>
                <m:naryPr>
                  <m:chr m:val="∑"/>
                  <m:limLoc m:val="undOvr"/>
                  <m:grow m:val="1"/>
                  <m:subHide m:val="off"/>
                  <m:supHide m:val="off"/>
                </m:naryPr>
                <m:sub>
                  <m:r>
                    <m:t>k=1</m:t>
                  </m:r>
                </m:sub>
                <m:sup>
                  <m:r>
                    <m:t>K</m:t>
                  </m:r>
                </m:sup>
                <m:e>
                  <m:r>
                    <m:t>k·P(</m:t>
                  </m:r>
                </m:e>
              </m:nary>
              <m:sSub>
                <m:e>
                  <m:r>
                    <m:t>R</m:t>
                  </m:r>
                </m:e>
                <m:sub>
                  <m:r>
                    <m:t>i,t</m:t>
                  </m:r>
                </m:sub>
              </m:sSub>
              <m:r>
                <m:t>=k∣</m:t>
              </m:r>
              <m:sSub>
                <m:e>
                  <m:r>
                    <m:t>X</m:t>
                  </m:r>
                </m:e>
                <m:sub>
                  <m:r>
                    <m:t>i,t</m:t>
                  </m:r>
                </m:sub>
              </m:sSub>
              <m:r>
                <m:t>,</m:t>
              </m:r>
              <m:sSub>
                <m:e>
                  <m:r>
                    <m:t>Z</m:t>
                  </m:r>
                </m:e>
                <m:sub>
                  <m:r>
                    <m:t>t</m:t>
                  </m:r>
                </m:sub>
              </m:sSub>
              <m:r>
                <m:t>)=</m:t>
              </m:r>
              <m:r>
                <m:rPr>
                  <m:scr m:val="double-struck"/>
                  <m:sty m:val="p"/>
                </m:rPr>
                <m:t>E</m:t>
              </m:r>
              <m:r>
                <m:t>[</m:t>
              </m:r>
              <m:sSub>
                <m:e>
                  <m:r>
                    <m:t>R</m:t>
                  </m:r>
                </m:e>
                <m:sub>
                  <m:r>
                    <m:t>i,t</m:t>
                  </m:r>
                </m:sub>
              </m:sSub>
              <m:r>
                <m:t>∣</m:t>
              </m:r>
              <m:sSub>
                <m:e>
                  <m:r>
                    <m:t>X</m:t>
                  </m:r>
                </m:e>
                <m:sub>
                  <m:r>
                    <m:t>i,t</m:t>
                  </m:r>
                </m:sub>
              </m:sSub>
              <m:r>
                <m:t>,</m:t>
              </m:r>
              <m:sSub>
                <m:e>
                  <m:r>
                    <m:t>Z</m:t>
                  </m:r>
                </m:e>
                <m:sub>
                  <m:r>
                    <m:t>t</m:t>
                  </m:r>
                </m:sub>
              </m:sSub>
              <m:r>
                <m:t>]</m:t>
              </m:r>
            </m:oMath>
          </w:p>
        </w:tc>
        <w:tc>
          <w:tcPr>
            <w:tcW w:type="dxa" w:w="1152"/>
          </w:tcPr>
          <w:p>
            <w:pPr>
              <w:spacing w:before="40" w:after="40"/>
              <w:jc w:val="right"/>
            </w:pPr>
            <w:r>
              <w:rPr>
                <w:rFonts w:ascii="Times New Roman" w:hAnsi="Times New Roman"/>
                <w:color w:val="000000"/>
                <w:sz w:val="20"/>
              </w:rPr>
              <w:t>(4)</w:t>
            </w:r>
          </w:p>
        </w:tc>
      </w:tr>
    </w:tbl>
    <w:p>
      <w:pPr>
        <w:spacing w:after="80" w:line="276" w:lineRule="auto"/>
        <w:jc w:val="both"/>
      </w:pPr>
      <w:r>
        <w:rPr>
          <w:rFonts w:ascii="Times New Roman" w:hAnsi="Times New Roman"/>
          <w:color w:val="000000"/>
          <w:sz w:val="20"/>
        </w:rPr>
        <w:t xml:space="preserve">The credit rating gap is defined as </w:t>
      </w:r>
      <w:r>
        <w:rPr>
          <w:rFonts w:ascii="Times New Roman" w:hAnsi="Times New Roman"/>
          <w:b w:val="0"/>
          <w:i/>
          <w:color w:val="000000"/>
          <w:sz w:val="20"/>
        </w:rPr>
        <w:t>Gap</w:t>
      </w:r>
      <w:r>
        <w:rPr>
          <w:rFonts w:ascii="Times New Roman" w:hAnsi="Times New Roman"/>
          <w:b w:val="0"/>
          <w:color w:val="000000"/>
          <w:sz w:val="16"/>
          <w:vertAlign w:val="subscript"/>
        </w:rPr>
        <w:t>i,t</w:t>
      </w:r>
      <w:r>
        <w:rPr>
          <w:rFonts w:ascii="Times New Roman" w:hAnsi="Times New Roman"/>
          <w:b w:val="0"/>
          <w:i w:val="0"/>
          <w:color w:val="000000"/>
          <w:sz w:val="20"/>
        </w:rPr>
        <w:t xml:space="preserve"> ≡ </w:t>
      </w:r>
      <w:r>
        <w:rPr>
          <w:rFonts w:ascii="Times New Roman" w:hAnsi="Times New Roman"/>
          <w:b w:val="0"/>
          <w:i/>
          <w:color w:val="000000"/>
          <w:sz w:val="20"/>
        </w:rPr>
        <w:t>S</w:t>
      </w:r>
      <w:r>
        <w:rPr>
          <w:rFonts w:ascii="Times New Roman" w:hAnsi="Times New Roman"/>
          <w:b w:val="0"/>
          <w:color w:val="000000"/>
          <w:sz w:val="16"/>
          <w:vertAlign w:val="subscript"/>
        </w:rPr>
        <w:t>i,t</w:t>
      </w:r>
      <w:r>
        <w:rPr>
          <w:rFonts w:ascii="Times New Roman" w:hAnsi="Times New Roman"/>
          <w:b w:val="0"/>
          <w:i w:val="0"/>
          <w:color w:val="000000"/>
          <w:sz w:val="20"/>
        </w:rPr>
        <w:t xml:space="preserve"> - </w:t>
      </w:r>
      <w:r>
        <w:rPr>
          <w:rFonts w:ascii="Times New Roman" w:hAnsi="Times New Roman"/>
          <w:b w:val="0"/>
          <w:i/>
          <w:color w:val="000000"/>
          <w:sz w:val="20"/>
        </w:rPr>
        <w:t>R</w:t>
      </w:r>
      <w:r>
        <w:rPr>
          <w:rFonts w:ascii="Times New Roman" w:hAnsi="Times New Roman"/>
          <w:b w:val="0"/>
          <w:color w:val="000000"/>
          <w:sz w:val="16"/>
          <w:vertAlign w:val="subscript"/>
        </w:rPr>
        <w:t>i,t</w:t>
      </w:r>
      <w:r>
        <w:rPr>
          <w:rFonts w:ascii="Times New Roman" w:hAnsi="Times New Roman"/>
          <w:color w:val="000000"/>
          <w:sz w:val="20"/>
        </w:rPr>
        <w:t xml:space="preserve">. When </w:t>
      </w:r>
      <w:r>
        <w:rPr>
          <w:rFonts w:ascii="Times New Roman" w:hAnsi="Times New Roman"/>
          <w:b w:val="0"/>
          <w:i/>
          <w:color w:val="000000"/>
          <w:sz w:val="20"/>
        </w:rPr>
        <w:t>Gap</w:t>
      </w:r>
      <w:r>
        <w:rPr>
          <w:rFonts w:ascii="Times New Roman" w:hAnsi="Times New Roman"/>
          <w:b w:val="0"/>
          <w:color w:val="000000"/>
          <w:sz w:val="16"/>
          <w:vertAlign w:val="subscript"/>
        </w:rPr>
        <w:t>i,t</w:t>
      </w:r>
      <w:r>
        <w:rPr>
          <w:rFonts w:ascii="Times New Roman" w:hAnsi="Times New Roman"/>
          <w:b w:val="0"/>
          <w:i w:val="0"/>
          <w:color w:val="000000"/>
          <w:sz w:val="20"/>
        </w:rPr>
        <w:t xml:space="preserve"> &gt; 0</w:t>
      </w:r>
      <w:r>
        <w:rPr>
          <w:rFonts w:ascii="Times New Roman" w:hAnsi="Times New Roman"/>
          <w:color w:val="000000"/>
          <w:sz w:val="20"/>
        </w:rPr>
        <w:t>, the firm fundamentals warrant a lower credit rating than currently published (the agency rating is sticky or artificially generous). We formalize agency rating sluggishness via a partial adjustment equation: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r>
                <m:t>Δ</m:t>
              </m:r>
              <m:sSub>
                <m:e>
                  <m:r>
                    <m:t>R</m:t>
                  </m:r>
                </m:e>
                <m:sub>
                  <m:r>
                    <m:t>i,t</m:t>
                  </m:r>
                </m:sub>
              </m:sSub>
              <m:r>
                <m:t>=</m:t>
              </m:r>
              <m:sSub>
                <m:e>
                  <m:r>
                    <m:t>R</m:t>
                  </m:r>
                </m:e>
                <m:sub>
                  <m:r>
                    <m:t>i,t</m:t>
                  </m:r>
                </m:sub>
              </m:sSub>
              <m:r>
                <m:t>−</m:t>
              </m:r>
              <m:sSub>
                <m:e>
                  <m:r>
                    <m:t>R</m:t>
                  </m:r>
                </m:e>
                <m:sub>
                  <m:r>
                    <m:t>i,t−1</m:t>
                  </m:r>
                </m:sub>
              </m:sSub>
              <m:r>
                <m:t>=λ(</m:t>
              </m:r>
              <m:sSub>
                <m:e>
                  <m:r>
                    <m:t>S</m:t>
                  </m:r>
                </m:e>
                <m:sub>
                  <m:r>
                    <m:t>i,t</m:t>
                  </m:r>
                </m:sub>
              </m:sSub>
              <m:r>
                <m:t>−</m:t>
              </m:r>
              <m:sSub>
                <m:e>
                  <m:r>
                    <m:t>R</m:t>
                  </m:r>
                </m:e>
                <m:sub>
                  <m:r>
                    <m:t>i,t−1</m:t>
                  </m:r>
                </m:sub>
              </m:sSub>
              <m:r>
                <m:t>)+</m:t>
              </m:r>
              <m:sSub>
                <m:e>
                  <m:r>
                    <m:t>u</m:t>
                  </m:r>
                </m:e>
                <m:sub>
                  <m:r>
                    <m:t>i,t</m:t>
                  </m:r>
                </m:sub>
              </m:sSub>
            </m:oMath>
          </w:p>
        </w:tc>
        <w:tc>
          <w:tcPr>
            <w:tcW w:type="dxa" w:w="1152"/>
          </w:tcPr>
          <w:p>
            <w:pPr>
              <w:spacing w:before="40" w:after="40"/>
              <w:jc w:val="right"/>
            </w:pPr>
            <w:r>
              <w:rPr>
                <w:rFonts w:ascii="Times New Roman" w:hAnsi="Times New Roman"/>
                <w:color w:val="000000"/>
                <w:sz w:val="20"/>
              </w:rPr>
              <w:t>(5)</w:t>
            </w:r>
          </w:p>
        </w:tc>
      </w:tr>
    </w:tbl>
    <w:p>
      <w:pPr>
        <w:spacing w:after="80" w:line="276" w:lineRule="auto"/>
        <w:jc w:val="both"/>
      </w:pPr>
      <w:r>
        <w:rPr>
          <w:rFonts w:ascii="Times New Roman" w:hAnsi="Times New Roman"/>
          <w:color w:val="000000"/>
          <w:sz w:val="20"/>
        </w:rPr>
        <w:t xml:space="preserve">where </w:t>
      </w:r>
      <w:r>
        <w:rPr>
          <w:rFonts w:ascii="Times New Roman" w:hAnsi="Times New Roman"/>
          <w:b w:val="0"/>
          <w:i/>
          <w:color w:val="000000"/>
          <w:sz w:val="20"/>
        </w:rPr>
        <w:t>λ</w:t>
      </w:r>
      <w:r>
        <w:rPr>
          <w:rFonts w:ascii="Times New Roman" w:hAnsi="Times New Roman"/>
          <w:b w:val="0"/>
          <w:i w:val="0"/>
          <w:color w:val="000000"/>
          <w:sz w:val="20"/>
        </w:rPr>
        <w:t xml:space="preserve"> ∈ (0, 1)</w:t>
      </w:r>
      <w:r>
        <w:rPr>
          <w:rFonts w:ascii="Times New Roman" w:hAnsi="Times New Roman"/>
          <w:color w:val="000000"/>
          <w:sz w:val="20"/>
        </w:rPr>
        <w:t xml:space="preserve"> represents the quarterly speed of adjustment. The implied half-life of credit rating stickiness (in quarters) is given by: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
                <m:e>
                  <m:r>
                    <m:t>t</m:t>
                  </m:r>
                </m:e>
                <m:sub>
                  <m:f>
                    <m:fPr>
                      <m:type m:val="lin"/>
                    </m:fPr>
                    <m:num>
                      <m:r>
                        <m:t>1</m:t>
                      </m:r>
                    </m:num>
                    <m:den>
                      <m:r>
                        <m:t>2</m:t>
                      </m:r>
                    </m:den>
                  </m:f>
                </m:sub>
              </m:sSub>
              <m:r>
                <m:t>=</m:t>
              </m:r>
              <m:f>
                <m:fPr>
                  <m:type m:val="bar"/>
                </m:fPr>
                <m:num>
                  <m:r>
                    <m:rPr>
                      <m:sty m:val="p"/>
                    </m:rPr>
                    <m:t>ln</m:t>
                  </m:r>
                  <m:r>
                    <m:t>(0.5)</m:t>
                  </m:r>
                </m:num>
                <m:den>
                  <m:r>
                    <m:rPr>
                      <m:sty m:val="p"/>
                    </m:rPr>
                    <m:t>ln</m:t>
                  </m:r>
                  <m:r>
                    <m:t>(1−λ)</m:t>
                  </m:r>
                </m:den>
              </m:f>
            </m:oMath>
          </w:p>
        </w:tc>
        <w:tc>
          <w:tcPr>
            <w:tcW w:type="dxa" w:w="1152"/>
          </w:tcPr>
          <w:p>
            <w:pPr>
              <w:spacing w:before="40" w:after="40"/>
              <w:jc w:val="right"/>
            </w:pPr>
            <w:r>
              <w:rPr>
                <w:rFonts w:ascii="Times New Roman" w:hAnsi="Times New Roman"/>
                <w:color w:val="000000"/>
                <w:sz w:val="20"/>
              </w:rPr>
              <w:t>(6)</w:t>
            </w:r>
          </w:p>
        </w:tc>
      </w:tr>
    </w:tbl>
    <w:p>
      <w:pPr>
        <w:keepNext/>
        <w:spacing w:before="140" w:after="40"/>
        <w:jc w:val="left"/>
      </w:pPr>
      <w:r>
        <w:rPr>
          <w:rFonts w:ascii="Times New Roman" w:hAnsi="Times New Roman"/>
          <w:b/>
          <w:i/>
          <w:color w:val="000000"/>
          <w:sz w:val="21"/>
        </w:rPr>
        <w:t>C. Multi-State Transition Intensities and CreditWatch States</w:t>
      </w:r>
    </w:p>
    <w:p>
      <w:pPr>
        <w:spacing w:after="80" w:line="276" w:lineRule="auto"/>
        <w:jc w:val="both"/>
      </w:pPr>
      <w:r>
        <w:rPr>
          <w:rFonts w:ascii="Times New Roman" w:hAnsi="Times New Roman"/>
          <w:color w:val="000000"/>
          <w:sz w:val="20"/>
        </w:rPr>
        <w:t>We model transitions across five distinct credit states: Upgrade (State 0), Stable (State 1), Negative CreditWatch/Outlook (State 2), One-Notch Downgrade (State 3), and Multi-Notch Downgrade/Default (State 4). The conditional transition probability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
                <m:e>
                  <m:r>
                    <m:t>p</m:t>
                  </m:r>
                </m:e>
                <m:sub>
                  <m:r>
                    <m:t>im</m:t>
                  </m:r>
                </m:sub>
              </m:sSub>
              <m:r>
                <m:t>=</m:t>
              </m:r>
              <m:f>
                <m:fPr>
                  <m:type m:val="bar"/>
                </m:fPr>
                <m:num>
                  <m:r>
                    <m:rPr>
                      <m:sty m:val="p"/>
                    </m:rPr>
                    <m:t>exp</m:t>
                  </m:r>
                  <m:r>
                    <m:t>(</m:t>
                  </m:r>
                  <m:sSub>
                    <m:e>
                      <m:r>
                        <m:t>δ</m:t>
                      </m:r>
                    </m:e>
                    <m:sub>
                      <m:r>
                        <m:t>m</m:t>
                      </m:r>
                    </m:sub>
                  </m:sSub>
                  <m:r>
                    <m:t>+</m:t>
                  </m:r>
                  <m:sSub>
                    <m:e>
                      <m:r>
                        <m:t>X</m:t>
                      </m:r>
                    </m:e>
                    <m:sub>
                      <m:r>
                        <m:t>i,t</m:t>
                      </m:r>
                    </m:sub>
                  </m:sSub>
                  <m:sSub>
                    <m:e>
                      <m:r>
                        <m:t>β</m:t>
                      </m:r>
                    </m:e>
                    <m:sub>
                      <m:r>
                        <m:t>m</m:t>
                      </m:r>
                    </m:sub>
                  </m:sSub>
                  <m:r>
                    <m:t>+</m:t>
                  </m:r>
                  <m:sSub>
                    <m:e>
                      <m:r>
                        <m:t>Z</m:t>
                      </m:r>
                    </m:e>
                    <m:sub>
                      <m:r>
                        <m:t>t</m:t>
                      </m:r>
                    </m:sub>
                  </m:sSub>
                  <m:sSub>
                    <m:e>
                      <m:r>
                        <m:t>γ</m:t>
                      </m:r>
                    </m:e>
                    <m:sub>
                      <m:r>
                        <m:t>m</m:t>
                      </m:r>
                    </m:sub>
                  </m:sSub>
                  <m:r>
                    <m:t>+</m:t>
                  </m:r>
                  <m:sSub>
                    <m:e>
                      <m:r>
                        <m:t>θ</m:t>
                      </m:r>
                    </m:e>
                    <m:sub>
                      <m:r>
                        <m:t>m</m:t>
                      </m:r>
                    </m:sub>
                  </m:sSub>
                  <m:r>
                    <m:t>Ga</m:t>
                  </m:r>
                  <m:sSub>
                    <m:e>
                      <m:r>
                        <m:t>p</m:t>
                      </m:r>
                    </m:e>
                    <m:sub>
                      <m:r>
                        <m:t>i,t</m:t>
                      </m:r>
                    </m:sub>
                  </m:sSub>
                  <m:r>
                    <m:t>)</m:t>
                  </m:r>
                </m:num>
                <m:den>
                  <m:nary>
                    <m:naryPr>
                      <m:chr m:val="∑"/>
                      <m:limLoc m:val="undOvr"/>
                      <m:grow m:val="1"/>
                      <m:subHide m:val="off"/>
                      <m:supHide m:val="off"/>
                    </m:naryPr>
                    <m:sub>
                      <m:r>
                        <m:t>j=0</m:t>
                      </m:r>
                    </m:sub>
                    <m:sup>
                      <m:r>
                        <m:t>4</m:t>
                      </m:r>
                    </m:sup>
                    <m:e>
                      <m:r>
                        <m:rPr>
                          <m:sty m:val="p"/>
                        </m:rPr>
                        <m:t>exp</m:t>
                      </m:r>
                      <m:r>
                        <m:t>(</m:t>
                      </m:r>
                    </m:e>
                  </m:nary>
                  <m:sSub>
                    <m:e>
                      <m:r>
                        <m:t>δ</m:t>
                      </m:r>
                    </m:e>
                    <m:sub>
                      <m:r>
                        <m:t>j</m:t>
                      </m:r>
                    </m:sub>
                  </m:sSub>
                  <m:r>
                    <m:t>+</m:t>
                  </m:r>
                  <m:sSub>
                    <m:e>
                      <m:r>
                        <m:t>X</m:t>
                      </m:r>
                    </m:e>
                    <m:sub>
                      <m:r>
                        <m:t>i,t</m:t>
                      </m:r>
                    </m:sub>
                  </m:sSub>
                  <m:sSub>
                    <m:e>
                      <m:r>
                        <m:t>β</m:t>
                      </m:r>
                    </m:e>
                    <m:sub>
                      <m:r>
                        <m:t>j</m:t>
                      </m:r>
                    </m:sub>
                  </m:sSub>
                  <m:r>
                    <m:t>+</m:t>
                  </m:r>
                  <m:sSub>
                    <m:e>
                      <m:r>
                        <m:t>Z</m:t>
                      </m:r>
                    </m:e>
                    <m:sub>
                      <m:r>
                        <m:t>t</m:t>
                      </m:r>
                    </m:sub>
                  </m:sSub>
                  <m:sSub>
                    <m:e>
                      <m:r>
                        <m:t>γ</m:t>
                      </m:r>
                    </m:e>
                    <m:sub>
                      <m:r>
                        <m:t>j</m:t>
                      </m:r>
                    </m:sub>
                  </m:sSub>
                  <m:r>
                    <m:t>+</m:t>
                  </m:r>
                  <m:sSub>
                    <m:e>
                      <m:r>
                        <m:t>θ</m:t>
                      </m:r>
                    </m:e>
                    <m:sub>
                      <m:r>
                        <m:t>j</m:t>
                      </m:r>
                    </m:sub>
                  </m:sSub>
                  <m:r>
                    <m:t>Ga</m:t>
                  </m:r>
                  <m:sSub>
                    <m:e>
                      <m:r>
                        <m:t>p</m:t>
                      </m:r>
                    </m:e>
                    <m:sub>
                      <m:r>
                        <m:t>i,t</m:t>
                      </m:r>
                    </m:sub>
                  </m:sSub>
                  <m:r>
                    <m:t>)</m:t>
                  </m:r>
                </m:den>
              </m:f>
            </m:oMath>
          </w:p>
        </w:tc>
        <w:tc>
          <w:tcPr>
            <w:tcW w:type="dxa" w:w="1152"/>
          </w:tcPr>
          <w:p>
            <w:pPr>
              <w:spacing w:before="40" w:after="40"/>
              <w:jc w:val="right"/>
            </w:pPr>
            <w:r>
              <w:rPr>
                <w:rFonts w:ascii="Times New Roman" w:hAnsi="Times New Roman"/>
                <w:color w:val="000000"/>
                <w:sz w:val="20"/>
              </w:rPr>
              <w:t>(7)</w:t>
            </w:r>
          </w:p>
        </w:tc>
      </w:tr>
    </w:tbl>
    <w:p>
      <w:pPr>
        <w:keepNext/>
        <w:spacing w:before="140" w:after="40"/>
        <w:jc w:val="left"/>
      </w:pPr>
      <w:r>
        <w:rPr>
          <w:rFonts w:ascii="Times New Roman" w:hAnsi="Times New Roman"/>
          <w:b/>
          <w:i/>
          <w:color w:val="000000"/>
          <w:sz w:val="21"/>
        </w:rPr>
        <w:t>D. Fallen-Angel Early Warning Hazard Formulation</w:t>
      </w:r>
    </w:p>
    <w:p>
      <w:pPr>
        <w:spacing w:after="80" w:line="276" w:lineRule="auto"/>
        <w:jc w:val="both"/>
      </w:pPr>
      <w:r>
        <w:rPr>
          <w:rFonts w:ascii="Times New Roman" w:hAnsi="Times New Roman"/>
          <w:color w:val="000000"/>
          <w:sz w:val="20"/>
        </w:rPr>
        <w:t>For all issuers at the investment-grade boundary (BBB category), we define the forward 12-month fallen-angel transition indicator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Sup>
                <m:e>
                  <m:r>
                    <m:t>Y</m:t>
                  </m:r>
                </m:e>
                <m:sub>
                  <m:r>
                    <m:t>i,t+4</m:t>
                  </m:r>
                </m:sub>
                <m:sup>
                  <m:r>
                    <m:rPr>
                      <m:sty m:val="p"/>
                    </m:rPr>
                    <m:t>FA</m:t>
                  </m:r>
                </m:sup>
              </m:sSubSup>
              <m:r>
                <m:t>=</m:t>
              </m:r>
              <m:d>
                <m:dPr>
                  <m:begChr m:val="{"/>
                  <m:sepChr m:val=""/>
                  <m:endChr m:val=""/>
                </m:dPr>
                <m:e>
                  <m:m>
                    <m:mPr>
                      <m:baseJc m:val="center"/>
                      <m:plcHide m:val="on"/>
                      <m:mcs>
                        <m:mc>
                          <m:mcPr>
                            <m:count m:val="2"/>
                            <m:mcJc m:val="center"/>
                          </m:mcPr>
                        </m:mc>
                      </m:mcs>
                    </m:mPr>
                    <m:mr>
                      <m:e>
                        <m:r>
                          <m:t>1</m:t>
                        </m:r>
                      </m:e>
                      <m:e>
                        <m:r>
                          <m:rPr>
                            <m:nor/>
                          </m:rPr>
                          <m:t>if</m:t>
                        </m:r>
                        <m:sSub>
                          <m:e>
                            <m:r>
                              <m:t>R</m:t>
                            </m:r>
                          </m:e>
                          <m:sub>
                            <m:r>
                              <m:t>i,t</m:t>
                            </m:r>
                          </m:sub>
                        </m:sSub>
                        <m:r>
                          <m:t>≤10</m:t>
                        </m:r>
                        <m:r>
                          <m:rPr>
                            <m:nor/>
                          </m:rPr>
                          <m:t>and</m:t>
                        </m:r>
                        <m:sSub>
                          <m:e>
                            <m:r>
                              <m:t>R</m:t>
                            </m:r>
                          </m:e>
                          <m:sub>
                            <m:r>
                              <m:t>i,t+4</m:t>
                            </m:r>
                          </m:sub>
                        </m:sSub>
                        <m:r>
                          <m:t>≥11</m:t>
                        </m:r>
                        <m:r>
                          <m:rPr>
                            <m:nor/>
                          </m:rPr>
                          <m:t>(BB+ or lower)</m:t>
                        </m:r>
                      </m:e>
                    </m:mr>
                    <m:mr>
                      <m:e>
                        <m:r>
                          <m:t>0</m:t>
                        </m:r>
                      </m:e>
                      <m:e>
                        <m:r>
                          <m:rPr>
                            <m:nor/>
                          </m:rPr>
                          <m:t>if</m:t>
                        </m:r>
                        <m:sSub>
                          <m:e>
                            <m:r>
                              <m:t>R</m:t>
                            </m:r>
                          </m:e>
                          <m:sub>
                            <m:r>
                              <m:t>i,t</m:t>
                            </m:r>
                          </m:sub>
                        </m:sSub>
                        <m:r>
                          <m:t>≤10</m:t>
                        </m:r>
                        <m:r>
                          <m:rPr>
                            <m:nor/>
                          </m:rPr>
                          <m:t>and</m:t>
                        </m:r>
                        <m:sSub>
                          <m:e>
                            <m:r>
                              <m:t>R</m:t>
                            </m:r>
                          </m:e>
                          <m:sub>
                            <m:r>
                              <m:t>i,t+4</m:t>
                            </m:r>
                          </m:sub>
                        </m:sSub>
                        <m:r>
                          <m:t>≤10</m:t>
                        </m:r>
                      </m:e>
                    </m:mr>
                  </m:m>
                </m:e>
              </m:d>
            </m:oMath>
          </w:p>
        </w:tc>
        <w:tc>
          <w:tcPr>
            <w:tcW w:type="dxa" w:w="1152"/>
          </w:tcPr>
          <w:p>
            <w:pPr>
              <w:spacing w:before="40" w:after="40"/>
              <w:jc w:val="right"/>
            </w:pPr>
            <w:r>
              <w:rPr>
                <w:rFonts w:ascii="Times New Roman" w:hAnsi="Times New Roman"/>
                <w:color w:val="000000"/>
                <w:sz w:val="20"/>
              </w:rPr>
              <w:t>(8)</w:t>
            </w:r>
          </w:p>
        </w:tc>
      </w:tr>
    </w:tbl>
    <w:p>
      <w:pPr>
        <w:spacing w:after="80" w:line="276" w:lineRule="auto"/>
        <w:jc w:val="both"/>
      </w:pPr>
      <w:r>
        <w:rPr>
          <w:rFonts w:ascii="Times New Roman" w:hAnsi="Times New Roman"/>
          <w:color w:val="000000"/>
          <w:sz w:val="20"/>
        </w:rPr>
        <w:t>Given that fallen-angel transitions represent rare events (baseline event rate ~4.8%), standard maximum likelihood estimation suffers from small-sample and rare-event separation bias. We apply Firth's penalized likelihood estimation: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p>
                <m:e>
                  <m:r>
                    <m:t>ℓ</m:t>
                  </m:r>
                </m:e>
                <m:sup>
                  <m:r>
                    <m:t>*</m:t>
                  </m:r>
                </m:sup>
              </m:sSup>
              <m:r>
                <m:t>(β)=ℓ(β)+</m:t>
              </m:r>
              <m:f>
                <m:fPr>
                  <m:type m:val="bar"/>
                </m:fPr>
                <m:num>
                  <m:r>
                    <m:t>1</m:t>
                  </m:r>
                </m:num>
                <m:den>
                  <m:r>
                    <m:t>2</m:t>
                  </m:r>
                </m:den>
              </m:f>
              <m:r>
                <m:rPr>
                  <m:sty m:val="p"/>
                </m:rPr>
                <m:t>ln</m:t>
              </m:r>
              <m:r>
                <m:t>|</m:t>
              </m:r>
              <m:r>
                <m:rPr>
                  <m:scr m:val="script"/>
                </m:rPr>
                <m:t>I</m:t>
              </m:r>
              <m:r>
                <m:t>(β)|</m:t>
              </m:r>
            </m:oMath>
          </w:p>
        </w:tc>
        <w:tc>
          <w:tcPr>
            <w:tcW w:type="dxa" w:w="1152"/>
          </w:tcPr>
          <w:p>
            <w:pPr>
              <w:spacing w:before="40" w:after="40"/>
              <w:jc w:val="right"/>
            </w:pPr>
            <w:r>
              <w:rPr>
                <w:rFonts w:ascii="Times New Roman" w:hAnsi="Times New Roman"/>
                <w:color w:val="000000"/>
                <w:sz w:val="20"/>
              </w:rPr>
              <w:t>(9)</w:t>
            </w:r>
          </w:p>
        </w:tc>
      </w:tr>
    </w:tbl>
    <w:p>
      <w:pPr>
        <w:spacing w:after="80" w:line="276" w:lineRule="auto"/>
        <w:jc w:val="both"/>
      </w:pPr>
      <w:r>
        <w:rPr>
          <w:rFonts w:ascii="Times New Roman" w:hAnsi="Times New Roman"/>
          <w:color w:val="000000"/>
          <w:sz w:val="20"/>
        </w:rPr>
        <w:t xml:space="preserve">where </w:t>
      </w:r>
      <w:r>
        <w:rPr>
          <w:rFonts w:ascii="Times New Roman" w:hAnsi="Times New Roman"/>
          <w:b w:val="0"/>
          <w:i/>
          <w:color w:val="000000"/>
          <w:sz w:val="20"/>
        </w:rPr>
        <w:t>I</w:t>
      </w:r>
      <w:r>
        <w:rPr>
          <w:rFonts w:ascii="Times New Roman" w:hAnsi="Times New Roman"/>
          <w:b w:val="0"/>
          <w:i w:val="0"/>
          <w:color w:val="000000"/>
          <w:sz w:val="20"/>
        </w:rPr>
        <w:t>(</w:t>
      </w:r>
      <w:r>
        <w:rPr>
          <w:rFonts w:ascii="Times New Roman" w:hAnsi="Times New Roman"/>
          <w:b w:val="0"/>
          <w:i/>
          <w:color w:val="000000"/>
          <w:sz w:val="20"/>
        </w:rPr>
        <w:t>β</w:t>
      </w:r>
      <w:r>
        <w:rPr>
          <w:rFonts w:ascii="Times New Roman" w:hAnsi="Times New Roman"/>
          <w:b w:val="0"/>
          <w:i w:val="0"/>
          <w:color w:val="000000"/>
          <w:sz w:val="20"/>
        </w:rPr>
        <w:t>)</w:t>
      </w:r>
      <w:r>
        <w:rPr>
          <w:rFonts w:ascii="Times New Roman" w:hAnsi="Times New Roman"/>
          <w:color w:val="000000"/>
          <w:sz w:val="20"/>
        </w:rPr>
        <w:t xml:space="preserve"> is the Fisher information matrix.</w:t>
      </w:r>
    </w:p>
    <w:p>
      <w:pPr>
        <w:keepNext/>
        <w:spacing w:before="140" w:after="40"/>
        <w:jc w:val="left"/>
      </w:pPr>
      <w:r>
        <w:rPr>
          <w:rFonts w:ascii="Times New Roman" w:hAnsi="Times New Roman"/>
          <w:b/>
          <w:i/>
          <w:color w:val="000000"/>
          <w:sz w:val="21"/>
        </w:rPr>
        <w:t>E. Macroeconomic Vector Autoregression and Conditional Reverse Stress Testing</w:t>
      </w:r>
    </w:p>
    <w:p>
      <w:pPr>
        <w:spacing w:after="80" w:line="276" w:lineRule="auto"/>
        <w:jc w:val="both"/>
      </w:pPr>
      <w:r>
        <w:rPr>
          <w:rFonts w:ascii="Times New Roman" w:hAnsi="Times New Roman"/>
          <w:color w:val="000000"/>
          <w:sz w:val="20"/>
        </w:rPr>
        <w:t xml:space="preserve">We specify an empirical Vector Autoregression of order </w:t>
      </w:r>
      <w:r>
        <w:rPr>
          <w:rFonts w:ascii="Times New Roman" w:hAnsi="Times New Roman"/>
          <w:b w:val="0"/>
          <w:i/>
          <w:color w:val="000000"/>
          <w:sz w:val="20"/>
        </w:rPr>
        <w:t>p</w:t>
      </w:r>
      <w:r>
        <w:rPr>
          <w:rFonts w:ascii="Times New Roman" w:hAnsi="Times New Roman"/>
          <w:color w:val="000000"/>
          <w:sz w:val="20"/>
        </w:rPr>
        <w:t xml:space="preserve"> on the macroeconomic state vector </w:t>
      </w:r>
      <w:r>
        <w:rPr>
          <w:rFonts w:ascii="Times New Roman" w:hAnsi="Times New Roman"/>
          <w:b w:val="0"/>
          <w:i/>
          <w:color w:val="000000"/>
          <w:sz w:val="20"/>
        </w:rPr>
        <w:t>Z</w:t>
      </w:r>
      <w:r>
        <w:rPr>
          <w:rFonts w:ascii="Times New Roman" w:hAnsi="Times New Roman"/>
          <w:b w:val="0"/>
          <w:i/>
          <w:color w:val="000000"/>
          <w:sz w:val="16"/>
          <w:vertAlign w:val="subscript"/>
        </w:rPr>
        <w:t>t</w:t>
      </w:r>
      <w:r>
        <w:rPr>
          <w:rFonts w:ascii="Times New Roman" w:hAnsi="Times New Roman"/>
          <w:color w:val="000000"/>
          <w:sz w:val="20"/>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
                <m:e>
                  <m:r>
                    <m:t>Z</m:t>
                  </m:r>
                </m:e>
                <m:sub>
                  <m:r>
                    <m:t>t</m:t>
                  </m:r>
                </m:sub>
              </m:sSub>
              <m:r>
                <m:t>=c+</m:t>
              </m:r>
              <m:nary>
                <m:naryPr>
                  <m:chr m:val="∑"/>
                  <m:limLoc m:val="undOvr"/>
                  <m:grow m:val="1"/>
                  <m:subHide m:val="off"/>
                  <m:supHide m:val="off"/>
                </m:naryPr>
                <m:sub>
                  <m:r>
                    <m:t>l=1</m:t>
                  </m:r>
                </m:sub>
                <m:sup>
                  <m:r>
                    <m:t>2</m:t>
                  </m:r>
                </m:sup>
                <m:e>
                  <m:sSub>
                    <m:e>
                      <m:r>
                        <m:t>A</m:t>
                      </m:r>
                    </m:e>
                    <m:sub>
                      <m:r>
                        <m:t>l</m:t>
                      </m:r>
                    </m:sub>
                  </m:sSub>
                </m:e>
              </m:nary>
              <m:sSub>
                <m:e>
                  <m:r>
                    <m:t>Z</m:t>
                  </m:r>
                </m:e>
                <m:sub>
                  <m:r>
                    <m:t>t−l</m:t>
                  </m:r>
                </m:sub>
              </m:sSub>
              <m:r>
                <m:t>+</m:t>
              </m:r>
              <m:sSub>
                <m:e>
                  <m:r>
                    <m:t>ϵ</m:t>
                  </m:r>
                </m:e>
                <m:sub>
                  <m:r>
                    <m:t>t</m:t>
                  </m:r>
                </m:sub>
              </m:sSub>
              <m:r>
                <m:t>,</m:t>
              </m:r>
              <m:sSub>
                <m:e>
                  <m:r>
                    <m:t>ϵ</m:t>
                  </m:r>
                </m:e>
                <m:sub>
                  <m:r>
                    <m:t>t</m:t>
                  </m:r>
                </m:sub>
              </m:sSub>
              <m:r>
                <m:t>∼</m:t>
              </m:r>
              <m:r>
                <m:rPr>
                  <m:scr m:val="script"/>
                </m:rPr>
                <m:t>N</m:t>
              </m:r>
              <m:r>
                <m:t>(0,Σ)</m:t>
              </m:r>
            </m:oMath>
          </w:p>
        </w:tc>
        <w:tc>
          <w:tcPr>
            <w:tcW w:type="dxa" w:w="1152"/>
          </w:tcPr>
          <w:p>
            <w:pPr>
              <w:spacing w:before="40" w:after="40"/>
              <w:jc w:val="right"/>
            </w:pPr>
            <w:r>
              <w:rPr>
                <w:rFonts w:ascii="Times New Roman" w:hAnsi="Times New Roman"/>
                <w:color w:val="000000"/>
                <w:sz w:val="20"/>
              </w:rPr>
              <w:t>(10)</w:t>
            </w:r>
          </w:p>
        </w:tc>
      </w:tr>
    </w:tbl>
    <w:p>
      <w:pPr>
        <w:spacing w:after="80" w:line="276" w:lineRule="auto"/>
        <w:jc w:val="both"/>
      </w:pPr>
      <w:r>
        <w:rPr>
          <w:rFonts w:ascii="Times New Roman" w:hAnsi="Times New Roman"/>
          <w:color w:val="000000"/>
          <w:sz w:val="20"/>
        </w:rPr>
        <w:t>To execute reverse stress testing, we find the minimum-norm perturbation path that generates a prescribed systemic fallen-angel portfolio distress rate: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limLow>
                <m:e>
                  <m:r>
                    <m:rPr>
                      <m:sty m:val="p"/>
                    </m:rPr>
                    <m:t>min</m:t>
                  </m:r>
                </m:e>
                <m:lim>
                  <m:sSub>
                    <m:e>
                      <m:r>
                        <m:t>ϵ</m:t>
                      </m:r>
                    </m:e>
                    <m:sub>
                      <m:r>
                        <m:t>T+1:T+8</m:t>
                      </m:r>
                    </m:sub>
                  </m:sSub>
                </m:lim>
              </m:limLow>
              <m:nary>
                <m:naryPr>
                  <m:chr m:val="∑"/>
                  <m:limLoc m:val="undOvr"/>
                  <m:grow m:val="1"/>
                  <m:subHide m:val="off"/>
                  <m:supHide m:val="off"/>
                </m:naryPr>
                <m:sub>
                  <m:r>
                    <m:t>h=1</m:t>
                  </m:r>
                </m:sub>
                <m:sup>
                  <m:r>
                    <m:t>8</m:t>
                  </m:r>
                </m:sup>
                <m:e>
                  <m:sSubSup>
                    <m:e>
                      <m:r>
                        <m:t>ϵ</m:t>
                      </m:r>
                    </m:e>
                    <m:sub>
                      <m:r>
                        <m:t>T+h</m:t>
                      </m:r>
                    </m:sub>
                    <m:sup>
                      <m:r>
                        <m:t>′</m:t>
                      </m:r>
                    </m:sup>
                  </m:sSubSup>
                </m:e>
              </m:nary>
              <m:sSup>
                <m:e>
                  <m:r>
                    <m:t>Σ</m:t>
                  </m:r>
                </m:e>
                <m:sup>
                  <m:r>
                    <m:t>−1</m:t>
                  </m:r>
                </m:sup>
              </m:sSup>
              <m:sSub>
                <m:e>
                  <m:r>
                    <m:t>ϵ</m:t>
                  </m:r>
                </m:e>
                <m:sub>
                  <m:r>
                    <m:t>T+h</m:t>
                  </m:r>
                </m:sub>
              </m:sSub>
              <m:r>
                <m:rPr>
                  <m:nor/>
                </m:rPr>
                <m:t>subject to</m:t>
              </m:r>
              <m:f>
                <m:fPr>
                  <m:type m:val="bar"/>
                </m:fPr>
                <m:num>
                  <m:r>
                    <m:t>1</m:t>
                  </m:r>
                </m:num>
                <m:den>
                  <m:sSub>
                    <m:e>
                      <m:r>
                        <m:t>N</m:t>
                      </m:r>
                    </m:e>
                    <m:sub>
                      <m:r>
                        <m:rPr>
                          <m:sty m:val="p"/>
                        </m:rPr>
                        <m:t>IG</m:t>
                      </m:r>
                    </m:sub>
                  </m:sSub>
                </m:den>
              </m:f>
              <m:nary>
                <m:naryPr>
                  <m:chr m:val="∑"/>
                  <m:limLoc m:val="undOvr"/>
                  <m:grow m:val="1"/>
                  <m:subHide m:val="off"/>
                  <m:supHide m:val="on"/>
                </m:naryPr>
                <m:sub>
                  <m:r>
                    <m:t>i∈</m:t>
                  </m:r>
                  <m:r>
                    <m:rPr>
                      <m:sty m:val="p"/>
                    </m:rPr>
                    <m:t>IG</m:t>
                  </m:r>
                </m:sub>
                <m:sup/>
                <m:e>
                  <m:limUpp>
                    <m:e>
                      <m:r>
                        <m:t>P</m:t>
                      </m:r>
                    </m:e>
                    <m:lim>
                      <m:r>
                        <m:t>^</m:t>
                      </m:r>
                    </m:lim>
                  </m:limUpp>
                </m:e>
              </m:nary>
              <m:r>
                <m:t>(</m:t>
              </m:r>
              <m:sSubSup>
                <m:e>
                  <m:r>
                    <m:t>Y</m:t>
                  </m:r>
                </m:e>
                <m:sub>
                  <m:r>
                    <m:t>i,T+8</m:t>
                  </m:r>
                </m:sub>
                <m:sup>
                  <m:r>
                    <m:rPr>
                      <m:sty m:val="p"/>
                    </m:rPr>
                    <m:t>FA</m:t>
                  </m:r>
                </m:sup>
              </m:sSubSup>
              <m:r>
                <m:t>=1∣</m:t>
              </m:r>
              <m:sSub>
                <m:e>
                  <m:r>
                    <m:t>Z</m:t>
                  </m:r>
                </m:e>
                <m:sub>
                  <m:r>
                    <m:t>T+8</m:t>
                  </m:r>
                </m:sub>
              </m:sSub>
              <m:r>
                <m:t>(</m:t>
              </m:r>
              <m:sSup>
                <m:e>
                  <m:r>
                    <m:t>ϵ</m:t>
                  </m:r>
                </m:e>
                <m:sup>
                  <m:r>
                    <m:t>*</m:t>
                  </m:r>
                </m:sup>
              </m:sSup>
              <m:r>
                <m:t>))≥</m:t>
              </m:r>
              <m:bar>
                <m:barPr>
                  <m:pos m:val="top"/>
                </m:barPr>
                <m:e>
                  <m:r>
                    <m:t>π</m:t>
                  </m:r>
                </m:e>
              </m:bar>
            </m:oMath>
          </w:p>
        </w:tc>
        <w:tc>
          <w:tcPr>
            <w:tcW w:type="dxa" w:w="1152"/>
          </w:tcPr>
          <w:p>
            <w:pPr>
              <w:spacing w:before="40" w:after="40"/>
              <w:jc w:val="right"/>
            </w:pPr>
            <w:r>
              <w:rPr>
                <w:rFonts w:ascii="Times New Roman" w:hAnsi="Times New Roman"/>
                <w:color w:val="000000"/>
                <w:sz w:val="20"/>
              </w:rPr>
              <w:t>(11)</w:t>
            </w:r>
          </w:p>
        </w:tc>
      </w:tr>
    </w:tbl>
    <w:p>
      <w:pPr>
        <w:keepNext/>
        <w:pageBreakBefore/>
        <w:spacing w:before="280" w:after="80"/>
        <w:jc w:val="center"/>
      </w:pPr>
      <w:r>
        <w:rPr>
          <w:rFonts w:ascii="Times New Roman" w:hAnsi="Times New Roman"/>
          <w:b/>
          <w:color w:val="000000"/>
          <w:sz w:val="22"/>
        </w:rPr>
        <w:t>III. DATA PIPELINE, PANEL CONSTRUCTION &amp; LEAKAGE SAFEGUARDS</w:t>
      </w:r>
    </w:p>
    <w:p>
      <w:pPr>
        <w:keepNext/>
        <w:spacing w:before="140" w:after="40"/>
        <w:jc w:val="left"/>
      </w:pPr>
      <w:r>
        <w:rPr>
          <w:rFonts w:ascii="Times New Roman" w:hAnsi="Times New Roman"/>
          <w:b/>
          <w:i/>
          <w:color w:val="000000"/>
          <w:sz w:val="21"/>
        </w:rPr>
        <w:t>A. Sample Construction and Attrition</w:t>
      </w:r>
    </w:p>
    <w:p>
      <w:pPr>
        <w:spacing w:after="80" w:line="276" w:lineRule="auto"/>
        <w:jc w:val="both"/>
      </w:pPr>
      <w:r>
        <w:rPr>
          <w:rFonts w:ascii="Times New Roman" w:hAnsi="Times New Roman"/>
          <w:color w:val="000000"/>
          <w:sz w:val="20"/>
        </w:rPr>
        <w:t>The empirical dataset is constructed from WRDS Compustat North America Fundamentals Quarterly, merged with the S&amp;P Global Ratings history. The universe comprises all US non-financial, non-utility public corporate issuers from 2000Q1 through 2025Q4.</w:t>
      </w:r>
    </w:p>
    <w:p>
      <w:pPr>
        <w:keepNext/>
        <w:spacing w:before="220" w:after="30"/>
        <w:jc w:val="center"/>
      </w:pPr>
      <w:r>
        <w:rPr>
          <w:rFonts w:ascii="Times New Roman" w:hAnsi="Times New Roman"/>
          <w:b/>
          <w:color w:val="000000"/>
          <w:sz w:val="18"/>
        </w:rPr>
        <w:t>TABLE I</w:t>
      </w:r>
    </w:p>
    <w:p>
      <w:pPr>
        <w:keepNext/>
        <w:spacing w:after="80"/>
        <w:jc w:val="center"/>
      </w:pPr>
      <w:r>
        <w:rPr>
          <w:rFonts w:ascii="Times New Roman" w:hAnsi="Times New Roman"/>
          <w:color w:val="000000"/>
          <w:sz w:val="17"/>
        </w:rPr>
        <w:t>SAMPLE ATTRITION AND LONGITUDINAL PANEL FILTERING</w:t>
      </w:r>
    </w:p>
    <w:tbl>
      <w:tblPr>
        <w:tblW w:type="auto" w:w="0"/>
        <w:jc w:val="center"/>
        <w:tblLayout w:type="fixed"/>
        <w:tblLook w:firstColumn="1" w:firstRow="1" w:lastColumn="0" w:lastRow="0" w:noHBand="0" w:noVBand="1" w:val="04A0"/>
        <w:tblW w:w="9648" w:type="dxa"/>
        <w:tblLayout w:type="fixed"/>
        <w:tblBorders>
          <w:top w:val="single" w:sz="8" w:space="0" w:color="000000"/>
          <w:bottom w:val="single" w:sz="8" w:space="0" w:color="000000"/>
          <w:left w:val="none"/>
          <w:right w:val="none"/>
          <w:insideH w:val="none"/>
          <w:insideV w:val="none"/>
        </w:tblBorders>
      </w:tblPr>
      <w:tblGrid>
        <w:gridCol w:w="4608"/>
        <w:gridCol w:w="1584"/>
        <w:gridCol w:w="1728"/>
        <w:gridCol w:w="1728"/>
      </w:tblGrid>
      <w:tr>
        <w:trPr>
          <w:cantSplit/>
          <w:tblHeader/>
        </w:trPr>
        <w:tc>
          <w:tcPr>
            <w:tcW w:type="dxa" w:w="4608"/>
            <w:tcW w:w="4608" w:type="dxa"/>
            <w:tcMar>
              <w:top w:w="35" w:type="dxa"/>
              <w:bottom w:w="35" w:type="dxa"/>
              <w:left w:w="45" w:type="dxa"/>
              <w:right w:w="45" w:type="dxa"/>
            </w:tcMar>
            <w:tcBorders>
              <w:bottom w:val="single" w:sz="4" w:space="0" w:color="000000"/>
            </w:tcBorders>
          </w:tcPr>
          <w:p>
            <w:pPr>
              <w:spacing w:after="0" w:line="252" w:lineRule="auto"/>
              <w:jc w:val="left"/>
            </w:pPr>
            <w:r>
              <w:rPr>
                <w:rFonts w:ascii="Times New Roman" w:hAnsi="Times New Roman"/>
                <w:b/>
                <w:color w:val="000000"/>
                <w:sz w:val="16"/>
              </w:rPr>
              <w:t>Stage</w:t>
            </w:r>
          </w:p>
        </w:tc>
        <w:tc>
          <w:tcPr>
            <w:tcW w:type="dxa" w:w="1584"/>
            <w:tcW w:w="1584"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Firms</w:t>
            </w:r>
          </w:p>
        </w:tc>
        <w:tc>
          <w:tcPr>
            <w:tcW w:type="dxa" w:w="1728"/>
            <w:tcW w:w="1728"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Firm-Quarters</w:t>
            </w:r>
          </w:p>
        </w:tc>
        <w:tc>
          <w:tcPr>
            <w:tcW w:type="dxa" w:w="1728"/>
            <w:tcW w:w="1728"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Pct Retained</w:t>
            </w:r>
          </w:p>
        </w:tc>
      </w:tr>
      <w:tr>
        <w:trPr>
          <w:cantSplit/>
        </w:trPr>
        <w:tc>
          <w:tcPr>
            <w:tcW w:type="dxa" w:w="4608"/>
            <w:tcW w:w="4608" w:type="dxa"/>
            <w:tcMar>
              <w:top w:w="35" w:type="dxa"/>
              <w:bottom w:w="35" w:type="dxa"/>
              <w:left w:w="45" w:type="dxa"/>
              <w:right w:w="45" w:type="dxa"/>
            </w:tcMar>
          </w:tcPr>
          <w:p>
            <w:pPr>
              <w:spacing w:after="0" w:line="252" w:lineRule="auto"/>
              <w:jc w:val="left"/>
            </w:pPr>
            <w:r>
              <w:rPr>
                <w:rFonts w:ascii="Times New Roman" w:hAnsi="Times New Roman"/>
                <w:color w:val="000000"/>
                <w:sz w:val="16"/>
              </w:rPr>
              <w:t>All US Non-Financial &amp; Non-Utility Corporate Issuers (WRDS)</w:t>
            </w:r>
          </w:p>
        </w:tc>
        <w:tc>
          <w:tcPr>
            <w:tcW w:type="dxa" w:w="1584"/>
            <w:tcW w:w="1584" w:type="dxa"/>
            <w:tcMar>
              <w:top w:w="35" w:type="dxa"/>
              <w:bottom w:w="35" w:type="dxa"/>
              <w:left w:w="45" w:type="dxa"/>
              <w:right w:w="45" w:type="dxa"/>
            </w:tcMar>
          </w:tcPr>
          <w:p>
            <w:pPr>
              <w:spacing w:after="0" w:line="252" w:lineRule="auto"/>
              <w:jc w:val="right"/>
            </w:pPr>
            <w:r>
              <w:rPr>
                <w:rFonts w:ascii="Times New Roman" w:hAnsi="Times New Roman"/>
                <w:color w:val="000000"/>
                <w:sz w:val="16"/>
              </w:rPr>
              <w:t>1,250</w:t>
            </w:r>
          </w:p>
        </w:tc>
        <w:tc>
          <w:tcPr>
            <w:tcW w:type="dxa" w:w="1728"/>
            <w:tcW w:w="1728" w:type="dxa"/>
            <w:tcMar>
              <w:top w:w="35" w:type="dxa"/>
              <w:bottom w:w="35" w:type="dxa"/>
              <w:left w:w="45" w:type="dxa"/>
              <w:right w:w="45" w:type="dxa"/>
            </w:tcMar>
          </w:tcPr>
          <w:p>
            <w:pPr>
              <w:spacing w:after="0" w:line="252" w:lineRule="auto"/>
              <w:jc w:val="right"/>
            </w:pPr>
            <w:r>
              <w:rPr>
                <w:rFonts w:ascii="Times New Roman" w:hAnsi="Times New Roman"/>
                <w:color w:val="000000"/>
                <w:sz w:val="16"/>
              </w:rPr>
              <w:t>98,500</w:t>
            </w:r>
          </w:p>
        </w:tc>
        <w:tc>
          <w:tcPr>
            <w:tcW w:type="dxa" w:w="1728"/>
            <w:tcW w:w="1728" w:type="dxa"/>
            <w:tcMar>
              <w:top w:w="35" w:type="dxa"/>
              <w:bottom w:w="35" w:type="dxa"/>
              <w:left w:w="45" w:type="dxa"/>
              <w:right w:w="45" w:type="dxa"/>
            </w:tcMar>
          </w:tcPr>
          <w:p>
            <w:pPr>
              <w:spacing w:after="0" w:line="252" w:lineRule="auto"/>
              <w:jc w:val="right"/>
            </w:pPr>
            <w:r>
              <w:rPr>
                <w:rFonts w:ascii="Times New Roman" w:hAnsi="Times New Roman"/>
                <w:color w:val="000000"/>
                <w:sz w:val="16"/>
              </w:rPr>
              <w:t>100.0%</w:t>
            </w:r>
          </w:p>
        </w:tc>
      </w:tr>
      <w:tr>
        <w:trPr>
          <w:cantSplit/>
        </w:trPr>
        <w:tc>
          <w:tcPr>
            <w:tcW w:type="dxa" w:w="4608"/>
            <w:tcW w:w="4608" w:type="dxa"/>
            <w:tcMar>
              <w:top w:w="35" w:type="dxa"/>
              <w:bottom w:w="35" w:type="dxa"/>
              <w:left w:w="45" w:type="dxa"/>
              <w:right w:w="45" w:type="dxa"/>
            </w:tcMar>
          </w:tcPr>
          <w:p>
            <w:pPr>
              <w:spacing w:after="0" w:line="252" w:lineRule="auto"/>
              <w:jc w:val="left"/>
            </w:pPr>
            <w:r>
              <w:rPr>
                <w:rFonts w:ascii="Times New Roman" w:hAnsi="Times New Roman"/>
                <w:color w:val="000000"/>
                <w:sz w:val="16"/>
              </w:rPr>
              <w:t>Filter: Required Compustat Fundamentals (Assets, Debt, EBITDA, Interest)</w:t>
            </w:r>
          </w:p>
        </w:tc>
        <w:tc>
          <w:tcPr>
            <w:tcW w:type="dxa" w:w="1584"/>
            <w:tcW w:w="1584" w:type="dxa"/>
            <w:tcMar>
              <w:top w:w="35" w:type="dxa"/>
              <w:bottom w:w="35" w:type="dxa"/>
              <w:left w:w="45" w:type="dxa"/>
              <w:right w:w="45" w:type="dxa"/>
            </w:tcMar>
          </w:tcPr>
          <w:p>
            <w:pPr>
              <w:spacing w:after="0" w:line="252" w:lineRule="auto"/>
              <w:jc w:val="right"/>
            </w:pPr>
            <w:r>
              <w:rPr>
                <w:rFonts w:ascii="Times New Roman" w:hAnsi="Times New Roman"/>
                <w:color w:val="000000"/>
                <w:sz w:val="16"/>
              </w:rPr>
              <w:t>915</w:t>
            </w:r>
          </w:p>
        </w:tc>
        <w:tc>
          <w:tcPr>
            <w:tcW w:type="dxa" w:w="1728"/>
            <w:tcW w:w="1728" w:type="dxa"/>
            <w:tcMar>
              <w:top w:w="35" w:type="dxa"/>
              <w:bottom w:w="35" w:type="dxa"/>
              <w:left w:w="45" w:type="dxa"/>
              <w:right w:w="45" w:type="dxa"/>
            </w:tcMar>
          </w:tcPr>
          <w:p>
            <w:pPr>
              <w:spacing w:after="0" w:line="252" w:lineRule="auto"/>
              <w:jc w:val="right"/>
            </w:pPr>
            <w:r>
              <w:rPr>
                <w:rFonts w:ascii="Times New Roman" w:hAnsi="Times New Roman"/>
                <w:color w:val="000000"/>
                <w:sz w:val="16"/>
              </w:rPr>
              <w:t>79,240</w:t>
            </w:r>
          </w:p>
        </w:tc>
        <w:tc>
          <w:tcPr>
            <w:tcW w:type="dxa" w:w="1728"/>
            <w:tcW w:w="1728" w:type="dxa"/>
            <w:tcMar>
              <w:top w:w="35" w:type="dxa"/>
              <w:bottom w:w="35" w:type="dxa"/>
              <w:left w:w="45" w:type="dxa"/>
              <w:right w:w="45" w:type="dxa"/>
            </w:tcMar>
          </w:tcPr>
          <w:p>
            <w:pPr>
              <w:spacing w:after="0" w:line="252" w:lineRule="auto"/>
              <w:jc w:val="right"/>
            </w:pPr>
            <w:r>
              <w:rPr>
                <w:rFonts w:ascii="Times New Roman" w:hAnsi="Times New Roman"/>
                <w:color w:val="000000"/>
                <w:sz w:val="16"/>
              </w:rPr>
              <w:t>80.4%</w:t>
            </w:r>
          </w:p>
        </w:tc>
      </w:tr>
      <w:tr>
        <w:trPr>
          <w:cantSplit/>
        </w:trPr>
        <w:tc>
          <w:tcPr>
            <w:tcW w:type="dxa" w:w="4608"/>
            <w:tcW w:w="4608" w:type="dxa"/>
            <w:tcMar>
              <w:top w:w="35" w:type="dxa"/>
              <w:bottom w:w="35" w:type="dxa"/>
              <w:left w:w="45" w:type="dxa"/>
              <w:right w:w="45" w:type="dxa"/>
            </w:tcMar>
          </w:tcPr>
          <w:p>
            <w:pPr>
              <w:spacing w:after="0" w:line="252" w:lineRule="auto"/>
              <w:jc w:val="left"/>
            </w:pPr>
            <w:r>
              <w:rPr>
                <w:rFonts w:ascii="Times New Roman" w:hAnsi="Times New Roman"/>
                <w:color w:val="000000"/>
                <w:sz w:val="16"/>
              </w:rPr>
              <w:t>Filter: Continuous S&amp;P Issuer Credit Rating &amp; History Coverage</w:t>
            </w:r>
          </w:p>
        </w:tc>
        <w:tc>
          <w:tcPr>
            <w:tcW w:type="dxa" w:w="1584"/>
            <w:tcW w:w="1584" w:type="dxa"/>
            <w:tcMar>
              <w:top w:w="35" w:type="dxa"/>
              <w:bottom w:w="35" w:type="dxa"/>
              <w:left w:w="45" w:type="dxa"/>
              <w:right w:w="45" w:type="dxa"/>
            </w:tcMar>
          </w:tcPr>
          <w:p>
            <w:pPr>
              <w:spacing w:after="0" w:line="252" w:lineRule="auto"/>
              <w:jc w:val="right"/>
            </w:pPr>
            <w:r>
              <w:rPr>
                <w:rFonts w:ascii="Times New Roman" w:hAnsi="Times New Roman"/>
                <w:color w:val="000000"/>
                <w:sz w:val="16"/>
              </w:rPr>
              <w:t>745</w:t>
            </w:r>
          </w:p>
        </w:tc>
        <w:tc>
          <w:tcPr>
            <w:tcW w:type="dxa" w:w="1728"/>
            <w:tcW w:w="1728" w:type="dxa"/>
            <w:tcMar>
              <w:top w:w="35" w:type="dxa"/>
              <w:bottom w:w="35" w:type="dxa"/>
              <w:left w:w="45" w:type="dxa"/>
              <w:right w:w="45" w:type="dxa"/>
            </w:tcMar>
          </w:tcPr>
          <w:p>
            <w:pPr>
              <w:spacing w:after="0" w:line="252" w:lineRule="auto"/>
              <w:jc w:val="right"/>
            </w:pPr>
            <w:r>
              <w:rPr>
                <w:rFonts w:ascii="Times New Roman" w:hAnsi="Times New Roman"/>
                <w:color w:val="000000"/>
                <w:sz w:val="16"/>
              </w:rPr>
              <w:t>71,850</w:t>
            </w:r>
          </w:p>
        </w:tc>
        <w:tc>
          <w:tcPr>
            <w:tcW w:type="dxa" w:w="1728"/>
            <w:tcW w:w="1728" w:type="dxa"/>
            <w:tcMar>
              <w:top w:w="35" w:type="dxa"/>
              <w:bottom w:w="35" w:type="dxa"/>
              <w:left w:w="45" w:type="dxa"/>
              <w:right w:w="45" w:type="dxa"/>
            </w:tcMar>
          </w:tcPr>
          <w:p>
            <w:pPr>
              <w:spacing w:after="0" w:line="252" w:lineRule="auto"/>
              <w:jc w:val="right"/>
            </w:pPr>
            <w:r>
              <w:rPr>
                <w:rFonts w:ascii="Times New Roman" w:hAnsi="Times New Roman"/>
                <w:color w:val="000000"/>
                <w:sz w:val="16"/>
              </w:rPr>
              <w:t>72.9%</w:t>
            </w:r>
          </w:p>
        </w:tc>
      </w:tr>
      <w:tr>
        <w:trPr>
          <w:cantSplit/>
        </w:trPr>
        <w:tc>
          <w:tcPr>
            <w:tcW w:type="dxa" w:w="4608"/>
            <w:tcW w:w="4608" w:type="dxa"/>
            <w:tcMar>
              <w:top w:w="35" w:type="dxa"/>
              <w:bottom w:w="35" w:type="dxa"/>
              <w:left w:w="45" w:type="dxa"/>
              <w:right w:w="45" w:type="dxa"/>
            </w:tcMar>
          </w:tcPr>
          <w:p>
            <w:pPr>
              <w:spacing w:after="0" w:line="252" w:lineRule="auto"/>
              <w:jc w:val="left"/>
            </w:pPr>
            <w:r>
              <w:rPr>
                <w:rFonts w:ascii="Times New Roman" w:hAnsi="Times New Roman"/>
                <w:color w:val="000000"/>
                <w:sz w:val="16"/>
              </w:rPr>
              <w:t>Filter: Outlier Treatment (1%/99% Winsorisation on Training Only)</w:t>
            </w:r>
          </w:p>
        </w:tc>
        <w:tc>
          <w:tcPr>
            <w:tcW w:type="dxa" w:w="1584"/>
            <w:tcW w:w="1584" w:type="dxa"/>
            <w:tcMar>
              <w:top w:w="35" w:type="dxa"/>
              <w:bottom w:w="35" w:type="dxa"/>
              <w:left w:w="45" w:type="dxa"/>
              <w:right w:w="45" w:type="dxa"/>
            </w:tcMar>
          </w:tcPr>
          <w:p>
            <w:pPr>
              <w:spacing w:after="0" w:line="252" w:lineRule="auto"/>
              <w:jc w:val="right"/>
            </w:pPr>
            <w:r>
              <w:rPr>
                <w:rFonts w:ascii="Times New Roman" w:hAnsi="Times New Roman"/>
                <w:color w:val="000000"/>
                <w:sz w:val="16"/>
              </w:rPr>
              <w:t>700</w:t>
            </w:r>
          </w:p>
        </w:tc>
        <w:tc>
          <w:tcPr>
            <w:tcW w:type="dxa" w:w="1728"/>
            <w:tcW w:w="1728" w:type="dxa"/>
            <w:tcMar>
              <w:top w:w="35" w:type="dxa"/>
              <w:bottom w:w="35" w:type="dxa"/>
              <w:left w:w="45" w:type="dxa"/>
              <w:right w:w="45" w:type="dxa"/>
            </w:tcMar>
          </w:tcPr>
          <w:p>
            <w:pPr>
              <w:spacing w:after="0" w:line="252" w:lineRule="auto"/>
              <w:jc w:val="right"/>
            </w:pPr>
            <w:r>
              <w:rPr>
                <w:rFonts w:ascii="Times New Roman" w:hAnsi="Times New Roman"/>
                <w:color w:val="000000"/>
                <w:sz w:val="16"/>
              </w:rPr>
              <w:t>67,406</w:t>
            </w:r>
          </w:p>
        </w:tc>
        <w:tc>
          <w:tcPr>
            <w:tcW w:type="dxa" w:w="1728"/>
            <w:tcW w:w="1728" w:type="dxa"/>
            <w:tcMar>
              <w:top w:w="35" w:type="dxa"/>
              <w:bottom w:w="35" w:type="dxa"/>
              <w:left w:w="45" w:type="dxa"/>
              <w:right w:w="45" w:type="dxa"/>
            </w:tcMar>
          </w:tcPr>
          <w:p>
            <w:pPr>
              <w:spacing w:after="0" w:line="252" w:lineRule="auto"/>
              <w:jc w:val="right"/>
            </w:pPr>
            <w:r>
              <w:rPr>
                <w:rFonts w:ascii="Times New Roman" w:hAnsi="Times New Roman"/>
                <w:color w:val="000000"/>
                <w:sz w:val="16"/>
              </w:rPr>
              <w:t>68.4%</w:t>
            </w:r>
          </w:p>
        </w:tc>
      </w:tr>
      <w:tr>
        <w:trPr>
          <w:cantSplit/>
        </w:trPr>
        <w:tc>
          <w:tcPr>
            <w:tcW w:type="dxa" w:w="4608"/>
            <w:tcW w:w="4608" w:type="dxa"/>
            <w:tcMar>
              <w:top w:w="35" w:type="dxa"/>
              <w:bottom w:w="35" w:type="dxa"/>
              <w:left w:w="45" w:type="dxa"/>
              <w:right w:w="45" w:type="dxa"/>
            </w:tcMar>
          </w:tcPr>
          <w:p>
            <w:pPr>
              <w:spacing w:after="0" w:line="252" w:lineRule="auto"/>
              <w:jc w:val="left"/>
            </w:pPr>
            <w:r>
              <w:rPr>
                <w:rFonts w:ascii="Times New Roman" w:hAnsi="Times New Roman"/>
                <w:color w:val="000000"/>
                <w:sz w:val="16"/>
              </w:rPr>
              <w:t>Final Assembled Research Panel (2000Q1 - 2025Q4)</w:t>
            </w:r>
          </w:p>
        </w:tc>
        <w:tc>
          <w:tcPr>
            <w:tcW w:type="dxa" w:w="1584"/>
            <w:tcW w:w="1584" w:type="dxa"/>
            <w:tcMar>
              <w:top w:w="35" w:type="dxa"/>
              <w:bottom w:w="35" w:type="dxa"/>
              <w:left w:w="45" w:type="dxa"/>
              <w:right w:w="45" w:type="dxa"/>
            </w:tcMar>
          </w:tcPr>
          <w:p>
            <w:pPr>
              <w:spacing w:after="0" w:line="252" w:lineRule="auto"/>
              <w:jc w:val="right"/>
            </w:pPr>
            <w:r>
              <w:rPr>
                <w:rFonts w:ascii="Times New Roman" w:hAnsi="Times New Roman"/>
                <w:color w:val="000000"/>
                <w:sz w:val="16"/>
              </w:rPr>
              <w:t>700</w:t>
            </w:r>
          </w:p>
        </w:tc>
        <w:tc>
          <w:tcPr>
            <w:tcW w:type="dxa" w:w="1728"/>
            <w:tcW w:w="1728" w:type="dxa"/>
            <w:tcMar>
              <w:top w:w="35" w:type="dxa"/>
              <w:bottom w:w="35" w:type="dxa"/>
              <w:left w:w="45" w:type="dxa"/>
              <w:right w:w="45" w:type="dxa"/>
            </w:tcMar>
          </w:tcPr>
          <w:p>
            <w:pPr>
              <w:spacing w:after="0" w:line="252" w:lineRule="auto"/>
              <w:jc w:val="right"/>
            </w:pPr>
            <w:r>
              <w:rPr>
                <w:rFonts w:ascii="Times New Roman" w:hAnsi="Times New Roman"/>
                <w:color w:val="000000"/>
                <w:sz w:val="16"/>
              </w:rPr>
              <w:t>67,406</w:t>
            </w:r>
          </w:p>
        </w:tc>
        <w:tc>
          <w:tcPr>
            <w:tcW w:type="dxa" w:w="1728"/>
            <w:tcW w:w="1728" w:type="dxa"/>
            <w:tcMar>
              <w:top w:w="35" w:type="dxa"/>
              <w:bottom w:w="35" w:type="dxa"/>
              <w:left w:w="45" w:type="dxa"/>
              <w:right w:w="45" w:type="dxa"/>
            </w:tcMar>
          </w:tcPr>
          <w:p>
            <w:pPr>
              <w:spacing w:after="0" w:line="252" w:lineRule="auto"/>
              <w:jc w:val="right"/>
            </w:pPr>
            <w:r>
              <w:rPr>
                <w:rFonts w:ascii="Times New Roman" w:hAnsi="Times New Roman"/>
                <w:color w:val="000000"/>
                <w:sz w:val="16"/>
              </w:rPr>
              <w:t>68.4%</w:t>
            </w:r>
          </w:p>
        </w:tc>
      </w:tr>
    </w:tbl>
    <w:p>
      <w:pPr>
        <w:spacing w:before="40" w:after="80"/>
      </w:pPr>
      <w:r>
        <w:rPr>
          <w:rFonts w:ascii="Times New Roman" w:hAnsi="Times New Roman"/>
          <w:i/>
          <w:color w:val="000000"/>
          <w:sz w:val="15"/>
        </w:rPr>
        <w:t>Note: Longitudinal research panel assembled from WRDS Compustat Capital IQ and S&amp;P Global Ratings. Outlier trimming performed strictly on pre-2020 training partition to eliminate look-ahead bias.</w:t>
      </w:r>
    </w:p>
    <w:p>
      <w:pPr>
        <w:spacing w:after="80" w:line="276" w:lineRule="auto"/>
        <w:jc w:val="both"/>
      </w:pPr>
      <w:r>
        <w:rPr>
          <w:rFonts w:ascii="Times New Roman" w:hAnsi="Times New Roman"/>
          <w:color w:val="000000"/>
          <w:sz w:val="20"/>
        </w:rPr>
        <w:t>Table I details the sequential attrition filters. The final assembled longitudinal panel retains 700 unique corporate issuers spanning 67,406 firm-quarters over 103 consecutive calendar quarters.</w:t>
      </w:r>
    </w:p>
    <w:p>
      <w:pPr>
        <w:keepNext/>
        <w:spacing w:before="140" w:after="40"/>
        <w:jc w:val="left"/>
      </w:pPr>
      <w:r>
        <w:rPr>
          <w:rFonts w:ascii="Times New Roman" w:hAnsi="Times New Roman"/>
          <w:b/>
          <w:i/>
          <w:color w:val="000000"/>
          <w:sz w:val="21"/>
        </w:rPr>
        <w:t>B. Covariate Distribution and Summary Statistics</w:t>
      </w:r>
    </w:p>
    <w:p>
      <w:pPr>
        <w:keepNext/>
        <w:spacing w:before="220" w:after="30"/>
        <w:jc w:val="center"/>
      </w:pPr>
      <w:r>
        <w:rPr>
          <w:rFonts w:ascii="Times New Roman" w:hAnsi="Times New Roman"/>
          <w:b/>
          <w:color w:val="000000"/>
          <w:sz w:val="18"/>
        </w:rPr>
        <w:t>TABLE II</w:t>
      </w:r>
    </w:p>
    <w:p>
      <w:pPr>
        <w:keepNext/>
        <w:spacing w:after="80"/>
        <w:jc w:val="center"/>
      </w:pPr>
      <w:r>
        <w:rPr>
          <w:rFonts w:ascii="Times New Roman" w:hAnsi="Times New Roman"/>
          <w:color w:val="000000"/>
          <w:sz w:val="17"/>
        </w:rPr>
        <w:t>SUMMARY DESCRIPTIVE STATISTICS OF PANEL COVARIATES</w:t>
      </w:r>
    </w:p>
    <w:tbl>
      <w:tblPr>
        <w:tblW w:type="auto" w:w="0"/>
        <w:jc w:val="center"/>
        <w:tblLayout w:type="fixed"/>
        <w:tblLook w:firstColumn="1" w:firstRow="1" w:lastColumn="0" w:lastRow="0" w:noHBand="0" w:noVBand="1" w:val="04A0"/>
        <w:tblW w:w="9648" w:type="dxa"/>
        <w:tblLayout w:type="fixed"/>
        <w:tblBorders>
          <w:top w:val="single" w:sz="8" w:space="0" w:color="000000"/>
          <w:bottom w:val="single" w:sz="8" w:space="0" w:color="000000"/>
          <w:left w:val="none"/>
          <w:right w:val="none"/>
          <w:insideH w:val="none"/>
          <w:insideV w:val="none"/>
        </w:tblBorders>
      </w:tblPr>
      <w:tblGrid>
        <w:gridCol w:w="2390"/>
        <w:gridCol w:w="1037"/>
        <w:gridCol w:w="1037"/>
        <w:gridCol w:w="1037"/>
        <w:gridCol w:w="1037"/>
        <w:gridCol w:w="1037"/>
        <w:gridCol w:w="1037"/>
        <w:gridCol w:w="1037"/>
      </w:tblGrid>
      <w:tr>
        <w:trPr>
          <w:cantSplit/>
          <w:tblHeader/>
        </w:trPr>
        <w:tc>
          <w:tcPr>
            <w:tcW w:type="dxa" w:w="2390"/>
            <w:tcW w:w="2390" w:type="dxa"/>
            <w:tcMar>
              <w:top w:w="35" w:type="dxa"/>
              <w:bottom w:w="35" w:type="dxa"/>
              <w:left w:w="25" w:type="dxa"/>
              <w:right w:w="25" w:type="dxa"/>
            </w:tcMar>
            <w:tcBorders>
              <w:bottom w:val="single" w:sz="4" w:space="0" w:color="000000"/>
            </w:tcBorders>
          </w:tcPr>
          <w:p>
            <w:pPr>
              <w:spacing w:after="0" w:line="252" w:lineRule="auto"/>
              <w:jc w:val="left"/>
            </w:pPr>
            <w:r>
              <w:rPr>
                <w:rFonts w:ascii="Times New Roman" w:hAnsi="Times New Roman"/>
                <w:b/>
                <w:color w:val="000000"/>
                <w:sz w:val="14"/>
              </w:rPr>
              <w:t>Covariate</w:t>
            </w:r>
          </w:p>
        </w:tc>
        <w:tc>
          <w:tcPr>
            <w:tcW w:type="dxa" w:w="1037"/>
            <w:tcW w:w="103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Mean</w:t>
            </w:r>
          </w:p>
        </w:tc>
        <w:tc>
          <w:tcPr>
            <w:tcW w:type="dxa" w:w="1037"/>
            <w:tcW w:w="103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Std Dev</w:t>
            </w:r>
          </w:p>
        </w:tc>
        <w:tc>
          <w:tcPr>
            <w:tcW w:type="dxa" w:w="1037"/>
            <w:tcW w:w="103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Min</w:t>
            </w:r>
          </w:p>
        </w:tc>
        <w:tc>
          <w:tcPr>
            <w:tcW w:type="dxa" w:w="1037"/>
            <w:tcW w:w="103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Q1 (25%)</w:t>
            </w:r>
          </w:p>
        </w:tc>
        <w:tc>
          <w:tcPr>
            <w:tcW w:type="dxa" w:w="1037"/>
            <w:tcW w:w="103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Median</w:t>
            </w:r>
          </w:p>
        </w:tc>
        <w:tc>
          <w:tcPr>
            <w:tcW w:type="dxa" w:w="1037"/>
            <w:tcW w:w="103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Q3 (75%)</w:t>
            </w:r>
          </w:p>
        </w:tc>
        <w:tc>
          <w:tcPr>
            <w:tcW w:type="dxa" w:w="1037"/>
            <w:tcW w:w="103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Max</w:t>
            </w:r>
          </w:p>
        </w:tc>
      </w:tr>
      <w:tr>
        <w:trPr>
          <w:cantSplit/>
        </w:trPr>
        <w:tc>
          <w:tcPr>
            <w:tcW w:type="dxa" w:w="2390"/>
            <w:tcW w:w="2390" w:type="dxa"/>
            <w:tcMar>
              <w:top w:w="35" w:type="dxa"/>
              <w:bottom w:w="35" w:type="dxa"/>
              <w:left w:w="25" w:type="dxa"/>
              <w:right w:w="25" w:type="dxa"/>
            </w:tcMar>
          </w:tcPr>
          <w:p>
            <w:pPr>
              <w:spacing w:after="0" w:line="252" w:lineRule="auto"/>
              <w:jc w:val="left"/>
            </w:pPr>
            <w:r>
              <w:rPr>
                <w:rFonts w:ascii="Times New Roman" w:hAnsi="Times New Roman"/>
                <w:color w:val="000000"/>
                <w:sz w:val="14"/>
              </w:rPr>
              <w:t>rating_num</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9.204</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4.011</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1.000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6.000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9.000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12.000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22.000</w:t>
            </w:r>
          </w:p>
        </w:tc>
      </w:tr>
      <w:tr>
        <w:trPr>
          <w:cantSplit/>
        </w:trPr>
        <w:tc>
          <w:tcPr>
            <w:tcW w:type="dxa" w:w="2390"/>
            <w:tcW w:w="2390" w:type="dxa"/>
            <w:tcMar>
              <w:top w:w="35" w:type="dxa"/>
              <w:bottom w:w="35" w:type="dxa"/>
              <w:left w:w="25" w:type="dxa"/>
              <w:right w:w="25" w:type="dxa"/>
            </w:tcMar>
          </w:tcPr>
          <w:p>
            <w:pPr>
              <w:spacing w:after="0" w:line="252" w:lineRule="auto"/>
              <w:jc w:val="left"/>
            </w:pPr>
            <w:r>
              <w:rPr>
                <w:rFonts w:ascii="Times New Roman" w:hAnsi="Times New Roman"/>
                <w:color w:val="000000"/>
                <w:sz w:val="14"/>
              </w:rPr>
              <w:t>leverage</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3.337</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0.968</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1.197</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2.654</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3.332</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4.011</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5.569</w:t>
            </w:r>
          </w:p>
        </w:tc>
      </w:tr>
      <w:tr>
        <w:trPr>
          <w:cantSplit/>
        </w:trPr>
        <w:tc>
          <w:tcPr>
            <w:tcW w:type="dxa" w:w="2390"/>
            <w:tcW w:w="2390" w:type="dxa"/>
            <w:tcMar>
              <w:top w:w="35" w:type="dxa"/>
              <w:bottom w:w="35" w:type="dxa"/>
              <w:left w:w="25" w:type="dxa"/>
              <w:right w:w="25" w:type="dxa"/>
            </w:tcMar>
          </w:tcPr>
          <w:p>
            <w:pPr>
              <w:spacing w:after="0" w:line="252" w:lineRule="auto"/>
              <w:jc w:val="left"/>
            </w:pPr>
            <w:r>
              <w:rPr>
                <w:rFonts w:ascii="Times New Roman" w:hAnsi="Times New Roman"/>
                <w:color w:val="000000"/>
                <w:sz w:val="14"/>
              </w:rPr>
              <w:t>interest_coverage</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5.735</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4.254</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0.493</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2.642</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4.393</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7.529</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17.372</w:t>
            </w:r>
          </w:p>
        </w:tc>
      </w:tr>
      <w:tr>
        <w:trPr>
          <w:cantSplit/>
        </w:trPr>
        <w:tc>
          <w:tcPr>
            <w:tcW w:type="dxa" w:w="2390"/>
            <w:tcW w:w="2390" w:type="dxa"/>
            <w:tcMar>
              <w:top w:w="35" w:type="dxa"/>
              <w:bottom w:w="35" w:type="dxa"/>
              <w:left w:w="25" w:type="dxa"/>
              <w:right w:w="25" w:type="dxa"/>
            </w:tcMar>
          </w:tcPr>
          <w:p>
            <w:pPr>
              <w:spacing w:after="0" w:line="252" w:lineRule="auto"/>
              <w:jc w:val="left"/>
            </w:pPr>
            <w:r>
              <w:rPr>
                <w:rFonts w:ascii="Times New Roman" w:hAnsi="Times New Roman"/>
                <w:color w:val="000000"/>
                <w:sz w:val="14"/>
              </w:rPr>
              <w:t>log_assets</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9.050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1.243</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6.228</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8.206</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9.018</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9.934</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11.945</w:t>
            </w:r>
          </w:p>
        </w:tc>
      </w:tr>
      <w:tr>
        <w:trPr>
          <w:cantSplit/>
        </w:trPr>
        <w:tc>
          <w:tcPr>
            <w:tcW w:type="dxa" w:w="2390"/>
            <w:tcW w:w="2390" w:type="dxa"/>
            <w:tcMar>
              <w:top w:w="35" w:type="dxa"/>
              <w:bottom w:w="35" w:type="dxa"/>
              <w:left w:w="25" w:type="dxa"/>
              <w:right w:w="25" w:type="dxa"/>
            </w:tcMar>
          </w:tcPr>
          <w:p>
            <w:pPr>
              <w:spacing w:after="0" w:line="252" w:lineRule="auto"/>
              <w:jc w:val="left"/>
            </w:pPr>
            <w:r>
              <w:rPr>
                <w:rFonts w:ascii="Times New Roman" w:hAnsi="Times New Roman"/>
                <w:color w:val="000000"/>
                <w:sz w:val="14"/>
              </w:rPr>
              <w:t>roa</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0.064</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0.028</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0.000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0.044</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0.064</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0.084</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0.129</w:t>
            </w:r>
          </w:p>
        </w:tc>
      </w:tr>
      <w:tr>
        <w:trPr>
          <w:cantSplit/>
        </w:trPr>
        <w:tc>
          <w:tcPr>
            <w:tcW w:type="dxa" w:w="2390"/>
            <w:tcW w:w="2390" w:type="dxa"/>
            <w:tcMar>
              <w:top w:w="35" w:type="dxa"/>
              <w:bottom w:w="35" w:type="dxa"/>
              <w:left w:w="25" w:type="dxa"/>
              <w:right w:w="25" w:type="dxa"/>
            </w:tcMar>
          </w:tcPr>
          <w:p>
            <w:pPr>
              <w:spacing w:after="0" w:line="252" w:lineRule="auto"/>
              <w:jc w:val="left"/>
            </w:pPr>
            <w:r>
              <w:rPr>
                <w:rFonts w:ascii="Times New Roman" w:hAnsi="Times New Roman"/>
                <w:color w:val="000000"/>
                <w:sz w:val="14"/>
              </w:rPr>
              <w:t>fedfunds</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1.966</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1.997</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0.070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0.160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1.240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3.970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6.530</w:t>
            </w:r>
          </w:p>
        </w:tc>
      </w:tr>
      <w:tr>
        <w:trPr>
          <w:cantSplit/>
        </w:trPr>
        <w:tc>
          <w:tcPr>
            <w:tcW w:type="dxa" w:w="2390"/>
            <w:tcW w:w="2390" w:type="dxa"/>
            <w:tcMar>
              <w:top w:w="35" w:type="dxa"/>
              <w:bottom w:w="35" w:type="dxa"/>
              <w:left w:w="25" w:type="dxa"/>
              <w:right w:w="25" w:type="dxa"/>
            </w:tcMar>
          </w:tcPr>
          <w:p>
            <w:pPr>
              <w:spacing w:after="0" w:line="252" w:lineRule="auto"/>
              <w:jc w:val="left"/>
            </w:pPr>
            <w:r>
              <w:rPr>
                <w:rFonts w:ascii="Times New Roman" w:hAnsi="Times New Roman"/>
                <w:color w:val="000000"/>
                <w:sz w:val="14"/>
              </w:rPr>
              <w:t>hy_oas</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5.429</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2.335</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2.800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3.732</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5.126</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6.280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17.308</w:t>
            </w:r>
          </w:p>
        </w:tc>
      </w:tr>
      <w:tr>
        <w:trPr>
          <w:cantSplit/>
        </w:trPr>
        <w:tc>
          <w:tcPr>
            <w:tcW w:type="dxa" w:w="2390"/>
            <w:tcW w:w="2390" w:type="dxa"/>
            <w:tcMar>
              <w:top w:w="35" w:type="dxa"/>
              <w:bottom w:w="35" w:type="dxa"/>
              <w:left w:w="25" w:type="dxa"/>
              <w:right w:w="25" w:type="dxa"/>
            </w:tcMar>
          </w:tcPr>
          <w:p>
            <w:pPr>
              <w:spacing w:after="0" w:line="252" w:lineRule="auto"/>
              <w:jc w:val="left"/>
            </w:pPr>
            <w:r>
              <w:rPr>
                <w:rFonts w:ascii="Times New Roman" w:hAnsi="Times New Roman"/>
                <w:color w:val="000000"/>
                <w:sz w:val="14"/>
              </w:rPr>
              <w:t>term_spread</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1.094</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0.956</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-1.060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0.250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1.160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1.910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2.820</w:t>
            </w:r>
          </w:p>
        </w:tc>
      </w:tr>
      <w:tr>
        <w:trPr>
          <w:cantSplit/>
        </w:trPr>
        <w:tc>
          <w:tcPr>
            <w:tcW w:type="dxa" w:w="2390"/>
            <w:tcW w:w="2390" w:type="dxa"/>
            <w:tcMar>
              <w:top w:w="35" w:type="dxa"/>
              <w:bottom w:w="35" w:type="dxa"/>
              <w:left w:w="25" w:type="dxa"/>
              <w:right w:w="25" w:type="dxa"/>
            </w:tcMar>
          </w:tcPr>
          <w:p>
            <w:pPr>
              <w:spacing w:after="0" w:line="252" w:lineRule="auto"/>
              <w:jc w:val="left"/>
            </w:pPr>
            <w:r>
              <w:rPr>
                <w:rFonts w:ascii="Times New Roman" w:hAnsi="Times New Roman"/>
                <w:color w:val="000000"/>
                <w:sz w:val="14"/>
              </w:rPr>
              <w:t>gdp_yoy</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2.208</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2.078</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-7.399</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1.679</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2.330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3.130</w:t>
            </w:r>
          </w:p>
        </w:tc>
        <w:tc>
          <w:tcPr>
            <w:tcW w:type="dxa" w:w="1037"/>
            <w:tcW w:w="1036" w:type="dxa"/>
            <w:tcMar>
              <w:top w:w="35" w:type="dxa"/>
              <w:bottom w:w="35" w:type="dxa"/>
              <w:left w:w="25" w:type="dxa"/>
              <w:right w:w="25" w:type="dxa"/>
            </w:tcMar>
          </w:tcPr>
          <w:p>
            <w:pPr>
              <w:spacing w:after="0" w:line="252" w:lineRule="auto"/>
              <w:jc w:val="right"/>
            </w:pPr>
            <w:r>
              <w:rPr>
                <w:rFonts w:ascii="Times New Roman" w:hAnsi="Times New Roman"/>
                <w:color w:val="000000"/>
                <w:sz w:val="14"/>
              </w:rPr>
              <w:t>12.559</w:t>
            </w:r>
          </w:p>
        </w:tc>
      </w:tr>
    </w:tbl>
    <w:p>
      <w:pPr>
        <w:spacing w:before="40" w:after="80"/>
      </w:pPr>
      <w:r>
        <w:rPr>
          <w:rFonts w:ascii="Times New Roman" w:hAnsi="Times New Roman"/>
          <w:i/>
          <w:color w:val="000000"/>
          <w:sz w:val="15"/>
        </w:rPr>
        <w:t>Note: Descriptive statistics computed over 67,406 firm-quarter observations. Financial covariates are winsorized at 1% and 99% levels within the pre-2020 training partition.</w:t>
      </w:r>
    </w:p>
    <w:p>
      <w:pPr>
        <w:spacing w:after="80" w:line="276" w:lineRule="auto"/>
        <w:jc w:val="both"/>
      </w:pPr>
      <w:r>
        <w:rPr>
          <w:rFonts w:ascii="Times New Roman" w:hAnsi="Times New Roman"/>
          <w:color w:val="000000"/>
          <w:sz w:val="20"/>
        </w:rPr>
        <w:t>Table II presents the distributional properties across all firm-level fundamentals and macroeconomic regressors. The sample exhibits significant cyclical variation, capturing three recessions (2001 dot-com crash, 2008–2009 Global Financial Crisis, and 2020 COVID shock) and multiple monetary policy cycles.</w:t>
      </w:r>
    </w:p>
    <w:p>
      <w:pPr>
        <w:keepNext/>
        <w:spacing w:before="80" w:after="40"/>
        <w:jc w:val="center"/>
      </w:pPr>
      <w:r>
        <w:drawing>
          <wp:inline xmlns:a="http://schemas.openxmlformats.org/drawingml/2006/main" xmlns:pic="http://schemas.openxmlformats.org/drawingml/2006/picture">
            <wp:extent cx="3931920" cy="1965960"/>
            <wp:docPr id="1" name="Picture 1"/>
            <wp:cNvGraphicFramePr>
              <a:graphicFrameLocks noChangeAspect="1"/>
            </wp:cNvGraphicFramePr>
            <a:graphic>
              <a:graphicData uri="http://schemas.openxmlformats.org/drawingml/2006/picture">
                <pic:pic>
                  <pic:nvPicPr>
                    <pic:cNvPr id="0" name="fig1_rating_distribution.png"/>
                    <pic:cNvPicPr/>
                  </pic:nvPicPr>
                  <pic:blipFill>
                    <a:blip r:embed="rId11"/>
                    <a:stretch>
                      <a:fillRect/>
                    </a:stretch>
                  </pic:blipFill>
                  <pic:spPr>
                    <a:xfrm>
                      <a:off x="0" y="0"/>
                      <a:ext cx="3931920" cy="1965960"/>
                    </a:xfrm>
                    <a:prstGeom prst="rect"/>
                  </pic:spPr>
                </pic:pic>
              </a:graphicData>
            </a:graphic>
          </wp:inline>
        </w:drawing>
      </w:r>
    </w:p>
    <w:p>
      <w:pPr>
        <w:keepNext/>
        <w:spacing w:before="20" w:after="100"/>
        <w:jc w:val="center"/>
      </w:pPr>
      <w:r>
        <w:rPr>
          <w:rFonts w:ascii="Times New Roman" w:hAnsi="Times New Roman"/>
          <w:color w:val="000000"/>
          <w:sz w:val="16"/>
        </w:rPr>
        <w:t>Fig. 1. S&amp;P Credit Rating Distribution Across Longitudinal Corporate Research Panel (2000–2025).</w:t>
      </w:r>
    </w:p>
    <w:p>
      <w:pPr>
        <w:spacing w:after="80" w:line="276" w:lineRule="auto"/>
        <w:jc w:val="both"/>
      </w:pPr>
      <w:r>
        <w:rPr>
          <w:rFonts w:ascii="Times New Roman" w:hAnsi="Times New Roman"/>
          <w:color w:val="000000"/>
          <w:sz w:val="20"/>
        </w:rPr>
        <w:t>Figure 1 illustrates the empirical distribution of S&amp;P credit ratings across the longitudinal panel. The modal rating category is BBB (occupying numerical codes 8 through 10), underscoring the critical economic weight concentrated directly at the investment-grade boundary.</w:t>
      </w:r>
    </w:p>
    <w:p>
      <w:pPr>
        <w:keepNext/>
        <w:spacing w:before="80" w:after="40"/>
        <w:jc w:val="center"/>
      </w:pPr>
      <w:r>
        <w:drawing>
          <wp:inline xmlns:a="http://schemas.openxmlformats.org/drawingml/2006/main" xmlns:pic="http://schemas.openxmlformats.org/drawingml/2006/picture">
            <wp:extent cx="3931920" cy="2293620"/>
            <wp:docPr id="2" name="Picture 2"/>
            <wp:cNvGraphicFramePr>
              <a:graphicFrameLocks noChangeAspect="1"/>
            </wp:cNvGraphicFramePr>
            <a:graphic>
              <a:graphicData uri="http://schemas.openxmlformats.org/drawingml/2006/picture">
                <pic:pic>
                  <pic:nvPicPr>
                    <pic:cNvPr id="0" name="fig2_macro_series.png"/>
                    <pic:cNvPicPr/>
                  </pic:nvPicPr>
                  <pic:blipFill>
                    <a:blip r:embed="rId12"/>
                    <a:stretch>
                      <a:fillRect/>
                    </a:stretch>
                  </pic:blipFill>
                  <pic:spPr>
                    <a:xfrm>
                      <a:off x="0" y="0"/>
                      <a:ext cx="3931920" cy="2293620"/>
                    </a:xfrm>
                    <a:prstGeom prst="rect"/>
                  </pic:spPr>
                </pic:pic>
              </a:graphicData>
            </a:graphic>
          </wp:inline>
        </w:drawing>
      </w:r>
    </w:p>
    <w:p>
      <w:pPr>
        <w:keepNext/>
        <w:spacing w:before="20" w:after="100"/>
        <w:jc w:val="center"/>
      </w:pPr>
      <w:r>
        <w:rPr>
          <w:rFonts w:ascii="Times New Roman" w:hAnsi="Times New Roman"/>
          <w:color w:val="000000"/>
          <w:sz w:val="16"/>
        </w:rPr>
        <w:t>Fig. 2. Historical Trajectories of Macroeconomic Regressors and Monetary Policy Cycles (2000–2025).</w:t>
      </w:r>
    </w:p>
    <w:p>
      <w:pPr>
        <w:spacing w:after="80" w:line="276" w:lineRule="auto"/>
        <w:jc w:val="both"/>
      </w:pPr>
      <w:r>
        <w:rPr>
          <w:rFonts w:ascii="Times New Roman" w:hAnsi="Times New Roman"/>
          <w:color w:val="000000"/>
          <w:sz w:val="20"/>
        </w:rPr>
        <w:t>Figure 2 depicts the historical trajectories of the four primary macroeconomic conditioning variables: the Effective Federal Funds Rate, the ICE BofA US High Yield Option-Adjusted Spread, the 10Y-2Y Treasury Term Spread, and YoY Real GDP Growth.</w:t>
      </w:r>
    </w:p>
    <w:p>
      <w:pPr>
        <w:keepNext/>
        <w:pageBreakBefore/>
        <w:spacing w:before="280" w:after="80"/>
        <w:jc w:val="center"/>
      </w:pPr>
      <w:r>
        <w:rPr>
          <w:rFonts w:ascii="Times New Roman" w:hAnsi="Times New Roman"/>
          <w:b/>
          <w:color w:val="000000"/>
          <w:sz w:val="22"/>
        </w:rPr>
        <w:t>IV. ECONOMETRIC FINDINGS &amp; MACRO SENSITIVITY INTERACTIONS</w:t>
      </w:r>
    </w:p>
    <w:p>
      <w:pPr>
        <w:keepNext/>
        <w:spacing w:before="140" w:after="40"/>
        <w:jc w:val="left"/>
      </w:pPr>
      <w:r>
        <w:rPr>
          <w:rFonts w:ascii="Times New Roman" w:hAnsi="Times New Roman"/>
          <w:b/>
          <w:i/>
          <w:color w:val="000000"/>
          <w:sz w:val="21"/>
        </w:rPr>
        <w:t>A. Ordered Probit Rating Determinants</w:t>
      </w:r>
    </w:p>
    <w:p>
      <w:pPr>
        <w:spacing w:after="80" w:line="276" w:lineRule="auto"/>
        <w:jc w:val="both"/>
      </w:pPr>
      <w:r>
        <w:rPr>
          <w:rFonts w:ascii="Times New Roman" w:hAnsi="Times New Roman"/>
          <w:color w:val="000000"/>
          <w:sz w:val="20"/>
        </w:rPr>
        <w:t>We estimate the Ordered Probit rating determinants architecture across two primary specifications: (1) Firm Fundamentals Only, and (2) Macro-Augmented Model.</w:t>
      </w:r>
    </w:p>
    <w:p>
      <w:pPr>
        <w:keepNext/>
        <w:spacing w:before="220" w:after="30"/>
        <w:jc w:val="center"/>
      </w:pPr>
      <w:r>
        <w:rPr>
          <w:rFonts w:ascii="Times New Roman" w:hAnsi="Times New Roman"/>
          <w:b/>
          <w:color w:val="000000"/>
          <w:sz w:val="18"/>
        </w:rPr>
        <w:t>TABLE III</w:t>
      </w:r>
    </w:p>
    <w:p>
      <w:pPr>
        <w:keepNext/>
        <w:spacing w:after="80"/>
        <w:jc w:val="center"/>
      </w:pPr>
      <w:r>
        <w:rPr>
          <w:rFonts w:ascii="Times New Roman" w:hAnsi="Times New Roman"/>
          <w:color w:val="000000"/>
          <w:sz w:val="17"/>
        </w:rPr>
        <w:t>ORDERED PROBIT RATING DETERMINANTS AND MACRO BLOCK TESTS</w:t>
      </w:r>
    </w:p>
    <w:tbl>
      <w:tblPr>
        <w:tblW w:type="auto" w:w="0"/>
        <w:jc w:val="center"/>
        <w:tblLayout w:type="fixed"/>
        <w:tblLook w:firstColumn="1" w:firstRow="1" w:lastColumn="0" w:lastRow="0" w:noHBand="0" w:noVBand="1" w:val="04A0"/>
        <w:tblW w:w="9648" w:type="dxa"/>
        <w:tblLayout w:type="fixed"/>
        <w:tblBorders>
          <w:top w:val="single" w:sz="8" w:space="0" w:color="000000"/>
          <w:bottom w:val="single" w:sz="8" w:space="0" w:color="000000"/>
          <w:left w:val="none"/>
          <w:right w:val="none"/>
          <w:insideH w:val="none"/>
          <w:insideV w:val="none"/>
        </w:tblBorders>
      </w:tblPr>
      <w:tblGrid>
        <w:gridCol w:w="3600"/>
        <w:gridCol w:w="2016"/>
        <w:gridCol w:w="2016"/>
        <w:gridCol w:w="2016"/>
      </w:tblGrid>
      <w:tr>
        <w:trPr>
          <w:cantSplit/>
          <w:tblHeader/>
        </w:trPr>
        <w:tc>
          <w:tcPr>
            <w:tcW w:type="dxa" w:w="3600"/>
            <w:tcW w:w="3600" w:type="dxa"/>
            <w:tcMar>
              <w:top w:w="35" w:type="dxa"/>
              <w:bottom w:w="35" w:type="dxa"/>
              <w:left w:w="45" w:type="dxa"/>
              <w:right w:w="45" w:type="dxa"/>
            </w:tcMar>
            <w:tcBorders>
              <w:bottom w:val="single" w:sz="4" w:space="0" w:color="000000"/>
            </w:tcBorders>
          </w:tcPr>
          <w:p>
            <w:pPr>
              <w:spacing w:after="0" w:line="252" w:lineRule="auto"/>
              <w:jc w:val="left"/>
            </w:pPr>
            <w:r>
              <w:rPr>
                <w:rFonts w:ascii="Times New Roman" w:hAnsi="Times New Roman"/>
                <w:b/>
                <w:color w:val="000000"/>
                <w:sz w:val="16"/>
              </w:rPr>
              <w:t>Covariate</w:t>
            </w:r>
          </w:p>
        </w:tc>
        <w:tc>
          <w:tcPr>
            <w:tcW w:type="dxa" w:w="2016"/>
            <w:tcW w:w="2015"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Model 1: Firm Only</w:t>
            </w:r>
          </w:p>
        </w:tc>
        <w:tc>
          <w:tcPr>
            <w:tcW w:type="dxa" w:w="2016"/>
            <w:tcW w:w="2015"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Model 2: Macro-Augmented</w:t>
            </w:r>
          </w:p>
        </w:tc>
        <w:tc>
          <w:tcPr>
            <w:tcW w:type="dxa" w:w="2016"/>
            <w:tcW w:w="2015"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Robust Std Error</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Total Debt / EBITDA (Leverage)</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0.482</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0.441</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0.015</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EBITDA / Interest Expense (Coverage)</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-0.315</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-0.289</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0.012</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Log Total Assets (Firm Size)</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-0.524</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-0.498</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0.014</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Return on Assets (ROA)</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-0.188</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-0.165</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0.018</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Effective Federal Funds Rate</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0.142</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0.018</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HY OAS Spread (BAMLH0A0HYM2)</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0.228</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0.021</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Yield Curve Term Spread (10Y-2Y)</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-0.119</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0.016</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Real GDP Growth (YoY)</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-0.174</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0.023</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McFadden Pseudo R-squared</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0.248</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0.342</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Log-Likelihood Ratio Test (p-value)</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284.6 (p &lt; 0.0001)</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w:t>
            </w:r>
          </w:p>
        </w:tc>
      </w:tr>
    </w:tbl>
    <w:p>
      <w:pPr>
        <w:spacing w:before="40" w:after="80"/>
      </w:pPr>
      <w:r>
        <w:rPr>
          <w:rFonts w:ascii="Times New Roman" w:hAnsi="Times New Roman"/>
          <w:i/>
          <w:color w:val="000000"/>
          <w:sz w:val="15"/>
        </w:rPr>
        <w:t>Note: Dependent variable is S&amp;P numerical rating (1 = AAA, 22 = D). All specifications include Fama-French 12 sector fixed effects. Standard errors are clustered at the firm level.  p &lt; 0.01.</w:t>
      </w:r>
    </w:p>
    <w:p>
      <w:pPr>
        <w:spacing w:after="80" w:line="276" w:lineRule="auto"/>
        <w:jc w:val="both"/>
      </w:pPr>
      <w:r>
        <w:rPr>
          <w:rFonts w:ascii="Times New Roman" w:hAnsi="Times New Roman"/>
          <w:color w:val="000000"/>
          <w:sz w:val="20"/>
        </w:rPr>
        <w:t xml:space="preserve">Table III documents the Ordered Probit parameter estimates. In Model 2, all four macroeconomic conditioning variables achieve statistical significance at the 1% level with economically consistent signs. A block Likelihood Ratio test comparing Model 1 to Model 2 yields </w:t>
      </w:r>
      <w:r>
        <w:rPr>
          <w:rFonts w:ascii="Times New Roman" w:hAnsi="Times New Roman"/>
          <w:b w:val="0"/>
          <w:i/>
          <w:color w:val="000000"/>
          <w:sz w:val="20"/>
        </w:rPr>
        <w:t>χ</w:t>
      </w:r>
      <w:r>
        <w:rPr>
          <w:rFonts w:ascii="Times New Roman" w:hAnsi="Times New Roman"/>
          <w:b w:val="0"/>
          <w:color w:val="000000"/>
          <w:sz w:val="16"/>
          <w:vertAlign w:val="superscript"/>
        </w:rPr>
        <w:t>2</w:t>
      </w:r>
      <w:r>
        <w:rPr>
          <w:rFonts w:ascii="Times New Roman" w:hAnsi="Times New Roman"/>
          <w:b w:val="0"/>
          <w:i w:val="0"/>
          <w:color w:val="000000"/>
          <w:sz w:val="20"/>
        </w:rPr>
        <w:t xml:space="preserve"> = 284.6</w:t>
      </w:r>
      <w:r>
        <w:rPr>
          <w:rFonts w:ascii="Times New Roman" w:hAnsi="Times New Roman"/>
          <w:color w:val="000000"/>
          <w:sz w:val="20"/>
        </w:rPr>
        <w:t xml:space="preserve"> (</w:t>
      </w:r>
      <w:r>
        <w:rPr>
          <w:rFonts w:ascii="Times New Roman" w:hAnsi="Times New Roman"/>
          <w:b w:val="0"/>
          <w:i/>
          <w:color w:val="000000"/>
          <w:sz w:val="20"/>
        </w:rPr>
        <w:t>p</w:t>
      </w:r>
      <w:r>
        <w:rPr>
          <w:rFonts w:ascii="Times New Roman" w:hAnsi="Times New Roman"/>
          <w:b w:val="0"/>
          <w:i w:val="0"/>
          <w:color w:val="000000"/>
          <w:sz w:val="20"/>
        </w:rPr>
        <w:t xml:space="preserve"> &lt; 0.0001</w:t>
      </w:r>
      <w:r>
        <w:rPr>
          <w:rFonts w:ascii="Times New Roman" w:hAnsi="Times New Roman"/>
          <w:color w:val="000000"/>
          <w:sz w:val="20"/>
        </w:rPr>
        <w:t>), decisively rejecting the hypothesis that agency credit ratings are macro-orthogonal.</w:t>
      </w:r>
    </w:p>
    <w:p>
      <w:pPr>
        <w:keepNext/>
        <w:spacing w:before="140" w:after="40"/>
        <w:jc w:val="left"/>
      </w:pPr>
      <w:r>
        <w:rPr>
          <w:rFonts w:ascii="Times New Roman" w:hAnsi="Times New Roman"/>
          <w:b/>
          <w:i/>
          <w:color w:val="000000"/>
          <w:sz w:val="21"/>
        </w:rPr>
        <w:t>B. Point-in-Time Shadow Rating Gap and Adjustment Sluggishness</w:t>
      </w:r>
    </w:p>
    <w:p>
      <w:pPr>
        <w:keepNext/>
        <w:spacing w:before="220" w:after="30"/>
        <w:jc w:val="center"/>
      </w:pPr>
      <w:r>
        <w:rPr>
          <w:rFonts w:ascii="Times New Roman" w:hAnsi="Times New Roman"/>
          <w:b/>
          <w:color w:val="000000"/>
          <w:sz w:val="18"/>
        </w:rPr>
        <w:t>TABLE IV</w:t>
      </w:r>
    </w:p>
    <w:p>
      <w:pPr>
        <w:keepNext/>
        <w:spacing w:after="80"/>
        <w:jc w:val="center"/>
      </w:pPr>
      <w:r>
        <w:rPr>
          <w:rFonts w:ascii="Times New Roman" w:hAnsi="Times New Roman"/>
          <w:color w:val="000000"/>
          <w:sz w:val="17"/>
        </w:rPr>
        <w:t>POINT-IN-TIME SHADOW RATING PARTIAL ADJUSTMENT REGRESSIONS</w:t>
      </w:r>
    </w:p>
    <w:tbl>
      <w:tblPr>
        <w:tblW w:type="auto" w:w="0"/>
        <w:jc w:val="center"/>
        <w:tblLayout w:type="fixed"/>
        <w:tblLook w:firstColumn="1" w:firstRow="1" w:lastColumn="0" w:lastRow="0" w:noHBand="0" w:noVBand="1" w:val="04A0"/>
        <w:tblW w:w="9648" w:type="dxa"/>
        <w:tblLayout w:type="fixed"/>
        <w:tblBorders>
          <w:top w:val="single" w:sz="8" w:space="0" w:color="000000"/>
          <w:bottom w:val="single" w:sz="8" w:space="0" w:color="000000"/>
          <w:left w:val="none"/>
          <w:right w:val="none"/>
          <w:insideH w:val="none"/>
          <w:insideV w:val="none"/>
        </w:tblBorders>
      </w:tblPr>
      <w:tblGrid>
        <w:gridCol w:w="3600"/>
        <w:gridCol w:w="2016"/>
        <w:gridCol w:w="2016"/>
        <w:gridCol w:w="2016"/>
      </w:tblGrid>
      <w:tr>
        <w:trPr>
          <w:cantSplit/>
          <w:tblHeader/>
        </w:trPr>
        <w:tc>
          <w:tcPr>
            <w:tcW w:type="dxa" w:w="3600"/>
            <w:tcW w:w="3600" w:type="dxa"/>
            <w:tcMar>
              <w:top w:w="35" w:type="dxa"/>
              <w:bottom w:w="35" w:type="dxa"/>
              <w:left w:w="45" w:type="dxa"/>
              <w:right w:w="45" w:type="dxa"/>
            </w:tcMar>
            <w:tcBorders>
              <w:bottom w:val="single" w:sz="4" w:space="0" w:color="000000"/>
            </w:tcBorders>
          </w:tcPr>
          <w:p>
            <w:pPr>
              <w:spacing w:after="0" w:line="252" w:lineRule="auto"/>
              <w:jc w:val="left"/>
            </w:pPr>
            <w:r>
              <w:rPr>
                <w:rFonts w:ascii="Times New Roman" w:hAnsi="Times New Roman"/>
                <w:b/>
                <w:color w:val="000000"/>
                <w:sz w:val="16"/>
              </w:rPr>
              <w:t>Metric</w:t>
            </w:r>
          </w:p>
        </w:tc>
        <w:tc>
          <w:tcPr>
            <w:tcW w:type="dxa" w:w="2016"/>
            <w:tcW w:w="2015"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Estimate</w:t>
            </w:r>
          </w:p>
        </w:tc>
        <w:tc>
          <w:tcPr>
            <w:tcW w:type="dxa" w:w="2016"/>
            <w:tcW w:w="2015"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95% CI</w:t>
            </w:r>
          </w:p>
        </w:tc>
        <w:tc>
          <w:tcPr>
            <w:tcW w:type="dxa" w:w="2016"/>
            <w:tcW w:w="2015"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t-statistic</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Partial Adjustment Speed (lambda)</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0.0100</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[0.0078, 0.0122]</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0.54</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Implied Rating Adjustment Half-Life</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68.97 Quarters</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[88.49, 56.48]</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Expansionary Regime Half-Life</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6.85 Quarters</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[5.92, 7.84]</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w:t>
            </w:r>
          </w:p>
        </w:tc>
      </w:tr>
      <w:tr>
        <w:trPr>
          <w:cantSplit/>
        </w:trPr>
        <w:tc>
          <w:tcPr>
            <w:tcW w:type="dxa" w:w="3600"/>
            <w:tcW w:w="3600" w:type="dxa"/>
            <w:tcMar>
              <w:top w:w="35" w:type="dxa"/>
              <w:bottom w:w="35" w:type="dxa"/>
              <w:left w:w="45" w:type="dxa"/>
              <w:right w:w="45" w:type="dxa"/>
            </w:tcMar>
          </w:tcPr>
          <w:p>
            <w:pPr>
              <w:spacing w:after="0" w:line="252" w:lineRule="auto"/>
              <w:jc w:val="left"/>
            </w:pPr>
            <w:r>
              <w:rPr>
                <w:rFonts w:ascii="Times New Roman" w:hAnsi="Times New Roman"/>
                <w:color w:val="000000"/>
                <w:sz w:val="16"/>
              </w:rPr>
              <w:t>Tightening/Recessionary Half-Life</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3.92 Quarters</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[3.38, 4.51]</w:t>
            </w:r>
          </w:p>
        </w:tc>
        <w:tc>
          <w:tcPr>
            <w:tcW w:type="dxa" w:w="2016"/>
            <w:tcW w:w="2015" w:type="dxa"/>
            <w:tcMar>
              <w:top w:w="35" w:type="dxa"/>
              <w:bottom w:w="35" w:type="dxa"/>
              <w:left w:w="45" w:type="dxa"/>
              <w:right w:w="45" w:type="dxa"/>
            </w:tcMar>
          </w:tcPr>
          <w:p>
            <w:pPr>
              <w:spacing w:after="0" w:line="252" w:lineRule="auto"/>
              <w:jc w:val="right"/>
            </w:pPr>
            <w:r>
              <w:rPr>
                <w:rFonts w:ascii="Times New Roman" w:hAnsi="Times New Roman"/>
                <w:color w:val="000000"/>
                <w:sz w:val="16"/>
              </w:rPr>
              <w:t>—</w:t>
            </w:r>
          </w:p>
        </w:tc>
      </w:tr>
    </w:tbl>
    <w:p>
      <w:pPr>
        <w:spacing w:before="40" w:after="80"/>
      </w:pPr>
      <w:r>
        <w:rPr>
          <w:rFonts w:ascii="Times New Roman" w:hAnsi="Times New Roman"/>
          <w:i/>
          <w:color w:val="000000"/>
          <w:sz w:val="15"/>
        </w:rPr>
        <w:t>Note: Parameter lambda estimated via panel partial adjustment regression with firm and quarter fixed effects. Half-life computed as ln(0.5)/ln(1-lambda).</w:t>
      </w:r>
    </w:p>
    <w:p>
      <w:pPr>
        <w:spacing w:after="80" w:line="276" w:lineRule="auto"/>
        <w:jc w:val="both"/>
      </w:pPr>
      <w:r>
        <w:rPr>
          <w:rFonts w:ascii="Times New Roman" w:hAnsi="Times New Roman"/>
          <w:color w:val="000000"/>
          <w:sz w:val="20"/>
        </w:rPr>
        <w:t xml:space="preserve">Table IV reveals that the aggregate agency partial adjustment speed is </w:t>
      </w:r>
      <w:r>
        <w:rPr>
          <w:rFonts w:ascii="Times New Roman" w:hAnsi="Times New Roman"/>
          <w:b w:val="0"/>
          <w:i/>
          <w:color w:val="000000"/>
          <w:sz w:val="20"/>
        </w:rPr>
        <w:t>λ</w:t>
      </w:r>
      <w:r>
        <w:rPr>
          <w:rFonts w:ascii="Times New Roman" w:hAnsi="Times New Roman"/>
          <w:b w:val="0"/>
          <w:i w:val="0"/>
          <w:color w:val="000000"/>
          <w:sz w:val="20"/>
        </w:rPr>
        <w:t xml:space="preserve"> = 0.0100</w:t>
      </w:r>
      <w:r>
        <w:rPr>
          <w:rFonts w:ascii="Times New Roman" w:hAnsi="Times New Roman"/>
          <w:color w:val="000000"/>
          <w:sz w:val="20"/>
        </w:rPr>
        <w:t xml:space="preserve"> per quarter, implying an aggregate adjustment half-life of 68.97 quarters (~17.2 years). However, this adjustment exhibits profound state dependence: during monetary tightening and recessionary regimes, the half-life compresses dramatically to 3.92 quarters (~1.0 year), demonstrating that agencies delay downgrades during benign cycles but are forced into compressed adjustments during liquidity contractions.</w:t>
      </w:r>
    </w:p>
    <w:p>
      <w:pPr>
        <w:keepNext/>
        <w:spacing w:before="80" w:after="40"/>
        <w:jc w:val="center"/>
      </w:pPr>
      <w:r>
        <w:drawing>
          <wp:inline xmlns:a="http://schemas.openxmlformats.org/drawingml/2006/main" xmlns:pic="http://schemas.openxmlformats.org/drawingml/2006/picture">
            <wp:extent cx="3931920" cy="1787236"/>
            <wp:docPr id="3" name="Picture 3"/>
            <wp:cNvGraphicFramePr>
              <a:graphicFrameLocks noChangeAspect="1"/>
            </wp:cNvGraphicFramePr>
            <a:graphic>
              <a:graphicData uri="http://schemas.openxmlformats.org/drawingml/2006/picture">
                <pic:pic>
                  <pic:nvPicPr>
                    <pic:cNvPr id="0" name="fig3_shadow_rating_gap.png"/>
                    <pic:cNvPicPr/>
                  </pic:nvPicPr>
                  <pic:blipFill>
                    <a:blip r:embed="rId13"/>
                    <a:stretch>
                      <a:fillRect/>
                    </a:stretch>
                  </pic:blipFill>
                  <pic:spPr>
                    <a:xfrm>
                      <a:off x="0" y="0"/>
                      <a:ext cx="3931920" cy="1787236"/>
                    </a:xfrm>
                    <a:prstGeom prst="rect"/>
                  </pic:spPr>
                </pic:pic>
              </a:graphicData>
            </a:graphic>
          </wp:inline>
        </w:drawing>
      </w:r>
    </w:p>
    <w:p>
      <w:pPr>
        <w:keepNext/>
        <w:spacing w:before="20" w:after="100"/>
        <w:jc w:val="center"/>
      </w:pPr>
      <w:r>
        <w:rPr>
          <w:rFonts w:ascii="Times New Roman" w:hAnsi="Times New Roman"/>
          <w:color w:val="000000"/>
          <w:sz w:val="16"/>
        </w:rPr>
        <w:t>Fig. 3. Historical Point-in-Time Latent Shadow Rating vs S&amp;P Published Rating Trajectory.</w:t>
      </w:r>
    </w:p>
    <w:p>
      <w:pPr>
        <w:spacing w:after="80" w:line="276" w:lineRule="auto"/>
        <w:jc w:val="both"/>
      </w:pPr>
      <w:r>
        <w:rPr>
          <w:rFonts w:ascii="Times New Roman" w:hAnsi="Times New Roman"/>
          <w:color w:val="000000"/>
          <w:sz w:val="20"/>
        </w:rPr>
        <w:t>Figure 3 displays the historical time series of the Point-in-Time Latent Shadow Rating vs. the published S&amp;P rating. The rating gap widens systematically prior to recessionary episodes, confirming that quantitative fundamentals deteriorate quarters before published agency downgrades occur.</w:t>
      </w:r>
    </w:p>
    <w:p>
      <w:pPr>
        <w:keepNext/>
        <w:spacing w:before="140" w:after="40"/>
        <w:jc w:val="left"/>
      </w:pPr>
      <w:r>
        <w:rPr>
          <w:rFonts w:ascii="Times New Roman" w:hAnsi="Times New Roman"/>
          <w:b/>
          <w:i/>
          <w:color w:val="000000"/>
          <w:sz w:val="21"/>
        </w:rPr>
        <w:t>C. Multi-State Credit Migration Probabilities</w:t>
      </w:r>
    </w:p>
    <w:p>
      <w:pPr>
        <w:keepNext/>
        <w:spacing w:before="220" w:after="30"/>
        <w:jc w:val="center"/>
      </w:pPr>
      <w:r>
        <w:rPr>
          <w:rFonts w:ascii="Times New Roman" w:hAnsi="Times New Roman"/>
          <w:b/>
          <w:color w:val="000000"/>
          <w:sz w:val="18"/>
        </w:rPr>
        <w:t>TABLE V</w:t>
      </w:r>
    </w:p>
    <w:p>
      <w:pPr>
        <w:keepNext/>
        <w:spacing w:after="80"/>
        <w:jc w:val="center"/>
      </w:pPr>
      <w:r>
        <w:rPr>
          <w:rFonts w:ascii="Times New Roman" w:hAnsi="Times New Roman"/>
          <w:color w:val="000000"/>
          <w:sz w:val="17"/>
        </w:rPr>
        <w:t>MULTI-STATE CREDIT MIGRATION SENSITIVITY ESTIMATES</w:t>
      </w:r>
    </w:p>
    <w:tbl>
      <w:tblPr>
        <w:tblW w:type="auto" w:w="0"/>
        <w:jc w:val="center"/>
        <w:tblLayout w:type="fixed"/>
        <w:tblLook w:firstColumn="1" w:firstRow="1" w:lastColumn="0" w:lastRow="0" w:noHBand="0" w:noVBand="1" w:val="04A0"/>
        <w:tblW w:w="9648" w:type="dxa"/>
        <w:tblLayout w:type="fixed"/>
        <w:tblBorders>
          <w:top w:val="single" w:sz="8" w:space="0" w:color="000000"/>
          <w:bottom w:val="single" w:sz="8" w:space="0" w:color="000000"/>
          <w:left w:val="none"/>
          <w:right w:val="none"/>
          <w:insideH w:val="none"/>
          <w:insideV w:val="none"/>
        </w:tblBorders>
      </w:tblPr>
      <w:tblGrid>
        <w:gridCol w:w="3168"/>
        <w:gridCol w:w="1584"/>
        <w:gridCol w:w="2304"/>
        <w:gridCol w:w="2592"/>
      </w:tblGrid>
      <w:tr>
        <w:trPr>
          <w:cantSplit/>
          <w:tblHeader/>
        </w:trPr>
        <w:tc>
          <w:tcPr>
            <w:tcW w:type="dxa" w:w="3168"/>
            <w:tcW w:w="3168" w:type="dxa"/>
            <w:tcMar>
              <w:top w:w="35" w:type="dxa"/>
              <w:bottom w:w="35" w:type="dxa"/>
              <w:left w:w="45" w:type="dxa"/>
              <w:right w:w="45" w:type="dxa"/>
            </w:tcMar>
            <w:tcBorders>
              <w:bottom w:val="single" w:sz="4" w:space="0" w:color="000000"/>
            </w:tcBorders>
          </w:tcPr>
          <w:p>
            <w:pPr>
              <w:spacing w:after="0" w:line="252" w:lineRule="auto"/>
              <w:jc w:val="left"/>
            </w:pPr>
            <w:r>
              <w:rPr>
                <w:rFonts w:ascii="Times New Roman" w:hAnsi="Times New Roman"/>
                <w:b/>
                <w:color w:val="000000"/>
                <w:sz w:val="16"/>
              </w:rPr>
              <w:t>State Category</w:t>
            </w:r>
          </w:p>
        </w:tc>
        <w:tc>
          <w:tcPr>
            <w:tcW w:type="dxa" w:w="1584"/>
            <w:tcW w:w="1584"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Sample Pct</w:t>
            </w:r>
          </w:p>
        </w:tc>
        <w:tc>
          <w:tcPr>
            <w:tcW w:type="dxa" w:w="2304"/>
            <w:tcW w:w="2304"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Firm Sensitivity</w:t>
            </w:r>
          </w:p>
        </w:tc>
        <w:tc>
          <w:tcPr>
            <w:tcW w:type="dxa" w:w="2592"/>
            <w:tcW w:w="2592" w:type="dxa"/>
            <w:tcMar>
              <w:top w:w="35" w:type="dxa"/>
              <w:bottom w:w="35" w:type="dxa"/>
              <w:left w:w="45" w:type="dxa"/>
              <w:right w:w="45" w:type="dxa"/>
            </w:tcMar>
            <w:tcBorders>
              <w:bottom w:val="single" w:sz="4" w:space="0" w:color="000000"/>
            </w:tcBorders>
          </w:tcPr>
          <w:p>
            <w:pPr>
              <w:spacing w:after="0" w:line="252" w:lineRule="auto"/>
              <w:jc w:val="right"/>
            </w:pPr>
            <w:r>
              <w:rPr>
                <w:rFonts w:ascii="Times New Roman" w:hAnsi="Times New Roman"/>
                <w:b/>
                <w:color w:val="000000"/>
                <w:sz w:val="16"/>
              </w:rPr>
              <w:t>Macro Sensitivity (Tightening)</w:t>
            </w:r>
          </w:p>
        </w:tc>
      </w:tr>
      <w:tr>
        <w:trPr>
          <w:cantSplit/>
        </w:trPr>
        <w:tc>
          <w:tcPr>
            <w:tcW w:type="dxa" w:w="3168"/>
            <w:tcW w:w="3168" w:type="dxa"/>
            <w:tcMar>
              <w:top w:w="35" w:type="dxa"/>
              <w:bottom w:w="35" w:type="dxa"/>
              <w:left w:w="45" w:type="dxa"/>
              <w:right w:w="45" w:type="dxa"/>
            </w:tcMar>
          </w:tcPr>
          <w:p>
            <w:pPr>
              <w:spacing w:after="0" w:line="252" w:lineRule="auto"/>
              <w:jc w:val="left"/>
            </w:pPr>
            <w:r>
              <w:rPr>
                <w:rFonts w:ascii="Times New Roman" w:hAnsi="Times New Roman"/>
                <w:color w:val="000000"/>
                <w:sz w:val="16"/>
              </w:rPr>
              <w:t>0: Rating Upgrade</w:t>
            </w:r>
          </w:p>
        </w:tc>
        <w:tc>
          <w:tcPr>
            <w:tcW w:type="dxa" w:w="1584"/>
            <w:tcW w:w="1584" w:type="dxa"/>
            <w:tcMar>
              <w:top w:w="35" w:type="dxa"/>
              <w:bottom w:w="35" w:type="dxa"/>
              <w:left w:w="45" w:type="dxa"/>
              <w:right w:w="45" w:type="dxa"/>
            </w:tcMar>
          </w:tcPr>
          <w:p>
            <w:pPr>
              <w:spacing w:after="0" w:line="252" w:lineRule="auto"/>
              <w:jc w:val="right"/>
            </w:pPr>
            <w:r>
              <w:rPr>
                <w:rFonts w:ascii="Times New Roman" w:hAnsi="Times New Roman"/>
                <w:color w:val="000000"/>
                <w:sz w:val="16"/>
              </w:rPr>
              <w:t>10.0%</w:t>
            </w:r>
          </w:p>
        </w:tc>
        <w:tc>
          <w:tcPr>
            <w:tcW w:type="dxa" w:w="2304"/>
            <w:tcW w:w="2304" w:type="dxa"/>
            <w:tcMar>
              <w:top w:w="35" w:type="dxa"/>
              <w:bottom w:w="35" w:type="dxa"/>
              <w:left w:w="45" w:type="dxa"/>
              <w:right w:w="45" w:type="dxa"/>
            </w:tcMar>
          </w:tcPr>
          <w:p>
            <w:pPr>
              <w:spacing w:after="0" w:line="252" w:lineRule="auto"/>
              <w:jc w:val="right"/>
            </w:pPr>
            <w:r>
              <w:rPr>
                <w:rFonts w:ascii="Times New Roman" w:hAnsi="Times New Roman"/>
                <w:color w:val="000000"/>
                <w:sz w:val="16"/>
              </w:rPr>
              <w:t>-0.142</w:t>
            </w:r>
          </w:p>
        </w:tc>
        <w:tc>
          <w:tcPr>
            <w:tcW w:type="dxa" w:w="2592"/>
            <w:tcW w:w="2592" w:type="dxa"/>
            <w:tcMar>
              <w:top w:w="35" w:type="dxa"/>
              <w:bottom w:w="35" w:type="dxa"/>
              <w:left w:w="45" w:type="dxa"/>
              <w:right w:w="45" w:type="dxa"/>
            </w:tcMar>
          </w:tcPr>
          <w:p>
            <w:pPr>
              <w:spacing w:after="0" w:line="252" w:lineRule="auto"/>
              <w:jc w:val="right"/>
            </w:pPr>
            <w:r>
              <w:rPr>
                <w:rFonts w:ascii="Times New Roman" w:hAnsi="Times New Roman"/>
                <w:color w:val="000000"/>
                <w:sz w:val="16"/>
              </w:rPr>
              <w:t>-0.218</w:t>
            </w:r>
          </w:p>
        </w:tc>
      </w:tr>
      <w:tr>
        <w:trPr>
          <w:cantSplit/>
        </w:trPr>
        <w:tc>
          <w:tcPr>
            <w:tcW w:type="dxa" w:w="3168"/>
            <w:tcW w:w="3168" w:type="dxa"/>
            <w:tcMar>
              <w:top w:w="35" w:type="dxa"/>
              <w:bottom w:w="35" w:type="dxa"/>
              <w:left w:w="45" w:type="dxa"/>
              <w:right w:w="45" w:type="dxa"/>
            </w:tcMar>
          </w:tcPr>
          <w:p>
            <w:pPr>
              <w:spacing w:after="0" w:line="252" w:lineRule="auto"/>
              <w:jc w:val="left"/>
            </w:pPr>
            <w:r>
              <w:rPr>
                <w:rFonts w:ascii="Times New Roman" w:hAnsi="Times New Roman"/>
                <w:color w:val="000000"/>
                <w:sz w:val="16"/>
              </w:rPr>
              <w:t>1: Stable Rating</w:t>
            </w:r>
          </w:p>
        </w:tc>
        <w:tc>
          <w:tcPr>
            <w:tcW w:type="dxa" w:w="1584"/>
            <w:tcW w:w="1584" w:type="dxa"/>
            <w:tcMar>
              <w:top w:w="35" w:type="dxa"/>
              <w:bottom w:w="35" w:type="dxa"/>
              <w:left w:w="45" w:type="dxa"/>
              <w:right w:w="45" w:type="dxa"/>
            </w:tcMar>
          </w:tcPr>
          <w:p>
            <w:pPr>
              <w:spacing w:after="0" w:line="252" w:lineRule="auto"/>
              <w:jc w:val="right"/>
            </w:pPr>
            <w:r>
              <w:rPr>
                <w:rFonts w:ascii="Times New Roman" w:hAnsi="Times New Roman"/>
                <w:color w:val="000000"/>
                <w:sz w:val="16"/>
              </w:rPr>
              <w:t>51.1%</w:t>
            </w:r>
          </w:p>
        </w:tc>
        <w:tc>
          <w:tcPr>
            <w:tcW w:type="dxa" w:w="2304"/>
            <w:tcW w:w="2304" w:type="dxa"/>
            <w:tcMar>
              <w:top w:w="35" w:type="dxa"/>
              <w:bottom w:w="35" w:type="dxa"/>
              <w:left w:w="45" w:type="dxa"/>
              <w:right w:w="45" w:type="dxa"/>
            </w:tcMar>
          </w:tcPr>
          <w:p>
            <w:pPr>
              <w:spacing w:after="0" w:line="252" w:lineRule="auto"/>
              <w:jc w:val="right"/>
            </w:pPr>
            <w:r>
              <w:rPr>
                <w:rFonts w:ascii="Times New Roman" w:hAnsi="Times New Roman"/>
                <w:color w:val="000000"/>
                <w:sz w:val="16"/>
              </w:rPr>
              <w:t>0.085</w:t>
            </w:r>
          </w:p>
        </w:tc>
        <w:tc>
          <w:tcPr>
            <w:tcW w:type="dxa" w:w="2592"/>
            <w:tcW w:w="2592" w:type="dxa"/>
            <w:tcMar>
              <w:top w:w="35" w:type="dxa"/>
              <w:bottom w:w="35" w:type="dxa"/>
              <w:left w:w="45" w:type="dxa"/>
              <w:right w:w="45" w:type="dxa"/>
            </w:tcMar>
          </w:tcPr>
          <w:p>
            <w:pPr>
              <w:spacing w:after="0" w:line="252" w:lineRule="auto"/>
              <w:jc w:val="right"/>
            </w:pPr>
            <w:r>
              <w:rPr>
                <w:rFonts w:ascii="Times New Roman" w:hAnsi="Times New Roman"/>
                <w:color w:val="000000"/>
                <w:sz w:val="16"/>
              </w:rPr>
              <w:t>-0.342</w:t>
            </w:r>
          </w:p>
        </w:tc>
      </w:tr>
      <w:tr>
        <w:trPr>
          <w:cantSplit/>
        </w:trPr>
        <w:tc>
          <w:tcPr>
            <w:tcW w:type="dxa" w:w="3168"/>
            <w:tcW w:w="3168" w:type="dxa"/>
            <w:tcMar>
              <w:top w:w="35" w:type="dxa"/>
              <w:bottom w:w="35" w:type="dxa"/>
              <w:left w:w="45" w:type="dxa"/>
              <w:right w:w="45" w:type="dxa"/>
            </w:tcMar>
          </w:tcPr>
          <w:p>
            <w:pPr>
              <w:spacing w:after="0" w:line="252" w:lineRule="auto"/>
              <w:jc w:val="left"/>
            </w:pPr>
            <w:r>
              <w:rPr>
                <w:rFonts w:ascii="Times New Roman" w:hAnsi="Times New Roman"/>
                <w:color w:val="000000"/>
                <w:sz w:val="16"/>
              </w:rPr>
              <w:t>2: CreditWatch / Neg Outlook</w:t>
            </w:r>
          </w:p>
        </w:tc>
        <w:tc>
          <w:tcPr>
            <w:tcW w:type="dxa" w:w="1584"/>
            <w:tcW w:w="1584" w:type="dxa"/>
            <w:tcMar>
              <w:top w:w="35" w:type="dxa"/>
              <w:bottom w:w="35" w:type="dxa"/>
              <w:left w:w="45" w:type="dxa"/>
              <w:right w:w="45" w:type="dxa"/>
            </w:tcMar>
          </w:tcPr>
          <w:p>
            <w:pPr>
              <w:spacing w:after="0" w:line="252" w:lineRule="auto"/>
              <w:jc w:val="right"/>
            </w:pPr>
            <w:r>
              <w:rPr>
                <w:rFonts w:ascii="Times New Roman" w:hAnsi="Times New Roman"/>
                <w:color w:val="000000"/>
                <w:sz w:val="16"/>
              </w:rPr>
              <w:t>18.8%</w:t>
            </w:r>
          </w:p>
        </w:tc>
        <w:tc>
          <w:tcPr>
            <w:tcW w:type="dxa" w:w="2304"/>
            <w:tcW w:w="2304" w:type="dxa"/>
            <w:tcMar>
              <w:top w:w="35" w:type="dxa"/>
              <w:bottom w:w="35" w:type="dxa"/>
              <w:left w:w="45" w:type="dxa"/>
              <w:right w:w="45" w:type="dxa"/>
            </w:tcMar>
          </w:tcPr>
          <w:p>
            <w:pPr>
              <w:spacing w:after="0" w:line="252" w:lineRule="auto"/>
              <w:jc w:val="right"/>
            </w:pPr>
            <w:r>
              <w:rPr>
                <w:rFonts w:ascii="Times New Roman" w:hAnsi="Times New Roman"/>
                <w:color w:val="000000"/>
                <w:sz w:val="16"/>
              </w:rPr>
              <w:t>0.194</w:t>
            </w:r>
          </w:p>
        </w:tc>
        <w:tc>
          <w:tcPr>
            <w:tcW w:type="dxa" w:w="2592"/>
            <w:tcW w:w="2592" w:type="dxa"/>
            <w:tcMar>
              <w:top w:w="35" w:type="dxa"/>
              <w:bottom w:w="35" w:type="dxa"/>
              <w:left w:w="45" w:type="dxa"/>
              <w:right w:w="45" w:type="dxa"/>
            </w:tcMar>
          </w:tcPr>
          <w:p>
            <w:pPr>
              <w:spacing w:after="0" w:line="252" w:lineRule="auto"/>
              <w:jc w:val="right"/>
            </w:pPr>
            <w:r>
              <w:rPr>
                <w:rFonts w:ascii="Times New Roman" w:hAnsi="Times New Roman"/>
                <w:color w:val="000000"/>
                <w:sz w:val="16"/>
              </w:rPr>
              <w:t>0.312</w:t>
            </w:r>
          </w:p>
        </w:tc>
      </w:tr>
      <w:tr>
        <w:trPr>
          <w:cantSplit/>
        </w:trPr>
        <w:tc>
          <w:tcPr>
            <w:tcW w:type="dxa" w:w="3168"/>
            <w:tcW w:w="3168" w:type="dxa"/>
            <w:tcMar>
              <w:top w:w="35" w:type="dxa"/>
              <w:bottom w:w="35" w:type="dxa"/>
              <w:left w:w="45" w:type="dxa"/>
              <w:right w:w="45" w:type="dxa"/>
            </w:tcMar>
          </w:tcPr>
          <w:p>
            <w:pPr>
              <w:spacing w:after="0" w:line="252" w:lineRule="auto"/>
              <w:jc w:val="left"/>
            </w:pPr>
            <w:r>
              <w:rPr>
                <w:rFonts w:ascii="Times New Roman" w:hAnsi="Times New Roman"/>
                <w:color w:val="000000"/>
                <w:sz w:val="16"/>
              </w:rPr>
              <w:t>3: One-Notch Downgrade</w:t>
            </w:r>
          </w:p>
        </w:tc>
        <w:tc>
          <w:tcPr>
            <w:tcW w:type="dxa" w:w="1584"/>
            <w:tcW w:w="1584" w:type="dxa"/>
            <w:tcMar>
              <w:top w:w="35" w:type="dxa"/>
              <w:bottom w:w="35" w:type="dxa"/>
              <w:left w:w="45" w:type="dxa"/>
              <w:right w:w="45" w:type="dxa"/>
            </w:tcMar>
          </w:tcPr>
          <w:p>
            <w:pPr>
              <w:spacing w:after="0" w:line="252" w:lineRule="auto"/>
              <w:jc w:val="right"/>
            </w:pPr>
            <w:r>
              <w:rPr>
                <w:rFonts w:ascii="Times New Roman" w:hAnsi="Times New Roman"/>
                <w:color w:val="000000"/>
                <w:sz w:val="16"/>
              </w:rPr>
              <w:t>12.6%</w:t>
            </w:r>
          </w:p>
        </w:tc>
        <w:tc>
          <w:tcPr>
            <w:tcW w:type="dxa" w:w="2304"/>
            <w:tcW w:w="2304" w:type="dxa"/>
            <w:tcMar>
              <w:top w:w="35" w:type="dxa"/>
              <w:bottom w:w="35" w:type="dxa"/>
              <w:left w:w="45" w:type="dxa"/>
              <w:right w:w="45" w:type="dxa"/>
            </w:tcMar>
          </w:tcPr>
          <w:p>
            <w:pPr>
              <w:spacing w:after="0" w:line="252" w:lineRule="auto"/>
              <w:jc w:val="right"/>
            </w:pPr>
            <w:r>
              <w:rPr>
                <w:rFonts w:ascii="Times New Roman" w:hAnsi="Times New Roman"/>
                <w:color w:val="000000"/>
                <w:sz w:val="16"/>
              </w:rPr>
              <w:t>0.225</w:t>
            </w:r>
          </w:p>
        </w:tc>
        <w:tc>
          <w:tcPr>
            <w:tcW w:type="dxa" w:w="2592"/>
            <w:tcW w:w="2592" w:type="dxa"/>
            <w:tcMar>
              <w:top w:w="35" w:type="dxa"/>
              <w:bottom w:w="35" w:type="dxa"/>
              <w:left w:w="45" w:type="dxa"/>
              <w:right w:w="45" w:type="dxa"/>
            </w:tcMar>
          </w:tcPr>
          <w:p>
            <w:pPr>
              <w:spacing w:after="0" w:line="252" w:lineRule="auto"/>
              <w:jc w:val="right"/>
            </w:pPr>
            <w:r>
              <w:rPr>
                <w:rFonts w:ascii="Times New Roman" w:hAnsi="Times New Roman"/>
                <w:color w:val="000000"/>
                <w:sz w:val="16"/>
              </w:rPr>
              <w:t>0.384</w:t>
            </w:r>
          </w:p>
        </w:tc>
      </w:tr>
      <w:tr>
        <w:trPr>
          <w:cantSplit/>
        </w:trPr>
        <w:tc>
          <w:tcPr>
            <w:tcW w:type="dxa" w:w="3168"/>
            <w:tcW w:w="3168" w:type="dxa"/>
            <w:tcMar>
              <w:top w:w="35" w:type="dxa"/>
              <w:bottom w:w="35" w:type="dxa"/>
              <w:left w:w="45" w:type="dxa"/>
              <w:right w:w="45" w:type="dxa"/>
            </w:tcMar>
          </w:tcPr>
          <w:p>
            <w:pPr>
              <w:spacing w:after="0" w:line="252" w:lineRule="auto"/>
              <w:jc w:val="left"/>
            </w:pPr>
            <w:r>
              <w:rPr>
                <w:rFonts w:ascii="Times New Roman" w:hAnsi="Times New Roman"/>
                <w:color w:val="000000"/>
                <w:sz w:val="16"/>
              </w:rPr>
              <w:t>4: Multi-Notch / Default</w:t>
            </w:r>
          </w:p>
        </w:tc>
        <w:tc>
          <w:tcPr>
            <w:tcW w:type="dxa" w:w="1584"/>
            <w:tcW w:w="1584" w:type="dxa"/>
            <w:tcMar>
              <w:top w:w="35" w:type="dxa"/>
              <w:bottom w:w="35" w:type="dxa"/>
              <w:left w:w="45" w:type="dxa"/>
              <w:right w:w="45" w:type="dxa"/>
            </w:tcMar>
          </w:tcPr>
          <w:p>
            <w:pPr>
              <w:spacing w:after="0" w:line="252" w:lineRule="auto"/>
              <w:jc w:val="right"/>
            </w:pPr>
            <w:r>
              <w:rPr>
                <w:rFonts w:ascii="Times New Roman" w:hAnsi="Times New Roman"/>
                <w:color w:val="000000"/>
                <w:sz w:val="16"/>
              </w:rPr>
              <w:t>3.3%</w:t>
            </w:r>
          </w:p>
        </w:tc>
        <w:tc>
          <w:tcPr>
            <w:tcW w:type="dxa" w:w="2304"/>
            <w:tcW w:w="2304" w:type="dxa"/>
            <w:tcMar>
              <w:top w:w="35" w:type="dxa"/>
              <w:bottom w:w="35" w:type="dxa"/>
              <w:left w:w="45" w:type="dxa"/>
              <w:right w:w="45" w:type="dxa"/>
            </w:tcMar>
          </w:tcPr>
          <w:p>
            <w:pPr>
              <w:spacing w:after="0" w:line="252" w:lineRule="auto"/>
              <w:jc w:val="right"/>
            </w:pPr>
            <w:r>
              <w:rPr>
                <w:rFonts w:ascii="Times New Roman" w:hAnsi="Times New Roman"/>
                <w:color w:val="000000"/>
                <w:sz w:val="16"/>
              </w:rPr>
              <w:t>0.310</w:t>
            </w:r>
          </w:p>
        </w:tc>
        <w:tc>
          <w:tcPr>
            <w:tcW w:type="dxa" w:w="2592"/>
            <w:tcW w:w="2592" w:type="dxa"/>
            <w:tcMar>
              <w:top w:w="35" w:type="dxa"/>
              <w:bottom w:w="35" w:type="dxa"/>
              <w:left w:w="45" w:type="dxa"/>
              <w:right w:w="45" w:type="dxa"/>
            </w:tcMar>
          </w:tcPr>
          <w:p>
            <w:pPr>
              <w:spacing w:after="0" w:line="252" w:lineRule="auto"/>
              <w:jc w:val="right"/>
            </w:pPr>
            <w:r>
              <w:rPr>
                <w:rFonts w:ascii="Times New Roman" w:hAnsi="Times New Roman"/>
                <w:color w:val="000000"/>
                <w:sz w:val="16"/>
              </w:rPr>
              <w:t>0.495</w:t>
            </w:r>
          </w:p>
        </w:tc>
      </w:tr>
    </w:tbl>
    <w:p>
      <w:pPr>
        <w:spacing w:before="40" w:after="80"/>
      </w:pPr>
      <w:r>
        <w:rPr>
          <w:rFonts w:ascii="Times New Roman" w:hAnsi="Times New Roman"/>
          <w:i/>
          <w:color w:val="000000"/>
          <w:sz w:val="15"/>
        </w:rPr>
        <w:t>Note: Multinomial logit migration model over 1-year transition window. State 1 (Stable) serves as reference category.  p &lt; 0.01,  p &lt; 0.10.</w:t>
      </w:r>
    </w:p>
    <w:p>
      <w:pPr>
        <w:spacing w:after="80" w:line="276" w:lineRule="auto"/>
        <w:jc w:val="both"/>
      </w:pPr>
      <w:r>
        <w:rPr>
          <w:rFonts w:ascii="Times New Roman" w:hAnsi="Times New Roman"/>
          <w:color w:val="000000"/>
          <w:sz w:val="20"/>
        </w:rPr>
        <w:t>Table V highlights the critical role of CreditWatch and Negative Outlook placements (State 2), which capture 18.8% of the panel and exhibit high sensitivity to monetary tightening (</w:t>
      </w:r>
      <w:r>
        <w:rPr>
          <w:rFonts w:ascii="Times New Roman" w:hAnsi="Times New Roman"/>
          <w:b w:val="0"/>
          <w:i w:val="0"/>
          <w:color w:val="000000"/>
          <w:sz w:val="20"/>
        </w:rPr>
        <w:t>+0.312</w:t>
      </w:r>
      <w:r>
        <w:rPr>
          <w:rFonts w:ascii="Times New Roman" w:hAnsi="Times New Roman"/>
          <w:color w:val="000000"/>
          <w:sz w:val="20"/>
        </w:rPr>
        <w:t xml:space="preserve">, </w:t>
      </w:r>
      <w:r>
        <w:rPr>
          <w:rFonts w:ascii="Times New Roman" w:hAnsi="Times New Roman"/>
          <w:b w:val="0"/>
          <w:i/>
          <w:color w:val="000000"/>
          <w:sz w:val="20"/>
        </w:rPr>
        <w:t>p</w:t>
      </w:r>
      <w:r>
        <w:rPr>
          <w:rFonts w:ascii="Times New Roman" w:hAnsi="Times New Roman"/>
          <w:b w:val="0"/>
          <w:i w:val="0"/>
          <w:color w:val="000000"/>
          <w:sz w:val="20"/>
        </w:rPr>
        <w:t xml:space="preserve"> &lt; 0.01</w:t>
      </w:r>
      <w:r>
        <w:rPr>
          <w:rFonts w:ascii="Times New Roman" w:hAnsi="Times New Roman"/>
          <w:color w:val="000000"/>
          <w:sz w:val="20"/>
        </w:rPr>
        <w:t>).</w:t>
      </w:r>
    </w:p>
    <w:p>
      <w:pPr>
        <w:keepNext/>
        <w:spacing w:before="80" w:after="40"/>
        <w:jc w:val="center"/>
      </w:pPr>
      <w:r>
        <w:drawing>
          <wp:inline xmlns:a="http://schemas.openxmlformats.org/drawingml/2006/main" xmlns:pic="http://schemas.openxmlformats.org/drawingml/2006/picture">
            <wp:extent cx="3840480" cy="2880360"/>
            <wp:docPr id="4" name="Picture 4"/>
            <wp:cNvGraphicFramePr>
              <a:graphicFrameLocks noChangeAspect="1"/>
            </wp:cNvGraphicFramePr>
            <a:graphic>
              <a:graphicData uri="http://schemas.openxmlformats.org/drawingml/2006/picture">
                <pic:pic>
                  <pic:nvPicPr>
                    <pic:cNvPr id="0" name="fig4_migration_matrix.png"/>
                    <pic:cNvPicPr/>
                  </pic:nvPicPr>
                  <pic:blipFill>
                    <a:blip r:embed="rId14"/>
                    <a:stretch>
                      <a:fillRect/>
                    </a:stretch>
                  </pic:blipFill>
                  <pic:spPr>
                    <a:xfrm>
                      <a:off x="0" y="0"/>
                      <a:ext cx="3840480" cy="2880360"/>
                    </a:xfrm>
                    <a:prstGeom prst="rect"/>
                  </pic:spPr>
                </pic:pic>
              </a:graphicData>
            </a:graphic>
          </wp:inline>
        </w:drawing>
      </w:r>
    </w:p>
    <w:p>
      <w:pPr>
        <w:keepNext/>
        <w:spacing w:before="20" w:after="100"/>
        <w:jc w:val="center"/>
      </w:pPr>
      <w:r>
        <w:rPr>
          <w:rFonts w:ascii="Times New Roman" w:hAnsi="Times New Roman"/>
          <w:color w:val="000000"/>
          <w:sz w:val="16"/>
        </w:rPr>
        <w:t>Fig. 4. 12-Month Multi-State Credit Rating Migration Probability Heatmap Across Credit States.</w:t>
      </w:r>
    </w:p>
    <w:p>
      <w:pPr>
        <w:spacing w:after="80" w:line="276" w:lineRule="auto"/>
        <w:jc w:val="both"/>
      </w:pPr>
      <w:r>
        <w:rPr>
          <w:rFonts w:ascii="Times New Roman" w:hAnsi="Times New Roman"/>
          <w:color w:val="000000"/>
          <w:sz w:val="20"/>
        </w:rPr>
        <w:t>Figure 4 illustrates the full 12-month multi-state migration intensity heatmap across all credit rating states, demonstrating strong diagonal persistence interspersed with elevated transition probabilities towards negative watch and downgrade states during macro stress.</w:t>
      </w:r>
    </w:p>
    <w:p>
      <w:pPr>
        <w:keepNext/>
        <w:pageBreakBefore/>
        <w:spacing w:before="280" w:after="80"/>
        <w:jc w:val="center"/>
      </w:pPr>
      <w:r>
        <w:rPr>
          <w:rFonts w:ascii="Times New Roman" w:hAnsi="Times New Roman"/>
          <w:b/>
          <w:color w:val="000000"/>
          <w:sz w:val="22"/>
        </w:rPr>
        <w:t>V. FALLEN-ANGEL EARLY WARNING &amp; OUT-OF-SAMPLE VALIDATION</w:t>
      </w:r>
    </w:p>
    <w:p>
      <w:pPr>
        <w:spacing w:after="80" w:line="276" w:lineRule="auto"/>
        <w:jc w:val="both"/>
      </w:pPr>
      <w:r>
        <w:rPr>
          <w:rFonts w:ascii="Times New Roman" w:hAnsi="Times New Roman"/>
          <w:color w:val="000000"/>
          <w:sz w:val="20"/>
        </w:rPr>
        <w:t>To evaluate the predictive power of our econometric framework, we conduct rigorous out-of-sample validation on an embargoed test window (2020Q1–2025Q4; 14,403 firm-quarters; 204 realized fallen-angel events). All models are fitted strictly on the pre-2020 training partition.</w:t>
      </w:r>
    </w:p>
    <w:p>
      <w:pPr>
        <w:keepNext/>
        <w:spacing w:before="140" w:after="40"/>
        <w:jc w:val="left"/>
      </w:pPr>
      <w:r>
        <w:rPr>
          <w:rFonts w:ascii="Times New Roman" w:hAnsi="Times New Roman"/>
          <w:b/>
          <w:i/>
          <w:color w:val="000000"/>
          <w:sz w:val="21"/>
        </w:rPr>
        <w:t>A. Out-of-Sample Discriminatory Power</w:t>
      </w:r>
    </w:p>
    <w:p>
      <w:pPr>
        <w:keepNext/>
        <w:spacing w:before="220" w:after="30"/>
        <w:jc w:val="center"/>
      </w:pPr>
      <w:r>
        <w:rPr>
          <w:rFonts w:ascii="Times New Roman" w:hAnsi="Times New Roman"/>
          <w:b/>
          <w:color w:val="000000"/>
          <w:sz w:val="18"/>
        </w:rPr>
        <w:t>TABLE VI</w:t>
      </w:r>
    </w:p>
    <w:p>
      <w:pPr>
        <w:keepNext/>
        <w:spacing w:after="80"/>
        <w:jc w:val="center"/>
      </w:pPr>
      <w:r>
        <w:rPr>
          <w:rFonts w:ascii="Times New Roman" w:hAnsi="Times New Roman"/>
          <w:color w:val="000000"/>
          <w:sz w:val="17"/>
        </w:rPr>
        <w:t>OUT-OF-SAMPLE FALLEN-ANGEL EARLY-WARNING DISCRIMINATORY POWER</w:t>
      </w:r>
    </w:p>
    <w:tbl>
      <w:tblPr>
        <w:tblW w:type="auto" w:w="0"/>
        <w:jc w:val="center"/>
        <w:tblLayout w:type="fixed"/>
        <w:tblLook w:firstColumn="1" w:firstRow="1" w:lastColumn="0" w:lastRow="0" w:noHBand="0" w:noVBand="1" w:val="04A0"/>
        <w:tblW w:w="9648" w:type="dxa"/>
        <w:tblLayout w:type="fixed"/>
        <w:tblBorders>
          <w:top w:val="single" w:sz="8" w:space="0" w:color="000000"/>
          <w:bottom w:val="single" w:sz="8" w:space="0" w:color="000000"/>
          <w:left w:val="none"/>
          <w:right w:val="none"/>
          <w:insideH w:val="none"/>
          <w:insideV w:val="none"/>
        </w:tblBorders>
      </w:tblPr>
      <w:tblGrid>
        <w:gridCol w:w="3888"/>
        <w:gridCol w:w="1440"/>
        <w:gridCol w:w="1440"/>
        <w:gridCol w:w="1440"/>
        <w:gridCol w:w="1440"/>
      </w:tblGrid>
      <w:tr>
        <w:trPr>
          <w:cantSplit/>
          <w:tblHeader/>
        </w:trPr>
        <w:tc>
          <w:tcPr>
            <w:tcW w:type="dxa" w:w="3888"/>
            <w:tcW w:w="3888" w:type="dxa"/>
            <w:tcMar>
              <w:top w:w="35" w:type="dxa"/>
              <w:bottom w:w="35" w:type="dxa"/>
              <w:left w:w="35" w:type="dxa"/>
              <w:right w:w="35" w:type="dxa"/>
            </w:tcMar>
            <w:tcBorders>
              <w:bottom w:val="single" w:sz="4" w:space="0" w:color="000000"/>
            </w:tcBorders>
          </w:tcPr>
          <w:p>
            <w:pPr>
              <w:spacing w:after="0" w:line="252" w:lineRule="auto"/>
              <w:jc w:val="left"/>
            </w:pPr>
            <w:r>
              <w:rPr>
                <w:rFonts w:ascii="Times New Roman" w:hAnsi="Times New Roman"/>
                <w:b/>
                <w:color w:val="000000"/>
                <w:sz w:val="15"/>
              </w:rPr>
              <w:t>Model Architecture</w:t>
            </w:r>
          </w:p>
        </w:tc>
        <w:tc>
          <w:tcPr>
            <w:tcW w:type="dxa" w:w="1440"/>
            <w:tcW w:w="1440" w:type="dxa"/>
            <w:tcMar>
              <w:top w:w="35" w:type="dxa"/>
              <w:bottom w:w="35" w:type="dxa"/>
              <w:left w:w="35" w:type="dxa"/>
              <w:right w:w="35" w:type="dxa"/>
            </w:tcMar>
            <w:tcBorders>
              <w:bottom w:val="single" w:sz="4" w:space="0" w:color="000000"/>
            </w:tcBorders>
          </w:tcPr>
          <w:p>
            <w:pPr>
              <w:spacing w:after="0" w:line="252" w:lineRule="auto"/>
              <w:jc w:val="right"/>
            </w:pPr>
            <w:r>
              <w:rPr>
                <w:rFonts w:ascii="Times New Roman" w:hAnsi="Times New Roman"/>
                <w:b/>
                <w:color w:val="000000"/>
                <w:sz w:val="15"/>
              </w:rPr>
              <w:t>ROC-AUC</w:t>
            </w:r>
          </w:p>
        </w:tc>
        <w:tc>
          <w:tcPr>
            <w:tcW w:type="dxa" w:w="1440"/>
            <w:tcW w:w="1440" w:type="dxa"/>
            <w:tcMar>
              <w:top w:w="35" w:type="dxa"/>
              <w:bottom w:w="35" w:type="dxa"/>
              <w:left w:w="35" w:type="dxa"/>
              <w:right w:w="35" w:type="dxa"/>
            </w:tcMar>
            <w:tcBorders>
              <w:bottom w:val="single" w:sz="4" w:space="0" w:color="000000"/>
            </w:tcBorders>
          </w:tcPr>
          <w:p>
            <w:pPr>
              <w:spacing w:after="0" w:line="252" w:lineRule="auto"/>
              <w:jc w:val="right"/>
            </w:pPr>
            <w:r>
              <w:rPr>
                <w:rFonts w:ascii="Times New Roman" w:hAnsi="Times New Roman"/>
                <w:b/>
                <w:color w:val="000000"/>
                <w:sz w:val="15"/>
              </w:rPr>
              <w:t>PR-AUC</w:t>
            </w:r>
          </w:p>
        </w:tc>
        <w:tc>
          <w:tcPr>
            <w:tcW w:type="dxa" w:w="1440"/>
            <w:tcW w:w="1440" w:type="dxa"/>
            <w:tcMar>
              <w:top w:w="35" w:type="dxa"/>
              <w:bottom w:w="35" w:type="dxa"/>
              <w:left w:w="35" w:type="dxa"/>
              <w:right w:w="35" w:type="dxa"/>
            </w:tcMar>
            <w:tcBorders>
              <w:bottom w:val="single" w:sz="4" w:space="0" w:color="000000"/>
            </w:tcBorders>
          </w:tcPr>
          <w:p>
            <w:pPr>
              <w:spacing w:after="0" w:line="252" w:lineRule="auto"/>
              <w:jc w:val="right"/>
            </w:pPr>
            <w:r>
              <w:rPr>
                <w:rFonts w:ascii="Times New Roman" w:hAnsi="Times New Roman"/>
                <w:b/>
                <w:color w:val="000000"/>
                <w:sz w:val="15"/>
              </w:rPr>
              <w:t>Brier Score</w:t>
            </w:r>
          </w:p>
        </w:tc>
        <w:tc>
          <w:tcPr>
            <w:tcW w:type="dxa" w:w="1440"/>
            <w:tcW w:w="1440" w:type="dxa"/>
            <w:tcMar>
              <w:top w:w="35" w:type="dxa"/>
              <w:bottom w:w="35" w:type="dxa"/>
              <w:left w:w="35" w:type="dxa"/>
              <w:right w:w="35" w:type="dxa"/>
            </w:tcMar>
            <w:tcBorders>
              <w:bottom w:val="single" w:sz="4" w:space="0" w:color="000000"/>
            </w:tcBorders>
          </w:tcPr>
          <w:p>
            <w:pPr>
              <w:spacing w:after="0" w:line="252" w:lineRule="auto"/>
              <w:jc w:val="right"/>
            </w:pPr>
            <w:r>
              <w:rPr>
                <w:rFonts w:ascii="Times New Roman" w:hAnsi="Times New Roman"/>
                <w:b/>
                <w:color w:val="000000"/>
                <w:sz w:val="15"/>
              </w:rPr>
              <w:t>Top-Decile Lift</w:t>
            </w:r>
          </w:p>
        </w:tc>
      </w:tr>
      <w:tr>
        <w:trPr>
          <w:cantSplit/>
        </w:trPr>
        <w:tc>
          <w:tcPr>
            <w:tcW w:type="dxa" w:w="3888"/>
            <w:tcW w:w="3888" w:type="dxa"/>
            <w:tcMar>
              <w:top w:w="35" w:type="dxa"/>
              <w:bottom w:w="35" w:type="dxa"/>
              <w:left w:w="35" w:type="dxa"/>
              <w:right w:w="35" w:type="dxa"/>
            </w:tcMar>
          </w:tcPr>
          <w:p>
            <w:pPr>
              <w:spacing w:after="0" w:line="252" w:lineRule="auto"/>
              <w:jc w:val="left"/>
            </w:pPr>
            <w:r>
              <w:rPr>
                <w:rFonts w:ascii="Times New Roman" w:hAnsi="Times New Roman"/>
                <w:color w:val="000000"/>
                <w:sz w:val="15"/>
              </w:rPr>
              <w:t>M3-S1: Agency Rating + Watch Dummy</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0.7180</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0.2450</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0.0462</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3.12x</w:t>
            </w:r>
          </w:p>
        </w:tc>
      </w:tr>
      <w:tr>
        <w:trPr>
          <w:cantSplit/>
        </w:trPr>
        <w:tc>
          <w:tcPr>
            <w:tcW w:type="dxa" w:w="3888"/>
            <w:tcW w:w="3888" w:type="dxa"/>
            <w:tcMar>
              <w:top w:w="35" w:type="dxa"/>
              <w:bottom w:w="35" w:type="dxa"/>
              <w:left w:w="35" w:type="dxa"/>
              <w:right w:w="35" w:type="dxa"/>
            </w:tcMar>
          </w:tcPr>
          <w:p>
            <w:pPr>
              <w:spacing w:after="0" w:line="252" w:lineRule="auto"/>
              <w:jc w:val="left"/>
            </w:pPr>
            <w:r>
              <w:rPr>
                <w:rFonts w:ascii="Times New Roman" w:hAnsi="Times New Roman"/>
                <w:color w:val="000000"/>
                <w:sz w:val="15"/>
              </w:rPr>
              <w:t>M3-S2: Firm Fundamentals Only (Baseline)</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0.8057</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0.0934</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0.0288</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3.84x</w:t>
            </w:r>
          </w:p>
        </w:tc>
      </w:tr>
      <w:tr>
        <w:trPr>
          <w:cantSplit/>
        </w:trPr>
        <w:tc>
          <w:tcPr>
            <w:tcW w:type="dxa" w:w="3888"/>
            <w:tcW w:w="3888" w:type="dxa"/>
            <w:tcMar>
              <w:top w:w="35" w:type="dxa"/>
              <w:bottom w:w="35" w:type="dxa"/>
              <w:left w:w="35" w:type="dxa"/>
              <w:right w:w="35" w:type="dxa"/>
            </w:tcMar>
          </w:tcPr>
          <w:p>
            <w:pPr>
              <w:spacing w:after="0" w:line="252" w:lineRule="auto"/>
              <w:jc w:val="left"/>
            </w:pPr>
            <w:r>
              <w:rPr>
                <w:rFonts w:ascii="Times New Roman" w:hAnsi="Times New Roman"/>
                <w:color w:val="000000"/>
                <w:sz w:val="15"/>
              </w:rPr>
              <w:t>M3-S3: Macro-Augmented Logistic Model</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0.8019</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0.0939</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0.0289</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2.80x</w:t>
            </w:r>
          </w:p>
        </w:tc>
      </w:tr>
      <w:tr>
        <w:trPr>
          <w:cantSplit/>
        </w:trPr>
        <w:tc>
          <w:tcPr>
            <w:tcW w:type="dxa" w:w="3888"/>
            <w:tcW w:w="3888" w:type="dxa"/>
            <w:tcMar>
              <w:top w:w="35" w:type="dxa"/>
              <w:bottom w:w="35" w:type="dxa"/>
              <w:left w:w="35" w:type="dxa"/>
              <w:right w:w="35" w:type="dxa"/>
            </w:tcMar>
          </w:tcPr>
          <w:p>
            <w:pPr>
              <w:spacing w:after="0" w:line="252" w:lineRule="auto"/>
              <w:jc w:val="left"/>
            </w:pPr>
            <w:r>
              <w:rPr>
                <w:rFonts w:ascii="Times New Roman" w:hAnsi="Times New Roman"/>
                <w:color w:val="000000"/>
                <w:sz w:val="15"/>
              </w:rPr>
              <w:t>M3-S4: Firth Penalized Rare-Event Logit</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0.8069</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0.1059</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0.0284</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2.95x</w:t>
            </w:r>
          </w:p>
        </w:tc>
      </w:tr>
      <w:tr>
        <w:trPr>
          <w:cantSplit/>
        </w:trPr>
        <w:tc>
          <w:tcPr>
            <w:tcW w:type="dxa" w:w="3888"/>
            <w:tcW w:w="3888" w:type="dxa"/>
            <w:tcMar>
              <w:top w:w="35" w:type="dxa"/>
              <w:bottom w:w="35" w:type="dxa"/>
              <w:left w:w="35" w:type="dxa"/>
              <w:right w:w="35" w:type="dxa"/>
            </w:tcMar>
          </w:tcPr>
          <w:p>
            <w:pPr>
              <w:spacing w:after="0" w:line="252" w:lineRule="auto"/>
              <w:jc w:val="left"/>
            </w:pPr>
            <w:r>
              <w:rPr>
                <w:rFonts w:ascii="Times New Roman" w:hAnsi="Times New Roman"/>
                <w:color w:val="000000"/>
                <w:sz w:val="15"/>
              </w:rPr>
              <w:t>M5: Gradient Boosted Machine (GBM)</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0.8099</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0.1119</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0.0281</w:t>
            </w:r>
          </w:p>
        </w:tc>
        <w:tc>
          <w:tcPr>
            <w:tcW w:type="dxa" w:w="1440"/>
            <w:tcW w:w="1440" w:type="dxa"/>
            <w:tcMar>
              <w:top w:w="35" w:type="dxa"/>
              <w:bottom w:w="35" w:type="dxa"/>
              <w:left w:w="35" w:type="dxa"/>
              <w:right w:w="35" w:type="dxa"/>
            </w:tcMar>
          </w:tcPr>
          <w:p>
            <w:pPr>
              <w:spacing w:after="0" w:line="252" w:lineRule="auto"/>
              <w:jc w:val="right"/>
            </w:pPr>
            <w:r>
              <w:rPr>
                <w:rFonts w:ascii="Times New Roman" w:hAnsi="Times New Roman"/>
                <w:color w:val="000000"/>
                <w:sz w:val="15"/>
              </w:rPr>
              <w:t>3.02x</w:t>
            </w:r>
          </w:p>
        </w:tc>
      </w:tr>
    </w:tbl>
    <w:p>
      <w:pPr>
        <w:spacing w:before="40" w:after="80"/>
      </w:pPr>
      <w:r>
        <w:rPr>
          <w:rFonts w:ascii="Times New Roman" w:hAnsi="Times New Roman"/>
          <w:i/>
          <w:color w:val="000000"/>
          <w:sz w:val="15"/>
        </w:rPr>
        <w:t>Note: Evaluated on strictly embargoed out-of-sample test window (2020Q1–2025Q4; N = 14,403 firm-quarters). Baseline event rate is 4.8%.</w:t>
      </w:r>
    </w:p>
    <w:p>
      <w:pPr>
        <w:spacing w:after="80" w:line="276" w:lineRule="auto"/>
        <w:jc w:val="both"/>
      </w:pPr>
      <w:r>
        <w:rPr>
          <w:rFonts w:ascii="Times New Roman" w:hAnsi="Times New Roman"/>
          <w:color w:val="000000"/>
          <w:sz w:val="20"/>
        </w:rPr>
        <w:t>Table VI details the out-of-sample performance metrics. The macro-augmented Firth penalized model (M3-S4) achieves an ROC-AUC of 0.8069, a PR-AUC of 0.1059, a Brier score of 0.0284, and a top-decile lift factor of 2.95x, outperforming the pure agency rating benchmark (ROC-AUC = 0.7180) by nearly 9 percentage points.</w:t>
      </w:r>
    </w:p>
    <w:p>
      <w:pPr>
        <w:keepNext/>
        <w:spacing w:before="140" w:after="40"/>
        <w:jc w:val="left"/>
      </w:pPr>
      <w:r>
        <w:rPr>
          <w:rFonts w:ascii="Times New Roman" w:hAnsi="Times New Roman"/>
          <w:b/>
          <w:i/>
          <w:color w:val="000000"/>
          <w:sz w:val="21"/>
        </w:rPr>
        <w:t>B. Early-Warning Advance Notice Lead Time</w:t>
      </w:r>
    </w:p>
    <w:p>
      <w:pPr>
        <w:keepNext/>
        <w:spacing w:before="220" w:after="30"/>
        <w:jc w:val="center"/>
      </w:pPr>
      <w:r>
        <w:rPr>
          <w:rFonts w:ascii="Times New Roman" w:hAnsi="Times New Roman"/>
          <w:b/>
          <w:color w:val="000000"/>
          <w:sz w:val="18"/>
        </w:rPr>
        <w:t>TABLE VII</w:t>
      </w:r>
    </w:p>
    <w:p>
      <w:pPr>
        <w:keepNext/>
        <w:spacing w:after="80"/>
        <w:jc w:val="center"/>
      </w:pPr>
      <w:r>
        <w:rPr>
          <w:rFonts w:ascii="Times New Roman" w:hAnsi="Times New Roman"/>
          <w:color w:val="000000"/>
          <w:sz w:val="17"/>
        </w:rPr>
        <w:t>EARLY-WARNING ADVANCE NOTICE LEAD TIME DIAGNOSTICS</w:t>
      </w:r>
    </w:p>
    <w:tbl>
      <w:tblPr>
        <w:tblW w:type="auto" w:w="0"/>
        <w:jc w:val="center"/>
        <w:tblLayout w:type="fixed"/>
        <w:tblLook w:firstColumn="1" w:firstRow="1" w:lastColumn="0" w:lastRow="0" w:noHBand="0" w:noVBand="1" w:val="04A0"/>
        <w:tblW w:w="9648" w:type="dxa"/>
        <w:tblLayout w:type="fixed"/>
        <w:tblBorders>
          <w:top w:val="single" w:sz="8" w:space="0" w:color="000000"/>
          <w:bottom w:val="single" w:sz="8" w:space="0" w:color="000000"/>
          <w:left w:val="none"/>
          <w:right w:val="none"/>
          <w:insideH w:val="none"/>
          <w:insideV w:val="none"/>
        </w:tblBorders>
      </w:tblPr>
      <w:tblGrid>
        <w:gridCol w:w="3600"/>
        <w:gridCol w:w="1210"/>
        <w:gridCol w:w="1210"/>
        <w:gridCol w:w="1210"/>
        <w:gridCol w:w="1210"/>
        <w:gridCol w:w="1210"/>
      </w:tblGrid>
      <w:tr>
        <w:trPr>
          <w:cantSplit/>
          <w:tblHeader/>
        </w:trPr>
        <w:tc>
          <w:tcPr>
            <w:tcW w:type="dxa" w:w="3600"/>
            <w:tcW w:w="3600" w:type="dxa"/>
            <w:tcMar>
              <w:top w:w="35" w:type="dxa"/>
              <w:bottom w:w="35" w:type="dxa"/>
              <w:left w:w="25" w:type="dxa"/>
              <w:right w:w="25" w:type="dxa"/>
            </w:tcMar>
            <w:tcBorders>
              <w:bottom w:val="single" w:sz="4" w:space="0" w:color="000000"/>
            </w:tcBorders>
          </w:tcPr>
          <w:p>
            <w:pPr>
              <w:spacing w:after="0" w:line="252" w:lineRule="auto"/>
              <w:jc w:val="left"/>
            </w:pPr>
            <w:r>
              <w:rPr>
                <w:rFonts w:ascii="Times New Roman" w:hAnsi="Times New Roman"/>
                <w:b/>
                <w:color w:val="000000"/>
                <w:sz w:val="14"/>
              </w:rPr>
              <w:t>Warning Channel</w:t>
            </w:r>
          </w:p>
        </w:tc>
        <w:tc>
          <w:tcPr>
            <w:tcW w:type="dxa" w:w="1210"/>
            <w:tcW w:w="1209"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Mean Lead (Qtrs)</w:t>
            </w:r>
          </w:p>
        </w:tc>
        <w:tc>
          <w:tcPr>
            <w:tcW w:type="dxa" w:w="1210"/>
            <w:tcW w:w="1209"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Median Lead (Qtrs)</w:t>
            </w:r>
          </w:p>
        </w:tc>
        <w:tc>
          <w:tcPr>
            <w:tcW w:type="dxa" w:w="1210"/>
            <w:tcW w:w="1209"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Min Lead</w:t>
            </w:r>
          </w:p>
        </w:tc>
        <w:tc>
          <w:tcPr>
            <w:tcW w:type="dxa" w:w="1210"/>
            <w:tcW w:w="1209"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Max Lead</w:t>
            </w:r>
          </w:p>
        </w:tc>
        <w:tc>
          <w:tcPr>
            <w:tcW w:type="dxa" w:w="1210"/>
            <w:tcW w:w="1209"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Capture Rate (%)</w:t>
            </w:r>
          </w:p>
        </w:tc>
      </w:tr>
      <w:tr>
        <w:trPr>
          <w:cantSplit/>
        </w:trPr>
        <w:tc>
          <w:tcPr>
            <w:tcW w:type="dxa" w:w="3600"/>
            <w:tcW w:w="3600" w:type="dxa"/>
            <w:tcMar>
              <w:top w:w="35" w:type="dxa"/>
              <w:bottom w:w="35" w:type="dxa"/>
              <w:left w:w="25" w:type="dxa"/>
              <w:right w:w="25" w:type="dxa"/>
            </w:tcMar>
          </w:tcPr>
          <w:p>
            <w:pPr>
              <w:spacing w:after="0" w:line="252" w:lineRule="auto"/>
              <w:jc w:val="left"/>
            </w:pPr>
            <w:r>
              <w:rPr>
                <w:rFonts w:ascii="Times New Roman" w:hAnsi="Times New Roman"/>
                <w:color w:val="000000"/>
                <w:sz w:val="14"/>
              </w:rPr>
              <w:t>Macro-Augmented Model Alert (Threshold FPR=10%)</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3.12</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3.00</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1.00</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6.00</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84.2%</w:t>
            </w:r>
          </w:p>
        </w:tc>
      </w:tr>
      <w:tr>
        <w:trPr>
          <w:cantSplit/>
        </w:trPr>
        <w:tc>
          <w:tcPr>
            <w:tcW w:type="dxa" w:w="3600"/>
            <w:tcW w:w="3600" w:type="dxa"/>
            <w:tcMar>
              <w:top w:w="35" w:type="dxa"/>
              <w:bottom w:w="35" w:type="dxa"/>
              <w:left w:w="25" w:type="dxa"/>
              <w:right w:w="25" w:type="dxa"/>
            </w:tcMar>
          </w:tcPr>
          <w:p>
            <w:pPr>
              <w:spacing w:after="0" w:line="252" w:lineRule="auto"/>
              <w:jc w:val="left"/>
            </w:pPr>
            <w:r>
              <w:rPr>
                <w:rFonts w:ascii="Times New Roman" w:hAnsi="Times New Roman"/>
                <w:color w:val="000000"/>
                <w:sz w:val="14"/>
              </w:rPr>
              <w:t>Agency Negative CreditWatch Placement</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1.24</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1.00</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0.00</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3.00</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61.5%</w:t>
            </w:r>
          </w:p>
        </w:tc>
      </w:tr>
      <w:tr>
        <w:trPr>
          <w:cantSplit/>
        </w:trPr>
        <w:tc>
          <w:tcPr>
            <w:tcW w:type="dxa" w:w="3600"/>
            <w:tcW w:w="3600" w:type="dxa"/>
            <w:tcMar>
              <w:top w:w="35" w:type="dxa"/>
              <w:bottom w:w="35" w:type="dxa"/>
              <w:left w:w="25" w:type="dxa"/>
              <w:right w:w="25" w:type="dxa"/>
            </w:tcMar>
          </w:tcPr>
          <w:p>
            <w:pPr>
              <w:spacing w:after="0" w:line="252" w:lineRule="auto"/>
              <w:jc w:val="left"/>
            </w:pPr>
            <w:r>
              <w:rPr>
                <w:rFonts w:ascii="Times New Roman" w:hAnsi="Times New Roman"/>
                <w:color w:val="000000"/>
                <w:sz w:val="14"/>
              </w:rPr>
              <w:t>Agency Negative Outlook Revision</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1.85</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2.00</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0.00</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4.00</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68.9%</w:t>
            </w:r>
          </w:p>
        </w:tc>
      </w:tr>
      <w:tr>
        <w:trPr>
          <w:cantSplit/>
        </w:trPr>
        <w:tc>
          <w:tcPr>
            <w:tcW w:type="dxa" w:w="3600"/>
            <w:tcW w:w="3600" w:type="dxa"/>
            <w:tcMar>
              <w:top w:w="35" w:type="dxa"/>
              <w:bottom w:w="35" w:type="dxa"/>
              <w:left w:w="25" w:type="dxa"/>
              <w:right w:w="25" w:type="dxa"/>
            </w:tcMar>
          </w:tcPr>
          <w:p>
            <w:pPr>
              <w:spacing w:after="0" w:line="252" w:lineRule="auto"/>
              <w:jc w:val="left"/>
            </w:pPr>
            <w:r>
              <w:rPr>
                <w:rFonts w:ascii="Times New Roman" w:hAnsi="Times New Roman"/>
                <w:color w:val="000000"/>
                <w:sz w:val="14"/>
              </w:rPr>
              <w:t>Incremental Quantitative Early Warning Advantage</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+1.88 Qtrs</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+2.00 Qtrs</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w:t>
            </w:r>
          </w:p>
        </w:tc>
        <w:tc>
          <w:tcPr>
            <w:tcW w:type="dxa" w:w="1210"/>
            <w:tcW w:w="1209" w:type="dxa"/>
            <w:tcMar>
              <w:top w:w="35" w:type="dxa"/>
              <w:bottom w:w="35" w:type="dxa"/>
              <w:left w:w="25" w:type="dxa"/>
              <w:right w:w="25" w:type="dxa"/>
            </w:tcMar>
          </w:tcPr>
          <w:p>
            <w:pPr>
              <w:spacing w:after="0" w:line="252" w:lineRule="auto"/>
              <w:jc w:val="right"/>
            </w:pPr>
            <w:r>
              <w:rPr>
                <w:rFonts w:ascii="Times New Roman" w:hAnsi="Times New Roman"/>
                <w:color w:val="000000"/>
                <w:sz w:val="14"/>
              </w:rPr>
              <w:t>+22.7%</w:t>
            </w:r>
          </w:p>
        </w:tc>
      </w:tr>
    </w:tbl>
    <w:p>
      <w:pPr>
        <w:spacing w:before="40" w:after="80"/>
      </w:pPr>
      <w:r>
        <w:rPr>
          <w:rFonts w:ascii="Times New Roman" w:hAnsi="Times New Roman"/>
          <w:i/>
          <w:color w:val="000000"/>
          <w:sz w:val="15"/>
        </w:rPr>
        <w:t>Note: Lead time measured as elapsed quarters between initial warning trigger and official downgrade to speculative grade (BB+ or below).</w:t>
      </w:r>
    </w:p>
    <w:p>
      <w:pPr>
        <w:spacing w:after="80" w:line="276" w:lineRule="auto"/>
        <w:jc w:val="both"/>
      </w:pPr>
      <w:r>
        <w:rPr>
          <w:rFonts w:ascii="Times New Roman" w:hAnsi="Times New Roman"/>
          <w:color w:val="000000"/>
          <w:sz w:val="20"/>
        </w:rPr>
        <w:t>Table VII documents the lead time diagnostics. The quantitative macro-augmented early warning alert triggers an average of 3.12 quarters prior to downgrade (capture rate = 84.2%), compared to only 1.24 quarters for official agency CreditWatch placements (capture rate = 61.5%). This delivers an incremental lead time advantage of +1.88 quarters (~5.6 months), providing institutional portfolio managers crucial runway to execute orderly portfolio de-risking before secondary market liquidity dries up.</w:t>
      </w:r>
    </w:p>
    <w:p>
      <w:pPr>
        <w:keepNext/>
        <w:pageBreakBefore/>
        <w:spacing w:before="140" w:after="40"/>
        <w:jc w:val="left"/>
      </w:pPr>
      <w:r>
        <w:rPr>
          <w:rFonts w:ascii="Times New Roman" w:hAnsi="Times New Roman"/>
          <w:b/>
          <w:i/>
          <w:color w:val="000000"/>
          <w:sz w:val="21"/>
        </w:rPr>
        <w:t>C. Visual Early-Warning Diagnostics: ROC/PR Curves &amp; Lead Time Distribution</w:t>
      </w:r>
    </w:p>
    <w:p>
      <w:pPr>
        <w:keepNext/>
        <w:spacing w:before="80" w:after="40"/>
        <w:jc w:val="center"/>
      </w:pPr>
      <w:r>
        <w:drawing>
          <wp:inline xmlns:a="http://schemas.openxmlformats.org/drawingml/2006/main" xmlns:pic="http://schemas.openxmlformats.org/drawingml/2006/picture">
            <wp:extent cx="4023360" cy="1676400"/>
            <wp:docPr id="5" name="Picture 5"/>
            <wp:cNvGraphicFramePr>
              <a:graphicFrameLocks noChangeAspect="1"/>
            </wp:cNvGraphicFramePr>
            <a:graphic>
              <a:graphicData uri="http://schemas.openxmlformats.org/drawingml/2006/picture">
                <pic:pic>
                  <pic:nvPicPr>
                    <pic:cNvPr id="0" name="fig5_roc_pr_curves.png"/>
                    <pic:cNvPicPr/>
                  </pic:nvPicPr>
                  <pic:blipFill>
                    <a:blip r:embed="rId15"/>
                    <a:stretch>
                      <a:fillRect/>
                    </a:stretch>
                  </pic:blipFill>
                  <pic:spPr>
                    <a:xfrm>
                      <a:off x="0" y="0"/>
                      <a:ext cx="4023360" cy="1676400"/>
                    </a:xfrm>
                    <a:prstGeom prst="rect"/>
                  </pic:spPr>
                </pic:pic>
              </a:graphicData>
            </a:graphic>
          </wp:inline>
        </w:drawing>
      </w:r>
    </w:p>
    <w:p>
      <w:pPr>
        <w:keepNext/>
        <w:spacing w:before="20" w:after="100"/>
        <w:jc w:val="center"/>
      </w:pPr>
      <w:r>
        <w:rPr>
          <w:rFonts w:ascii="Times New Roman" w:hAnsi="Times New Roman"/>
          <w:color w:val="000000"/>
          <w:sz w:val="16"/>
        </w:rPr>
        <w:t>Fig. 5. Out-of-Sample ROC and Precision-Recall Curves on Embargoed Test Window (2020–2025).</w:t>
      </w:r>
    </w:p>
    <w:p>
      <w:pPr>
        <w:spacing w:after="80" w:line="276" w:lineRule="auto"/>
        <w:jc w:val="both"/>
      </w:pPr>
      <w:r>
        <w:rPr>
          <w:rFonts w:ascii="Times New Roman" w:hAnsi="Times New Roman"/>
          <w:color w:val="000000"/>
          <w:sz w:val="20"/>
        </w:rPr>
        <w:t>Figure 5 plots the out-of-sample ROC and Precision-Recall curves across all competing model architectures. The macro-augmented specifications maintain superior true positive rates across all operational false positive thresholds.</w:t>
      </w:r>
    </w:p>
    <w:p>
      <w:pPr>
        <w:keepNext/>
        <w:spacing w:before="80" w:after="40"/>
        <w:jc w:val="center"/>
      </w:pPr>
      <w:r>
        <w:drawing>
          <wp:inline xmlns:a="http://schemas.openxmlformats.org/drawingml/2006/main" xmlns:pic="http://schemas.openxmlformats.org/drawingml/2006/picture">
            <wp:extent cx="3840480" cy="2133600"/>
            <wp:docPr id="6" name="Picture 6"/>
            <wp:cNvGraphicFramePr>
              <a:graphicFrameLocks noChangeAspect="1"/>
            </wp:cNvGraphicFramePr>
            <a:graphic>
              <a:graphicData uri="http://schemas.openxmlformats.org/drawingml/2006/picture">
                <pic:pic>
                  <pic:nvPicPr>
                    <pic:cNvPr id="0" name="fig6_lead_time_distribution.png"/>
                    <pic:cNvPicPr/>
                  </pic:nvPicPr>
                  <pic:blipFill>
                    <a:blip r:embed="rId16"/>
                    <a:stretch>
                      <a:fillRect/>
                    </a:stretch>
                  </pic:blipFill>
                  <pic:spPr>
                    <a:xfrm>
                      <a:off x="0" y="0"/>
                      <a:ext cx="3840480" cy="2133600"/>
                    </a:xfrm>
                    <a:prstGeom prst="rect"/>
                  </pic:spPr>
                </pic:pic>
              </a:graphicData>
            </a:graphic>
          </wp:inline>
        </w:drawing>
      </w:r>
    </w:p>
    <w:p>
      <w:pPr>
        <w:keepNext/>
        <w:spacing w:before="20" w:after="100"/>
        <w:jc w:val="center"/>
      </w:pPr>
      <w:r>
        <w:rPr>
          <w:rFonts w:ascii="Times New Roman" w:hAnsi="Times New Roman"/>
          <w:color w:val="000000"/>
          <w:sz w:val="16"/>
        </w:rPr>
        <w:t>Fig. 6. Distribution of Early-Warning Advance Notice: Quantitative Model Alert vs S&amp;P CreditWatch.</w:t>
      </w:r>
    </w:p>
    <w:p>
      <w:pPr>
        <w:spacing w:after="80" w:line="276" w:lineRule="auto"/>
        <w:jc w:val="both"/>
      </w:pPr>
      <w:r>
        <w:rPr>
          <w:rFonts w:ascii="Times New Roman" w:hAnsi="Times New Roman"/>
          <w:color w:val="000000"/>
          <w:sz w:val="20"/>
        </w:rPr>
        <w:t>Figure 6 illustrates the empirical lead time distribution of quantitative model alerts compared to S&amp;P CreditWatch actions, demonstrating a pronounced rightward shift towards early advance detection.</w:t>
      </w:r>
    </w:p>
    <w:p>
      <w:pPr>
        <w:keepNext/>
        <w:pageBreakBefore/>
        <w:spacing w:before="280" w:after="80"/>
        <w:jc w:val="center"/>
      </w:pPr>
      <w:r>
        <w:rPr>
          <w:rFonts w:ascii="Times New Roman" w:hAnsi="Times New Roman"/>
          <w:b/>
          <w:color w:val="000000"/>
          <w:sz w:val="22"/>
        </w:rPr>
        <w:t>VI. MACRO STRESS TESTING &amp; SECTOR VULNERABILITY ANALYSIS</w:t>
      </w:r>
    </w:p>
    <w:p>
      <w:pPr>
        <w:keepNext/>
        <w:spacing w:before="140" w:after="40"/>
        <w:jc w:val="left"/>
      </w:pPr>
      <w:r>
        <w:rPr>
          <w:rFonts w:ascii="Times New Roman" w:hAnsi="Times New Roman"/>
          <w:b/>
          <w:i/>
          <w:color w:val="000000"/>
          <w:sz w:val="21"/>
        </w:rPr>
        <w:t>A. Cross-Sector Vulnerability Heterogeneity</w:t>
      </w:r>
    </w:p>
    <w:p>
      <w:pPr>
        <w:keepNext/>
        <w:spacing w:before="220" w:after="30"/>
        <w:jc w:val="center"/>
      </w:pPr>
      <w:r>
        <w:rPr>
          <w:rFonts w:ascii="Times New Roman" w:hAnsi="Times New Roman"/>
          <w:b/>
          <w:color w:val="000000"/>
          <w:sz w:val="18"/>
        </w:rPr>
        <w:t>TABLE VIII</w:t>
      </w:r>
    </w:p>
    <w:p>
      <w:pPr>
        <w:keepNext/>
        <w:spacing w:after="80"/>
        <w:jc w:val="center"/>
      </w:pPr>
      <w:r>
        <w:rPr>
          <w:rFonts w:ascii="Times New Roman" w:hAnsi="Times New Roman"/>
          <w:color w:val="000000"/>
          <w:sz w:val="17"/>
        </w:rPr>
        <w:t>FAMA-FRENCH 12 SECTOR SENSITIVITY AND STRESS PROFILE</w:t>
      </w:r>
    </w:p>
    <w:tbl>
      <w:tblPr>
        <w:tblW w:type="auto" w:w="0"/>
        <w:jc w:val="center"/>
        <w:tblLayout w:type="fixed"/>
        <w:tblLook w:firstColumn="1" w:firstRow="1" w:lastColumn="0" w:lastRow="0" w:noHBand="0" w:noVBand="1" w:val="04A0"/>
        <w:tblW w:w="9648" w:type="dxa"/>
        <w:tblLayout w:type="fixed"/>
        <w:tblBorders>
          <w:top w:val="single" w:sz="8" w:space="0" w:color="000000"/>
          <w:bottom w:val="single" w:sz="8" w:space="0" w:color="000000"/>
          <w:left w:val="none"/>
          <w:right w:val="none"/>
          <w:insideH w:val="none"/>
          <w:insideV w:val="none"/>
        </w:tblBorders>
      </w:tblPr>
      <w:tblGrid>
        <w:gridCol w:w="1152"/>
        <w:gridCol w:w="1008"/>
        <w:gridCol w:w="1152"/>
        <w:gridCol w:w="1296"/>
        <w:gridCol w:w="1296"/>
        <w:gridCol w:w="1296"/>
        <w:gridCol w:w="1152"/>
        <w:gridCol w:w="1296"/>
      </w:tblGrid>
      <w:tr>
        <w:trPr>
          <w:cantSplit/>
          <w:tblHeader/>
        </w:trPr>
        <w:tc>
          <w:tcPr>
            <w:tcW w:type="dxa" w:w="1152"/>
            <w:tcW w:w="1152" w:type="dxa"/>
            <w:tcMar>
              <w:top w:w="35" w:type="dxa"/>
              <w:bottom w:w="35" w:type="dxa"/>
              <w:left w:w="25" w:type="dxa"/>
              <w:right w:w="25" w:type="dxa"/>
            </w:tcMar>
            <w:tcBorders>
              <w:bottom w:val="single" w:sz="4" w:space="0" w:color="000000"/>
            </w:tcBorders>
          </w:tcPr>
          <w:p>
            <w:pPr>
              <w:spacing w:after="0" w:line="252" w:lineRule="auto"/>
              <w:jc w:val="left"/>
            </w:pPr>
            <w:r>
              <w:rPr>
                <w:rFonts w:ascii="Times New Roman" w:hAnsi="Times New Roman"/>
                <w:b/>
                <w:color w:val="000000"/>
                <w:sz w:val="14"/>
              </w:rPr>
              <w:t>Sector</w:t>
            </w:r>
          </w:p>
        </w:tc>
        <w:tc>
          <w:tcPr>
            <w:tcW w:type="dxa" w:w="1008"/>
            <w:tcW w:w="1007"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Firms</w:t>
            </w:r>
          </w:p>
        </w:tc>
        <w:tc>
          <w:tcPr>
            <w:tcW w:type="dxa" w:w="1152"/>
            <w:tcW w:w="1152"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Obs</w:t>
            </w:r>
          </w:p>
        </w:tc>
        <w:tc>
          <w:tcPr>
            <w:tcW w:type="dxa" w:w="1296"/>
            <w:tcW w:w="129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Avg Leverage</w:t>
            </w:r>
          </w:p>
        </w:tc>
        <w:tc>
          <w:tcPr>
            <w:tcW w:type="dxa" w:w="1296"/>
            <w:tcW w:w="129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Avg Coverage</w:t>
            </w:r>
          </w:p>
        </w:tc>
        <w:tc>
          <w:tcPr>
            <w:tcW w:type="dxa" w:w="1296"/>
            <w:tcW w:w="129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Baseline FA Rate</w:t>
            </w:r>
          </w:p>
        </w:tc>
        <w:tc>
          <w:tcPr>
            <w:tcW w:type="dxa" w:w="1152"/>
            <w:tcW w:w="1152"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Downgrades</w:t>
            </w:r>
          </w:p>
        </w:tc>
        <w:tc>
          <w:tcPr>
            <w:tcW w:type="dxa" w:w="1296"/>
            <w:tcW w:w="1296" w:type="dxa"/>
            <w:tcMar>
              <w:top w:w="35" w:type="dxa"/>
              <w:bottom w:w="35" w:type="dxa"/>
              <w:left w:w="25" w:type="dxa"/>
              <w:right w:w="25" w:type="dxa"/>
            </w:tcMar>
            <w:tcBorders>
              <w:bottom w:val="single" w:sz="4" w:space="0" w:color="000000"/>
            </w:tcBorders>
          </w:tcPr>
          <w:p>
            <w:pPr>
              <w:spacing w:after="0" w:line="252" w:lineRule="auto"/>
              <w:jc w:val="right"/>
            </w:pPr>
            <w:r>
              <w:rPr>
                <w:rFonts w:ascii="Times New Roman" w:hAnsi="Times New Roman"/>
                <w:b/>
                <w:color w:val="000000"/>
                <w:sz w:val="14"/>
              </w:rPr>
              <w:t>Stressed FA Rate</w:t>
            </w:r>
          </w:p>
        </w:tc>
      </w:tr>
      <w:tr>
        <w:trPr>
          <w:cantSplit/>
        </w:trPr>
        <w:tc>
          <w:tcPr>
            <w:tcW w:type="dxa" w:w="1152"/>
            <w:tcW w:w="1152" w:type="dxa"/>
            <w:tcMar>
              <w:top w:w="35" w:type="dxa"/>
              <w:bottom w:w="35" w:type="dxa"/>
              <w:left w:w="25" w:type="dxa"/>
              <w:right w:w="25" w:type="dxa"/>
            </w:tcMar>
          </w:tcPr>
          <w:p>
            <w:pPr>
              <w:spacing w:after="0" w:line="252" w:lineRule="auto"/>
              <w:jc w:val="left"/>
            </w:pPr>
            <w:r>
              <w:rPr>
                <w:rFonts w:ascii="Times New Roman" w:hAnsi="Times New Roman"/>
                <w:color w:val="000000"/>
                <w:sz w:val="14"/>
              </w:rPr>
              <w:t>Durbl</w:t>
            </w:r>
          </w:p>
        </w:tc>
        <w:tc>
          <w:tcPr>
            <w:tcW w:type="dxa" w:w="1008"/>
            <w:tcW w:w="1007" w:type="dxa"/>
            <w:tcMar>
              <w:top w:w="35" w:type="dxa"/>
              <w:bottom w:w="35" w:type="dxa"/>
              <w:left w:w="25" w:type="dxa"/>
              <w:right w:w="25" w:type="dxa"/>
            </w:tcMar>
          </w:tcPr>
          <w:p>
            <w:pPr>
              <w:spacing w:after="0" w:line="252" w:lineRule="auto"/>
              <w:jc w:val="right"/>
            </w:pPr>
            <w:r>
              <w:rPr>
                <w:rFonts w:ascii="Times New Roman" w:hAnsi="Times New Roman"/>
                <w:color w:val="000000"/>
                <w:sz w:val="14"/>
              </w:rPr>
              <w:t>65</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6,350</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3.30</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5.96</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2.53%</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994</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6.28%</w:t>
            </w:r>
          </w:p>
        </w:tc>
      </w:tr>
      <w:tr>
        <w:trPr>
          <w:cantSplit/>
        </w:trPr>
        <w:tc>
          <w:tcPr>
            <w:tcW w:type="dxa" w:w="1152"/>
            <w:tcW w:w="1152" w:type="dxa"/>
            <w:tcMar>
              <w:top w:w="35" w:type="dxa"/>
              <w:bottom w:w="35" w:type="dxa"/>
              <w:left w:w="25" w:type="dxa"/>
              <w:right w:w="25" w:type="dxa"/>
            </w:tcMar>
          </w:tcPr>
          <w:p>
            <w:pPr>
              <w:spacing w:after="0" w:line="252" w:lineRule="auto"/>
              <w:jc w:val="left"/>
            </w:pPr>
            <w:r>
              <w:rPr>
                <w:rFonts w:ascii="Times New Roman" w:hAnsi="Times New Roman"/>
                <w:color w:val="000000"/>
                <w:sz w:val="14"/>
              </w:rPr>
              <w:t>Other</w:t>
            </w:r>
          </w:p>
        </w:tc>
        <w:tc>
          <w:tcPr>
            <w:tcW w:type="dxa" w:w="1008"/>
            <w:tcW w:w="1007" w:type="dxa"/>
            <w:tcMar>
              <w:top w:w="35" w:type="dxa"/>
              <w:bottom w:w="35" w:type="dxa"/>
              <w:left w:w="25" w:type="dxa"/>
              <w:right w:w="25" w:type="dxa"/>
            </w:tcMar>
          </w:tcPr>
          <w:p>
            <w:pPr>
              <w:spacing w:after="0" w:line="252" w:lineRule="auto"/>
              <w:jc w:val="right"/>
            </w:pPr>
            <w:r>
              <w:rPr>
                <w:rFonts w:ascii="Times New Roman" w:hAnsi="Times New Roman"/>
                <w:color w:val="000000"/>
                <w:sz w:val="14"/>
              </w:rPr>
              <w:t>40</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3,866</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3.30</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5.87</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2.51%</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627</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6.24%</w:t>
            </w:r>
          </w:p>
        </w:tc>
      </w:tr>
      <w:tr>
        <w:trPr>
          <w:cantSplit/>
        </w:trPr>
        <w:tc>
          <w:tcPr>
            <w:tcW w:type="dxa" w:w="1152"/>
            <w:tcW w:w="1152" w:type="dxa"/>
            <w:tcMar>
              <w:top w:w="35" w:type="dxa"/>
              <w:bottom w:w="35" w:type="dxa"/>
              <w:left w:w="25" w:type="dxa"/>
              <w:right w:w="25" w:type="dxa"/>
            </w:tcMar>
          </w:tcPr>
          <w:p>
            <w:pPr>
              <w:spacing w:after="0" w:line="252" w:lineRule="auto"/>
              <w:jc w:val="left"/>
            </w:pPr>
            <w:r>
              <w:rPr>
                <w:rFonts w:ascii="Times New Roman" w:hAnsi="Times New Roman"/>
                <w:color w:val="000000"/>
                <w:sz w:val="14"/>
              </w:rPr>
              <w:t>NoDur</w:t>
            </w:r>
          </w:p>
        </w:tc>
        <w:tc>
          <w:tcPr>
            <w:tcW w:type="dxa" w:w="1008"/>
            <w:tcW w:w="1007" w:type="dxa"/>
            <w:tcMar>
              <w:top w:w="35" w:type="dxa"/>
              <w:bottom w:w="35" w:type="dxa"/>
              <w:left w:w="25" w:type="dxa"/>
              <w:right w:w="25" w:type="dxa"/>
            </w:tcMar>
          </w:tcPr>
          <w:p>
            <w:pPr>
              <w:spacing w:after="0" w:line="252" w:lineRule="auto"/>
              <w:jc w:val="right"/>
            </w:pPr>
            <w:r>
              <w:rPr>
                <w:rFonts w:ascii="Times New Roman" w:hAnsi="Times New Roman"/>
                <w:color w:val="000000"/>
                <w:sz w:val="14"/>
              </w:rPr>
              <w:t>70</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6,692</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3.40</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5.28</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2.39%</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1,037</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6.03%</w:t>
            </w:r>
          </w:p>
        </w:tc>
      </w:tr>
      <w:tr>
        <w:trPr>
          <w:cantSplit/>
        </w:trPr>
        <w:tc>
          <w:tcPr>
            <w:tcW w:type="dxa" w:w="1152"/>
            <w:tcW w:w="1152" w:type="dxa"/>
            <w:tcMar>
              <w:top w:w="35" w:type="dxa"/>
              <w:bottom w:w="35" w:type="dxa"/>
              <w:left w:w="25" w:type="dxa"/>
              <w:right w:w="25" w:type="dxa"/>
            </w:tcMar>
          </w:tcPr>
          <w:p>
            <w:pPr>
              <w:spacing w:after="0" w:line="252" w:lineRule="auto"/>
              <w:jc w:val="left"/>
            </w:pPr>
            <w:r>
              <w:rPr>
                <w:rFonts w:ascii="Times New Roman" w:hAnsi="Times New Roman"/>
                <w:color w:val="000000"/>
                <w:sz w:val="14"/>
              </w:rPr>
              <w:t>Manuf</w:t>
            </w:r>
          </w:p>
        </w:tc>
        <w:tc>
          <w:tcPr>
            <w:tcW w:type="dxa" w:w="1008"/>
            <w:tcW w:w="1007" w:type="dxa"/>
            <w:tcMar>
              <w:top w:w="35" w:type="dxa"/>
              <w:bottom w:w="35" w:type="dxa"/>
              <w:left w:w="25" w:type="dxa"/>
              <w:right w:w="25" w:type="dxa"/>
            </w:tcMar>
          </w:tcPr>
          <w:p>
            <w:pPr>
              <w:spacing w:after="0" w:line="252" w:lineRule="auto"/>
              <w:jc w:val="right"/>
            </w:pPr>
            <w:r>
              <w:rPr>
                <w:rFonts w:ascii="Times New Roman" w:hAnsi="Times New Roman"/>
                <w:color w:val="000000"/>
                <w:sz w:val="14"/>
              </w:rPr>
              <w:t>150</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14,318</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3.34</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5.66</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2.32%</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2,319</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5.82%</w:t>
            </w:r>
          </w:p>
        </w:tc>
      </w:tr>
      <w:tr>
        <w:trPr>
          <w:cantSplit/>
        </w:trPr>
        <w:tc>
          <w:tcPr>
            <w:tcW w:type="dxa" w:w="1152"/>
            <w:tcW w:w="1152" w:type="dxa"/>
            <w:tcMar>
              <w:top w:w="35" w:type="dxa"/>
              <w:bottom w:w="35" w:type="dxa"/>
              <w:left w:w="25" w:type="dxa"/>
              <w:right w:w="25" w:type="dxa"/>
            </w:tcMar>
          </w:tcPr>
          <w:p>
            <w:pPr>
              <w:spacing w:after="0" w:line="252" w:lineRule="auto"/>
              <w:jc w:val="left"/>
            </w:pPr>
            <w:r>
              <w:rPr>
                <w:rFonts w:ascii="Times New Roman" w:hAnsi="Times New Roman"/>
                <w:color w:val="000000"/>
                <w:sz w:val="14"/>
              </w:rPr>
              <w:t>Telcm</w:t>
            </w:r>
          </w:p>
        </w:tc>
        <w:tc>
          <w:tcPr>
            <w:tcW w:type="dxa" w:w="1008"/>
            <w:tcW w:w="1007" w:type="dxa"/>
            <w:tcMar>
              <w:top w:w="35" w:type="dxa"/>
              <w:bottom w:w="35" w:type="dxa"/>
              <w:left w:w="25" w:type="dxa"/>
              <w:right w:w="25" w:type="dxa"/>
            </w:tcMar>
          </w:tcPr>
          <w:p>
            <w:pPr>
              <w:spacing w:after="0" w:line="252" w:lineRule="auto"/>
              <w:jc w:val="right"/>
            </w:pPr>
            <w:r>
              <w:rPr>
                <w:rFonts w:ascii="Times New Roman" w:hAnsi="Times New Roman"/>
                <w:color w:val="000000"/>
                <w:sz w:val="14"/>
              </w:rPr>
              <w:t>32</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3,117</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3.42</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5.84</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2.17%</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541</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5.52%</w:t>
            </w:r>
          </w:p>
        </w:tc>
      </w:tr>
      <w:tr>
        <w:trPr>
          <w:cantSplit/>
        </w:trPr>
        <w:tc>
          <w:tcPr>
            <w:tcW w:type="dxa" w:w="1152"/>
            <w:tcW w:w="1152" w:type="dxa"/>
            <w:tcMar>
              <w:top w:w="35" w:type="dxa"/>
              <w:bottom w:w="35" w:type="dxa"/>
              <w:left w:w="25" w:type="dxa"/>
              <w:right w:w="25" w:type="dxa"/>
            </w:tcMar>
          </w:tcPr>
          <w:p>
            <w:pPr>
              <w:spacing w:after="0" w:line="252" w:lineRule="auto"/>
              <w:jc w:val="left"/>
            </w:pPr>
            <w:r>
              <w:rPr>
                <w:rFonts w:ascii="Times New Roman" w:hAnsi="Times New Roman"/>
                <w:color w:val="000000"/>
                <w:sz w:val="14"/>
              </w:rPr>
              <w:t>Shops</w:t>
            </w:r>
          </w:p>
        </w:tc>
        <w:tc>
          <w:tcPr>
            <w:tcW w:type="dxa" w:w="1008"/>
            <w:tcW w:w="1007" w:type="dxa"/>
            <w:tcMar>
              <w:top w:w="35" w:type="dxa"/>
              <w:bottom w:w="35" w:type="dxa"/>
              <w:left w:w="25" w:type="dxa"/>
              <w:right w:w="25" w:type="dxa"/>
            </w:tcMar>
          </w:tcPr>
          <w:p>
            <w:pPr>
              <w:spacing w:after="0" w:line="252" w:lineRule="auto"/>
              <w:jc w:val="right"/>
            </w:pPr>
            <w:r>
              <w:rPr>
                <w:rFonts w:ascii="Times New Roman" w:hAnsi="Times New Roman"/>
                <w:color w:val="000000"/>
                <w:sz w:val="14"/>
              </w:rPr>
              <w:t>110</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10,687</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3.30</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5.77</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2.19%</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1,707</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5.43%</w:t>
            </w:r>
          </w:p>
        </w:tc>
      </w:tr>
      <w:tr>
        <w:trPr>
          <w:cantSplit/>
        </w:trPr>
        <w:tc>
          <w:tcPr>
            <w:tcW w:type="dxa" w:w="1152"/>
            <w:tcW w:w="1152" w:type="dxa"/>
            <w:tcMar>
              <w:top w:w="35" w:type="dxa"/>
              <w:bottom w:w="35" w:type="dxa"/>
              <w:left w:w="25" w:type="dxa"/>
              <w:right w:w="25" w:type="dxa"/>
            </w:tcMar>
          </w:tcPr>
          <w:p>
            <w:pPr>
              <w:spacing w:after="0" w:line="252" w:lineRule="auto"/>
              <w:jc w:val="left"/>
            </w:pPr>
            <w:r>
              <w:rPr>
                <w:rFonts w:ascii="Times New Roman" w:hAnsi="Times New Roman"/>
                <w:color w:val="000000"/>
                <w:sz w:val="14"/>
              </w:rPr>
              <w:t>Chems</w:t>
            </w:r>
          </w:p>
        </w:tc>
        <w:tc>
          <w:tcPr>
            <w:tcW w:type="dxa" w:w="1008"/>
            <w:tcW w:w="1007" w:type="dxa"/>
            <w:tcMar>
              <w:top w:w="35" w:type="dxa"/>
              <w:bottom w:w="35" w:type="dxa"/>
              <w:left w:w="25" w:type="dxa"/>
              <w:right w:w="25" w:type="dxa"/>
            </w:tcMar>
          </w:tcPr>
          <w:p>
            <w:pPr>
              <w:spacing w:after="0" w:line="252" w:lineRule="auto"/>
              <w:jc w:val="right"/>
            </w:pPr>
            <w:r>
              <w:rPr>
                <w:rFonts w:ascii="Times New Roman" w:hAnsi="Times New Roman"/>
                <w:color w:val="000000"/>
                <w:sz w:val="14"/>
              </w:rPr>
              <w:t>25</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2,333</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3.65</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4.64</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1.97%</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353</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5.21%</w:t>
            </w:r>
          </w:p>
        </w:tc>
      </w:tr>
      <w:tr>
        <w:trPr>
          <w:cantSplit/>
        </w:trPr>
        <w:tc>
          <w:tcPr>
            <w:tcW w:type="dxa" w:w="1152"/>
            <w:tcW w:w="1152" w:type="dxa"/>
            <w:tcMar>
              <w:top w:w="35" w:type="dxa"/>
              <w:bottom w:w="35" w:type="dxa"/>
              <w:left w:w="25" w:type="dxa"/>
              <w:right w:w="25" w:type="dxa"/>
            </w:tcMar>
          </w:tcPr>
          <w:p>
            <w:pPr>
              <w:spacing w:after="0" w:line="252" w:lineRule="auto"/>
              <w:jc w:val="left"/>
            </w:pPr>
            <w:r>
              <w:rPr>
                <w:rFonts w:ascii="Times New Roman" w:hAnsi="Times New Roman"/>
                <w:color w:val="000000"/>
                <w:sz w:val="14"/>
              </w:rPr>
              <w:t>BusEq</w:t>
            </w:r>
          </w:p>
        </w:tc>
        <w:tc>
          <w:tcPr>
            <w:tcW w:type="dxa" w:w="1008"/>
            <w:tcW w:w="1007" w:type="dxa"/>
            <w:tcMar>
              <w:top w:w="35" w:type="dxa"/>
              <w:bottom w:w="35" w:type="dxa"/>
              <w:left w:w="25" w:type="dxa"/>
              <w:right w:w="25" w:type="dxa"/>
            </w:tcMar>
          </w:tcPr>
          <w:p>
            <w:pPr>
              <w:spacing w:after="0" w:line="252" w:lineRule="auto"/>
              <w:jc w:val="right"/>
            </w:pPr>
            <w:r>
              <w:rPr>
                <w:rFonts w:ascii="Times New Roman" w:hAnsi="Times New Roman"/>
                <w:color w:val="000000"/>
                <w:sz w:val="14"/>
              </w:rPr>
              <w:t>111</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10,036</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3.26</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6.20</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2.05%</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1,599</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5.07%</w:t>
            </w:r>
          </w:p>
        </w:tc>
      </w:tr>
      <w:tr>
        <w:trPr>
          <w:cantSplit/>
        </w:trPr>
        <w:tc>
          <w:tcPr>
            <w:tcW w:type="dxa" w:w="1152"/>
            <w:tcW w:w="1152" w:type="dxa"/>
            <w:tcMar>
              <w:top w:w="35" w:type="dxa"/>
              <w:bottom w:w="35" w:type="dxa"/>
              <w:left w:w="25" w:type="dxa"/>
              <w:right w:w="25" w:type="dxa"/>
            </w:tcMar>
          </w:tcPr>
          <w:p>
            <w:pPr>
              <w:spacing w:after="0" w:line="252" w:lineRule="auto"/>
              <w:jc w:val="left"/>
            </w:pPr>
            <w:r>
              <w:rPr>
                <w:rFonts w:ascii="Times New Roman" w:hAnsi="Times New Roman"/>
                <w:color w:val="000000"/>
                <w:sz w:val="14"/>
              </w:rPr>
              <w:t>Hlth</w:t>
            </w:r>
          </w:p>
        </w:tc>
        <w:tc>
          <w:tcPr>
            <w:tcW w:type="dxa" w:w="1008"/>
            <w:tcW w:w="1007" w:type="dxa"/>
            <w:tcMar>
              <w:top w:w="35" w:type="dxa"/>
              <w:bottom w:w="35" w:type="dxa"/>
              <w:left w:w="25" w:type="dxa"/>
              <w:right w:w="25" w:type="dxa"/>
            </w:tcMar>
          </w:tcPr>
          <w:p>
            <w:pPr>
              <w:spacing w:after="0" w:line="252" w:lineRule="auto"/>
              <w:jc w:val="right"/>
            </w:pPr>
            <w:r>
              <w:rPr>
                <w:rFonts w:ascii="Times New Roman" w:hAnsi="Times New Roman"/>
                <w:color w:val="000000"/>
                <w:sz w:val="14"/>
              </w:rPr>
              <w:t>62</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6,215</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3.36</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5.54</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1.88%</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1,024</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4.72%</w:t>
            </w:r>
          </w:p>
        </w:tc>
      </w:tr>
      <w:tr>
        <w:trPr>
          <w:cantSplit/>
        </w:trPr>
        <w:tc>
          <w:tcPr>
            <w:tcW w:type="dxa" w:w="1152"/>
            <w:tcW w:w="1152" w:type="dxa"/>
            <w:tcMar>
              <w:top w:w="35" w:type="dxa"/>
              <w:bottom w:w="35" w:type="dxa"/>
              <w:left w:w="25" w:type="dxa"/>
              <w:right w:w="25" w:type="dxa"/>
            </w:tcMar>
          </w:tcPr>
          <w:p>
            <w:pPr>
              <w:spacing w:after="0" w:line="252" w:lineRule="auto"/>
              <w:jc w:val="left"/>
            </w:pPr>
            <w:r>
              <w:rPr>
                <w:rFonts w:ascii="Times New Roman" w:hAnsi="Times New Roman"/>
                <w:color w:val="000000"/>
                <w:sz w:val="14"/>
              </w:rPr>
              <w:t>Enrgy</w:t>
            </w:r>
          </w:p>
        </w:tc>
        <w:tc>
          <w:tcPr>
            <w:tcW w:type="dxa" w:w="1008"/>
            <w:tcW w:w="1007" w:type="dxa"/>
            <w:tcMar>
              <w:top w:w="35" w:type="dxa"/>
              <w:bottom w:w="35" w:type="dxa"/>
              <w:left w:w="25" w:type="dxa"/>
              <w:right w:w="25" w:type="dxa"/>
            </w:tcMar>
          </w:tcPr>
          <w:p>
            <w:pPr>
              <w:spacing w:after="0" w:line="252" w:lineRule="auto"/>
              <w:jc w:val="right"/>
            </w:pPr>
            <w:r>
              <w:rPr>
                <w:rFonts w:ascii="Times New Roman" w:hAnsi="Times New Roman"/>
                <w:color w:val="000000"/>
                <w:sz w:val="14"/>
              </w:rPr>
              <w:t>33</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3,092</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3.29</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5.92</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1.32%</w:t>
            </w:r>
          </w:p>
        </w:tc>
        <w:tc>
          <w:tcPr>
            <w:tcW w:type="dxa" w:w="1152"/>
            <w:tcW w:w="1152" w:type="dxa"/>
            <w:tcMar>
              <w:top w:w="35" w:type="dxa"/>
              <w:bottom w:w="35" w:type="dxa"/>
              <w:left w:w="25" w:type="dxa"/>
              <w:right w:w="25" w:type="dxa"/>
            </w:tcMar>
          </w:tcPr>
          <w:p>
            <w:pPr>
              <w:spacing w:after="0" w:line="252" w:lineRule="auto"/>
              <w:jc w:val="right"/>
            </w:pPr>
            <w:r>
              <w:rPr>
                <w:rFonts w:ascii="Times New Roman" w:hAnsi="Times New Roman"/>
                <w:color w:val="000000"/>
                <w:sz w:val="14"/>
              </w:rPr>
              <w:t>419</w:t>
            </w:r>
          </w:p>
        </w:tc>
        <w:tc>
          <w:tcPr>
            <w:tcW w:type="dxa" w:w="1296"/>
            <w:tcW w:w="1296" w:type="dxa"/>
            <w:tcMar>
              <w:top w:w="35" w:type="dxa"/>
              <w:bottom w:w="35" w:type="dxa"/>
              <w:left w:w="25" w:type="dxa"/>
              <w:right w:w="25" w:type="dxa"/>
            </w:tcMar>
          </w:tcPr>
          <w:p>
            <w:pPr>
              <w:spacing w:after="0" w:line="252" w:lineRule="auto"/>
              <w:jc w:val="right"/>
            </w:pPr>
            <w:r>
              <w:rPr>
                <w:rFonts w:ascii="Times New Roman" w:hAnsi="Times New Roman"/>
                <w:color w:val="000000"/>
                <w:sz w:val="14"/>
              </w:rPr>
              <w:t>3.27%</w:t>
            </w:r>
          </w:p>
        </w:tc>
      </w:tr>
    </w:tbl>
    <w:p>
      <w:pPr>
        <w:spacing w:before="40" w:after="80"/>
      </w:pPr>
      <w:r>
        <w:rPr>
          <w:rFonts w:ascii="Times New Roman" w:hAnsi="Times New Roman"/>
          <w:i/>
          <w:color w:val="000000"/>
          <w:sz w:val="15"/>
        </w:rPr>
        <w:t>Note: Baseline and stressed fallen-angel transition rates across Fama-French 12 industry sectors under monetary tightening scenario S1 (+300 bp FFR).</w:t>
      </w:r>
    </w:p>
    <w:p>
      <w:pPr>
        <w:spacing w:after="80" w:line="276" w:lineRule="auto"/>
        <w:jc w:val="both"/>
      </w:pPr>
      <w:r>
        <w:rPr>
          <w:rFonts w:ascii="Times New Roman" w:hAnsi="Times New Roman"/>
          <w:color w:val="000000"/>
          <w:sz w:val="20"/>
        </w:rPr>
        <w:t>Table VIII shows cross-sector vulnerability under monetary tightening. Durable Goods (Durbl) and Consumer Non-Durables (NoDur) exhibit the sharpest jumps in fallen-angel transition rates, rising from 2.53% to 6.28% and from 2.39% to 6.03%, respectively.</w:t>
      </w:r>
    </w:p>
    <w:p>
      <w:pPr>
        <w:keepNext/>
        <w:spacing w:before="80" w:after="40"/>
        <w:jc w:val="center"/>
      </w:pPr>
      <w:r>
        <w:drawing>
          <wp:inline xmlns:a="http://schemas.openxmlformats.org/drawingml/2006/main" xmlns:pic="http://schemas.openxmlformats.org/drawingml/2006/picture">
            <wp:extent cx="3840480" cy="2133600"/>
            <wp:docPr id="7" name="Picture 7"/>
            <wp:cNvGraphicFramePr>
              <a:graphicFrameLocks noChangeAspect="1"/>
            </wp:cNvGraphicFramePr>
            <a:graphic>
              <a:graphicData uri="http://schemas.openxmlformats.org/drawingml/2006/picture">
                <pic:pic>
                  <pic:nvPicPr>
                    <pic:cNvPr id="0" name="fig7_macro_sensitivity_interactions.png"/>
                    <pic:cNvPicPr/>
                  </pic:nvPicPr>
                  <pic:blipFill>
                    <a:blip r:embed="rId17"/>
                    <a:stretch>
                      <a:fillRect/>
                    </a:stretch>
                  </pic:blipFill>
                  <pic:spPr>
                    <a:xfrm>
                      <a:off x="0" y="0"/>
                      <a:ext cx="3840480" cy="2133600"/>
                    </a:xfrm>
                    <a:prstGeom prst="rect"/>
                  </pic:spPr>
                </pic:pic>
              </a:graphicData>
            </a:graphic>
          </wp:inline>
        </w:drawing>
      </w:r>
    </w:p>
    <w:p>
      <w:pPr>
        <w:keepNext/>
        <w:spacing w:before="20" w:after="100"/>
        <w:jc w:val="center"/>
      </w:pPr>
      <w:r>
        <w:rPr>
          <w:rFonts w:ascii="Times New Roman" w:hAnsi="Times New Roman"/>
          <w:color w:val="000000"/>
          <w:sz w:val="16"/>
        </w:rPr>
        <w:t>Fig. 7. Marginal Macro Sensitivity Interactions with Corporate Leverage and Interest Coverage.</w:t>
      </w:r>
    </w:p>
    <w:p>
      <w:pPr>
        <w:spacing w:after="80" w:line="276" w:lineRule="auto"/>
        <w:jc w:val="both"/>
      </w:pPr>
      <w:r>
        <w:rPr>
          <w:rFonts w:ascii="Times New Roman" w:hAnsi="Times New Roman"/>
          <w:color w:val="000000"/>
          <w:sz w:val="20"/>
        </w:rPr>
        <w:t>Figure 7 plots the marginal interaction effects between macroeconomic tightening and corporate leverage. Highly levered firms experience an exponential escalation in downgrade hazard as interest rates rise.</w:t>
      </w:r>
    </w:p>
    <w:p>
      <w:pPr>
        <w:keepNext/>
        <w:spacing w:before="80" w:after="40"/>
        <w:jc w:val="center"/>
      </w:pPr>
      <w:r>
        <w:drawing>
          <wp:inline xmlns:a="http://schemas.openxmlformats.org/drawingml/2006/main" xmlns:pic="http://schemas.openxmlformats.org/drawingml/2006/picture">
            <wp:extent cx="3931920" cy="1965960"/>
            <wp:docPr id="8" name="Picture 8"/>
            <wp:cNvGraphicFramePr>
              <a:graphicFrameLocks noChangeAspect="1"/>
            </wp:cNvGraphicFramePr>
            <a:graphic>
              <a:graphicData uri="http://schemas.openxmlformats.org/drawingml/2006/picture">
                <pic:pic>
                  <pic:nvPicPr>
                    <pic:cNvPr id="0" name="fig8_sector_vulnerability_heatmap.png"/>
                    <pic:cNvPicPr/>
                  </pic:nvPicPr>
                  <pic:blipFill>
                    <a:blip r:embed="rId18"/>
                    <a:stretch>
                      <a:fillRect/>
                    </a:stretch>
                  </pic:blipFill>
                  <pic:spPr>
                    <a:xfrm>
                      <a:off x="0" y="0"/>
                      <a:ext cx="3931920" cy="1965960"/>
                    </a:xfrm>
                    <a:prstGeom prst="rect"/>
                  </pic:spPr>
                </pic:pic>
              </a:graphicData>
            </a:graphic>
          </wp:inline>
        </w:drawing>
      </w:r>
    </w:p>
    <w:p>
      <w:pPr>
        <w:keepNext/>
        <w:spacing w:before="20" w:after="100"/>
        <w:jc w:val="center"/>
      </w:pPr>
      <w:r>
        <w:rPr>
          <w:rFonts w:ascii="Times New Roman" w:hAnsi="Times New Roman"/>
          <w:color w:val="000000"/>
          <w:sz w:val="16"/>
        </w:rPr>
        <w:t>Fig. 8. Fama-French 12 Sector Stress Vulnerability Heatmap Under Monetary Policy Tightening.</w:t>
      </w:r>
    </w:p>
    <w:p>
      <w:pPr>
        <w:spacing w:after="80" w:line="276" w:lineRule="auto"/>
        <w:jc w:val="both"/>
      </w:pPr>
      <w:r>
        <w:rPr>
          <w:rFonts w:ascii="Times New Roman" w:hAnsi="Times New Roman"/>
          <w:color w:val="000000"/>
          <w:sz w:val="20"/>
        </w:rPr>
        <w:t>Figure 8 displays the sector vulnerability heatmap across all 12 Fama-French industry groupings under baseline and stressed macroeconomic environments.</w:t>
      </w:r>
    </w:p>
    <w:p>
      <w:pPr>
        <w:keepNext/>
        <w:spacing w:before="140" w:after="40"/>
        <w:jc w:val="left"/>
      </w:pPr>
      <w:r>
        <w:rPr>
          <w:rFonts w:ascii="Times New Roman" w:hAnsi="Times New Roman"/>
          <w:b/>
          <w:i/>
          <w:color w:val="000000"/>
          <w:sz w:val="21"/>
        </w:rPr>
        <w:t>B. Conditional Macroeconomic Stress Scenarios</w:t>
      </w:r>
    </w:p>
    <w:p>
      <w:pPr>
        <w:keepNext/>
        <w:spacing w:before="220" w:after="30"/>
        <w:jc w:val="center"/>
      </w:pPr>
      <w:r>
        <w:rPr>
          <w:rFonts w:ascii="Times New Roman" w:hAnsi="Times New Roman"/>
          <w:b/>
          <w:color w:val="000000"/>
          <w:sz w:val="18"/>
        </w:rPr>
        <w:t>TABLE IX</w:t>
      </w:r>
    </w:p>
    <w:p>
      <w:pPr>
        <w:keepNext/>
        <w:spacing w:after="80"/>
        <w:jc w:val="center"/>
      </w:pPr>
      <w:r>
        <w:rPr>
          <w:rFonts w:ascii="Times New Roman" w:hAnsi="Times New Roman"/>
          <w:color w:val="000000"/>
          <w:sz w:val="17"/>
        </w:rPr>
        <w:t>CONDITIONAL VAR MACROECONOMIC STRESS SCENARIOS</w:t>
      </w:r>
    </w:p>
    <w:tbl>
      <w:tblPr>
        <w:tblW w:type="auto" w:w="0"/>
        <w:jc w:val="center"/>
        <w:tblLayout w:type="fixed"/>
        <w:tblLook w:firstColumn="1" w:firstRow="1" w:lastColumn="0" w:lastRow="0" w:noHBand="0" w:noVBand="1" w:val="04A0"/>
        <w:tblW w:w="9648" w:type="dxa"/>
        <w:tblLayout w:type="fixed"/>
        <w:tblBorders>
          <w:top w:val="single" w:sz="8" w:space="0" w:color="000000"/>
          <w:bottom w:val="single" w:sz="8" w:space="0" w:color="000000"/>
          <w:left w:val="none"/>
          <w:right w:val="none"/>
          <w:insideH w:val="none"/>
          <w:insideV w:val="none"/>
        </w:tblBorders>
      </w:tblPr>
      <w:tblGrid>
        <w:gridCol w:w="2736"/>
        <w:gridCol w:w="864"/>
        <w:gridCol w:w="864"/>
        <w:gridCol w:w="864"/>
        <w:gridCol w:w="864"/>
        <w:gridCol w:w="864"/>
        <w:gridCol w:w="864"/>
        <w:gridCol w:w="864"/>
        <w:gridCol w:w="864"/>
      </w:tblGrid>
      <w:tr>
        <w:trPr>
          <w:cantSplit/>
          <w:tblHeader/>
        </w:trPr>
        <w:tc>
          <w:tcPr>
            <w:tcW w:type="dxa" w:w="2736"/>
            <w:tcW w:w="2736" w:type="dxa"/>
            <w:tcMar>
              <w:top w:w="35" w:type="dxa"/>
              <w:bottom w:w="35" w:type="dxa"/>
              <w:left w:w="20" w:type="dxa"/>
              <w:right w:w="20" w:type="dxa"/>
            </w:tcMar>
            <w:tcBorders>
              <w:bottom w:val="single" w:sz="4" w:space="0" w:color="000000"/>
            </w:tcBorders>
          </w:tcPr>
          <w:p>
            <w:pPr>
              <w:spacing w:after="0" w:line="252" w:lineRule="auto"/>
              <w:jc w:val="left"/>
            </w:pPr>
            <w:r>
              <w:rPr>
                <w:rFonts w:ascii="Times New Roman" w:hAnsi="Times New Roman"/>
                <w:b/>
                <w:color w:val="000000"/>
                <w:sz w:val="13"/>
              </w:rPr>
              <w:t>Scenario</w:t>
            </w:r>
          </w:p>
        </w:tc>
        <w:tc>
          <w:tcPr>
            <w:tcW w:type="dxa" w:w="864"/>
            <w:tcW w:w="864" w:type="dxa"/>
            <w:tcMar>
              <w:top w:w="35" w:type="dxa"/>
              <w:bottom w:w="35" w:type="dxa"/>
              <w:left w:w="20" w:type="dxa"/>
              <w:right w:w="20" w:type="dxa"/>
            </w:tcMar>
            <w:tcBorders>
              <w:bottom w:val="single" w:sz="4" w:space="0" w:color="000000"/>
            </w:tcBorders>
          </w:tcPr>
          <w:p>
            <w:pPr>
              <w:spacing w:after="0" w:line="252" w:lineRule="auto"/>
              <w:jc w:val="right"/>
            </w:pPr>
            <w:r>
              <w:rPr>
                <w:rFonts w:ascii="Times New Roman" w:hAnsi="Times New Roman"/>
                <w:b/>
                <w:color w:val="000000"/>
                <w:sz w:val="13"/>
              </w:rPr>
              <w:t>FFR (bp)</w:t>
            </w:r>
          </w:p>
        </w:tc>
        <w:tc>
          <w:tcPr>
            <w:tcW w:type="dxa" w:w="864"/>
            <w:tcW w:w="864" w:type="dxa"/>
            <w:tcMar>
              <w:top w:w="35" w:type="dxa"/>
              <w:bottom w:w="35" w:type="dxa"/>
              <w:left w:w="20" w:type="dxa"/>
              <w:right w:w="20" w:type="dxa"/>
            </w:tcMar>
            <w:tcBorders>
              <w:bottom w:val="single" w:sz="4" w:space="0" w:color="000000"/>
            </w:tcBorders>
          </w:tcPr>
          <w:p>
            <w:pPr>
              <w:spacing w:after="0" w:line="252" w:lineRule="auto"/>
              <w:jc w:val="right"/>
            </w:pPr>
            <w:r>
              <w:rPr>
                <w:rFonts w:ascii="Times New Roman" w:hAnsi="Times New Roman"/>
                <w:b/>
                <w:color w:val="000000"/>
                <w:sz w:val="13"/>
              </w:rPr>
              <w:t>10Y (bp)</w:t>
            </w:r>
          </w:p>
        </w:tc>
        <w:tc>
          <w:tcPr>
            <w:tcW w:type="dxa" w:w="864"/>
            <w:tcW w:w="864" w:type="dxa"/>
            <w:tcMar>
              <w:top w:w="35" w:type="dxa"/>
              <w:bottom w:w="35" w:type="dxa"/>
              <w:left w:w="20" w:type="dxa"/>
              <w:right w:w="20" w:type="dxa"/>
            </w:tcMar>
            <w:tcBorders>
              <w:bottom w:val="single" w:sz="4" w:space="0" w:color="000000"/>
            </w:tcBorders>
          </w:tcPr>
          <w:p>
            <w:pPr>
              <w:spacing w:after="0" w:line="252" w:lineRule="auto"/>
              <w:jc w:val="right"/>
            </w:pPr>
            <w:r>
              <w:rPr>
                <w:rFonts w:ascii="Times New Roman" w:hAnsi="Times New Roman"/>
                <w:b/>
                <w:color w:val="000000"/>
                <w:sz w:val="13"/>
              </w:rPr>
              <w:t>HY OAS (bp)</w:t>
            </w:r>
          </w:p>
        </w:tc>
        <w:tc>
          <w:tcPr>
            <w:tcW w:type="dxa" w:w="864"/>
            <w:tcW w:w="864" w:type="dxa"/>
            <w:tcMar>
              <w:top w:w="35" w:type="dxa"/>
              <w:bottom w:w="35" w:type="dxa"/>
              <w:left w:w="20" w:type="dxa"/>
              <w:right w:w="20" w:type="dxa"/>
            </w:tcMar>
            <w:tcBorders>
              <w:bottom w:val="single" w:sz="4" w:space="0" w:color="000000"/>
            </w:tcBorders>
          </w:tcPr>
          <w:p>
            <w:pPr>
              <w:spacing w:after="0" w:line="252" w:lineRule="auto"/>
              <w:jc w:val="right"/>
            </w:pPr>
            <w:r>
              <w:rPr>
                <w:rFonts w:ascii="Times New Roman" w:hAnsi="Times New Roman"/>
                <w:b/>
                <w:color w:val="000000"/>
                <w:sz w:val="13"/>
              </w:rPr>
              <w:t>GDP YoY</w:t>
            </w:r>
          </w:p>
        </w:tc>
        <w:tc>
          <w:tcPr>
            <w:tcW w:type="dxa" w:w="864"/>
            <w:tcW w:w="864" w:type="dxa"/>
            <w:tcMar>
              <w:top w:w="35" w:type="dxa"/>
              <w:bottom w:w="35" w:type="dxa"/>
              <w:left w:w="20" w:type="dxa"/>
              <w:right w:w="20" w:type="dxa"/>
            </w:tcMar>
            <w:tcBorders>
              <w:bottom w:val="single" w:sz="4" w:space="0" w:color="000000"/>
            </w:tcBorders>
          </w:tcPr>
          <w:p>
            <w:pPr>
              <w:spacing w:after="0" w:line="252" w:lineRule="auto"/>
              <w:jc w:val="right"/>
            </w:pPr>
            <w:r>
              <w:rPr>
                <w:rFonts w:ascii="Times New Roman" w:hAnsi="Times New Roman"/>
                <w:b/>
                <w:color w:val="000000"/>
                <w:sz w:val="13"/>
              </w:rPr>
              <w:t>CPI YoY</w:t>
            </w:r>
          </w:p>
        </w:tc>
        <w:tc>
          <w:tcPr>
            <w:tcW w:type="dxa" w:w="864"/>
            <w:tcW w:w="864" w:type="dxa"/>
            <w:tcMar>
              <w:top w:w="35" w:type="dxa"/>
              <w:bottom w:w="35" w:type="dxa"/>
              <w:left w:w="20" w:type="dxa"/>
              <w:right w:w="20" w:type="dxa"/>
            </w:tcMar>
            <w:tcBorders>
              <w:bottom w:val="single" w:sz="4" w:space="0" w:color="000000"/>
            </w:tcBorders>
          </w:tcPr>
          <w:p>
            <w:pPr>
              <w:spacing w:after="0" w:line="252" w:lineRule="auto"/>
              <w:jc w:val="right"/>
            </w:pPr>
            <w:r>
              <w:rPr>
                <w:rFonts w:ascii="Times New Roman" w:hAnsi="Times New Roman"/>
                <w:b/>
                <w:color w:val="000000"/>
                <w:sz w:val="13"/>
              </w:rPr>
              <w:t>Pred FA Rate</w:t>
            </w:r>
          </w:p>
        </w:tc>
        <w:tc>
          <w:tcPr>
            <w:tcW w:type="dxa" w:w="864"/>
            <w:tcW w:w="864" w:type="dxa"/>
            <w:tcMar>
              <w:top w:w="35" w:type="dxa"/>
              <w:bottom w:w="35" w:type="dxa"/>
              <w:left w:w="20" w:type="dxa"/>
              <w:right w:w="20" w:type="dxa"/>
            </w:tcMar>
            <w:tcBorders>
              <w:bottom w:val="single" w:sz="4" w:space="0" w:color="000000"/>
            </w:tcBorders>
          </w:tcPr>
          <w:p>
            <w:pPr>
              <w:spacing w:after="0" w:line="252" w:lineRule="auto"/>
              <w:jc w:val="right"/>
            </w:pPr>
            <w:r>
              <w:rPr>
                <w:rFonts w:ascii="Times New Roman" w:hAnsi="Times New Roman"/>
                <w:b/>
                <w:color w:val="000000"/>
                <w:sz w:val="13"/>
              </w:rPr>
              <w:t>Implied FA Count</w:t>
            </w:r>
          </w:p>
        </w:tc>
        <w:tc>
          <w:tcPr>
            <w:tcW w:type="dxa" w:w="864"/>
            <w:tcW w:w="864" w:type="dxa"/>
            <w:tcMar>
              <w:top w:w="35" w:type="dxa"/>
              <w:bottom w:w="35" w:type="dxa"/>
              <w:left w:w="20" w:type="dxa"/>
              <w:right w:w="20" w:type="dxa"/>
            </w:tcMar>
            <w:tcBorders>
              <w:bottom w:val="single" w:sz="4" w:space="0" w:color="000000"/>
            </w:tcBorders>
          </w:tcPr>
          <w:p>
            <w:pPr>
              <w:spacing w:after="0" w:line="252" w:lineRule="auto"/>
              <w:jc w:val="right"/>
            </w:pPr>
            <w:r>
              <w:rPr>
                <w:rFonts w:ascii="Times New Roman" w:hAnsi="Times New Roman"/>
                <w:b/>
                <w:color w:val="000000"/>
                <w:sz w:val="13"/>
              </w:rPr>
              <w:t>Debt at Risk ($B)</w:t>
            </w:r>
          </w:p>
        </w:tc>
      </w:tr>
      <w:tr>
        <w:trPr>
          <w:cantSplit/>
        </w:trPr>
        <w:tc>
          <w:tcPr>
            <w:tcW w:type="dxa" w:w="2736"/>
            <w:tcW w:w="2736" w:type="dxa"/>
            <w:tcMar>
              <w:top w:w="35" w:type="dxa"/>
              <w:bottom w:w="35" w:type="dxa"/>
              <w:left w:w="20" w:type="dxa"/>
              <w:right w:w="20" w:type="dxa"/>
            </w:tcMar>
          </w:tcPr>
          <w:p>
            <w:pPr>
              <w:spacing w:after="0" w:line="252" w:lineRule="auto"/>
              <w:jc w:val="left"/>
            </w:pPr>
            <w:r>
              <w:rPr>
                <w:rFonts w:ascii="Times New Roman" w:hAnsi="Times New Roman"/>
                <w:color w:val="000000"/>
                <w:sz w:val="13"/>
              </w:rPr>
              <w:t>S0: Baseline Projection</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+2.1%</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+2.2%</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2.41%</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17</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$34.2B</w:t>
            </w:r>
          </w:p>
        </w:tc>
      </w:tr>
      <w:tr>
        <w:trPr>
          <w:cantSplit/>
        </w:trPr>
        <w:tc>
          <w:tcPr>
            <w:tcW w:type="dxa" w:w="2736"/>
            <w:tcW w:w="2736" w:type="dxa"/>
            <w:tcMar>
              <w:top w:w="35" w:type="dxa"/>
              <w:bottom w:w="35" w:type="dxa"/>
              <w:left w:w="20" w:type="dxa"/>
              <w:right w:w="20" w:type="dxa"/>
            </w:tcMar>
          </w:tcPr>
          <w:p>
            <w:pPr>
              <w:spacing w:after="0" w:line="252" w:lineRule="auto"/>
              <w:jc w:val="left"/>
            </w:pPr>
            <w:r>
              <w:rPr>
                <w:rFonts w:ascii="Times New Roman" w:hAnsi="Times New Roman"/>
                <w:color w:val="000000"/>
                <w:sz w:val="13"/>
              </w:rPr>
              <w:t>S1: Policy Tightening (+300bp)</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300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180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240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+0.5%</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+3.8%</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6.85%</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48</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$96.8B</w:t>
            </w:r>
          </w:p>
        </w:tc>
      </w:tr>
      <w:tr>
        <w:trPr>
          <w:cantSplit/>
        </w:trPr>
        <w:tc>
          <w:tcPr>
            <w:tcW w:type="dxa" w:w="2736"/>
            <w:tcW w:w="2736" w:type="dxa"/>
            <w:tcMar>
              <w:top w:w="35" w:type="dxa"/>
              <w:bottom w:w="35" w:type="dxa"/>
              <w:left w:w="20" w:type="dxa"/>
              <w:right w:w="20" w:type="dxa"/>
            </w:tcMar>
          </w:tcPr>
          <w:p>
            <w:pPr>
              <w:spacing w:after="0" w:line="252" w:lineRule="auto"/>
              <w:jc w:val="left"/>
            </w:pPr>
            <w:r>
              <w:rPr>
                <w:rFonts w:ascii="Times New Roman" w:hAnsi="Times New Roman"/>
                <w:color w:val="000000"/>
                <w:sz w:val="13"/>
              </w:rPr>
              <w:t>S2: Hard Landing (GFC-lite)</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-200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-150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450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-2.8%</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+1.1%</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9.42%</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66</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$133.5B</w:t>
            </w:r>
          </w:p>
        </w:tc>
      </w:tr>
      <w:tr>
        <w:trPr>
          <w:cantSplit/>
        </w:trPr>
        <w:tc>
          <w:tcPr>
            <w:tcW w:type="dxa" w:w="2736"/>
            <w:tcW w:w="2736" w:type="dxa"/>
            <w:tcMar>
              <w:top w:w="35" w:type="dxa"/>
              <w:bottom w:w="35" w:type="dxa"/>
              <w:left w:w="20" w:type="dxa"/>
              <w:right w:w="20" w:type="dxa"/>
            </w:tcMar>
          </w:tcPr>
          <w:p>
            <w:pPr>
              <w:spacing w:after="0" w:line="252" w:lineRule="auto"/>
              <w:jc w:val="left"/>
            </w:pPr>
            <w:r>
              <w:rPr>
                <w:rFonts w:ascii="Times New Roman" w:hAnsi="Times New Roman"/>
                <w:color w:val="000000"/>
                <w:sz w:val="13"/>
              </w:rPr>
              <w:t>S3: Stagflationary Squeeze</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200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150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320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-0.9%</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+6.4%</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8.14%</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57</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$115.2B</w:t>
            </w:r>
          </w:p>
        </w:tc>
      </w:tr>
      <w:tr>
        <w:trPr>
          <w:cantSplit/>
        </w:trPr>
        <w:tc>
          <w:tcPr>
            <w:tcW w:type="dxa" w:w="2736"/>
            <w:tcW w:w="2736" w:type="dxa"/>
            <w:tcMar>
              <w:top w:w="35" w:type="dxa"/>
              <w:bottom w:w="35" w:type="dxa"/>
              <w:left w:w="20" w:type="dxa"/>
              <w:right w:w="20" w:type="dxa"/>
            </w:tcMar>
          </w:tcPr>
          <w:p>
            <w:pPr>
              <w:spacing w:after="0" w:line="252" w:lineRule="auto"/>
              <w:jc w:val="left"/>
            </w:pPr>
            <w:r>
              <w:rPr>
                <w:rFonts w:ascii="Times New Roman" w:hAnsi="Times New Roman"/>
                <w:color w:val="000000"/>
                <w:sz w:val="13"/>
              </w:rPr>
              <w:t>S4: Soft Landing / Easing</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-150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-80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-70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+2.4%</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1.82%</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13</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$25.8B</w:t>
            </w:r>
          </w:p>
        </w:tc>
      </w:tr>
      <w:tr>
        <w:trPr>
          <w:cantSplit/>
        </w:trPr>
        <w:tc>
          <w:tcPr>
            <w:tcW w:type="dxa" w:w="2736"/>
            <w:tcW w:w="2736" w:type="dxa"/>
            <w:tcMar>
              <w:top w:w="35" w:type="dxa"/>
              <w:bottom w:w="35" w:type="dxa"/>
              <w:left w:w="20" w:type="dxa"/>
              <w:right w:w="20" w:type="dxa"/>
            </w:tcMar>
          </w:tcPr>
          <w:p>
            <w:pPr>
              <w:spacing w:after="0" w:line="252" w:lineRule="auto"/>
              <w:jc w:val="left"/>
            </w:pPr>
            <w:r>
              <w:rPr>
                <w:rFonts w:ascii="Times New Roman" w:hAnsi="Times New Roman"/>
                <w:color w:val="000000"/>
                <w:sz w:val="13"/>
              </w:rPr>
              <w:t>N5: Reverse Stress Test (GFC Target: 12%)</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380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240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580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-3.4%</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+5.2%</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12.00%</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84</w:t>
            </w:r>
          </w:p>
        </w:tc>
        <w:tc>
          <w:tcPr>
            <w:tcW w:type="dxa" w:w="864"/>
            <w:tcW w:w="864" w:type="dxa"/>
            <w:tcMar>
              <w:top w:w="35" w:type="dxa"/>
              <w:bottom w:w="35" w:type="dxa"/>
              <w:left w:w="20" w:type="dxa"/>
              <w:right w:w="20" w:type="dxa"/>
            </w:tcMar>
          </w:tcPr>
          <w:p>
            <w:pPr>
              <w:spacing w:after="0" w:line="252" w:lineRule="auto"/>
              <w:jc w:val="right"/>
            </w:pPr>
            <w:r>
              <w:rPr>
                <w:rFonts w:ascii="Times New Roman" w:hAnsi="Times New Roman"/>
                <w:color w:val="000000"/>
                <w:sz w:val="13"/>
              </w:rPr>
              <w:t>$170.0B</w:t>
            </w:r>
          </w:p>
        </w:tc>
      </w:tr>
    </w:tbl>
    <w:p>
      <w:pPr>
        <w:spacing w:before="40" w:after="80"/>
      </w:pPr>
      <w:r>
        <w:rPr>
          <w:rFonts w:ascii="Times New Roman" w:hAnsi="Times New Roman"/>
          <w:i/>
          <w:color w:val="000000"/>
          <w:sz w:val="15"/>
        </w:rPr>
        <w:t>Note: Stress projections evaluated using Waggoner &amp; Zha (1999) conditional VAR simulation across an 8-quarter forecast horizon. Debt-at-risk computed using par value of outstanding bonds.</w:t>
      </w:r>
    </w:p>
    <w:p>
      <w:pPr>
        <w:spacing w:after="80" w:line="276" w:lineRule="auto"/>
        <w:jc w:val="both"/>
      </w:pPr>
      <w:r>
        <w:rPr>
          <w:rFonts w:ascii="Times New Roman" w:hAnsi="Times New Roman"/>
          <w:color w:val="000000"/>
          <w:sz w:val="20"/>
        </w:rPr>
        <w:t xml:space="preserve">Table IX reports projected portfolio impacts across coherent macroeconomic scenarios. In S1 (+300 bp policy tightening), the fallen-angel rate increases to 6.85%, generating </w:t>
      </w:r>
      <w:r>
        <w:rPr>
          <w:rFonts w:ascii="Times New Roman" w:hAnsi="Times New Roman"/>
          <w:b w:val="0"/>
          <w:i w:val="0"/>
          <w:color w:val="000000"/>
          <w:sz w:val="20"/>
        </w:rPr>
        <w:t xml:space="preserve">96.8 </w:t>
      </w:r>
      <w:r>
        <w:rPr>
          <w:rFonts w:ascii="Times New Roman" w:hAnsi="Times New Roman"/>
          <w:b w:val="0"/>
          <w:i/>
          <w:color w:val="000000"/>
          <w:sz w:val="20"/>
        </w:rPr>
        <w:t>Billion</w:t>
      </w:r>
      <w:r>
        <w:rPr>
          <w:rFonts w:ascii="Times New Roman" w:hAnsi="Times New Roman"/>
          <w:b w:val="0"/>
          <w:i w:val="0"/>
          <w:color w:val="000000"/>
          <w:sz w:val="20"/>
        </w:rPr>
        <w:t xml:space="preserve"> </w:t>
      </w:r>
      <w:r>
        <w:rPr>
          <w:rFonts w:ascii="Times New Roman" w:hAnsi="Times New Roman"/>
          <w:b w:val="0"/>
          <w:i/>
          <w:color w:val="000000"/>
          <w:sz w:val="20"/>
        </w:rPr>
        <w:t>in</w:t>
      </w:r>
      <w:r>
        <w:rPr>
          <w:rFonts w:ascii="Times New Roman" w:hAnsi="Times New Roman"/>
          <w:b w:val="0"/>
          <w:i w:val="0"/>
          <w:color w:val="000000"/>
          <w:sz w:val="20"/>
        </w:rPr>
        <w:t xml:space="preserve"> </w:t>
      </w:r>
      <w:r>
        <w:rPr>
          <w:rFonts w:ascii="Times New Roman" w:hAnsi="Times New Roman"/>
          <w:b w:val="0"/>
          <w:i/>
          <w:color w:val="000000"/>
          <w:sz w:val="20"/>
        </w:rPr>
        <w:t>corporate</w:t>
      </w:r>
      <w:r>
        <w:rPr>
          <w:rFonts w:ascii="Times New Roman" w:hAnsi="Times New Roman"/>
          <w:b w:val="0"/>
          <w:i w:val="0"/>
          <w:color w:val="000000"/>
          <w:sz w:val="20"/>
        </w:rPr>
        <w:t xml:space="preserve"> </w:t>
      </w:r>
      <w:r>
        <w:rPr>
          <w:rFonts w:ascii="Times New Roman" w:hAnsi="Times New Roman"/>
          <w:b w:val="0"/>
          <w:i/>
          <w:color w:val="000000"/>
          <w:sz w:val="20"/>
        </w:rPr>
        <w:t>debt</w:t>
      </w:r>
      <w:r>
        <w:rPr>
          <w:rFonts w:ascii="Times New Roman" w:hAnsi="Times New Roman"/>
          <w:b w:val="0"/>
          <w:i w:val="0"/>
          <w:color w:val="000000"/>
          <w:sz w:val="20"/>
        </w:rPr>
        <w:t>-</w:t>
      </w:r>
      <w:r>
        <w:rPr>
          <w:rFonts w:ascii="Times New Roman" w:hAnsi="Times New Roman"/>
          <w:b w:val="0"/>
          <w:i/>
          <w:color w:val="000000"/>
          <w:sz w:val="20"/>
        </w:rPr>
        <w:t>at</w:t>
      </w:r>
      <w:r>
        <w:rPr>
          <w:rFonts w:ascii="Times New Roman" w:hAnsi="Times New Roman"/>
          <w:b w:val="0"/>
          <w:i w:val="0"/>
          <w:color w:val="000000"/>
          <w:sz w:val="20"/>
        </w:rPr>
        <w:t>-</w:t>
      </w:r>
      <w:r>
        <w:rPr>
          <w:rFonts w:ascii="Times New Roman" w:hAnsi="Times New Roman"/>
          <w:b w:val="0"/>
          <w:i/>
          <w:color w:val="000000"/>
          <w:sz w:val="20"/>
        </w:rPr>
        <w:t>risk</w:t>
      </w:r>
      <w:r>
        <w:rPr>
          <w:rFonts w:ascii="Times New Roman" w:hAnsi="Times New Roman"/>
          <w:b w:val="0"/>
          <w:i w:val="0"/>
          <w:color w:val="000000"/>
          <w:sz w:val="20"/>
        </w:rPr>
        <w:t xml:space="preserve">. </w:t>
      </w:r>
      <w:r>
        <w:rPr>
          <w:rFonts w:ascii="Times New Roman" w:hAnsi="Times New Roman"/>
          <w:b w:val="0"/>
          <w:i/>
          <w:color w:val="000000"/>
          <w:sz w:val="20"/>
        </w:rPr>
        <w:t>In</w:t>
      </w:r>
      <w:r>
        <w:rPr>
          <w:rFonts w:ascii="Times New Roman" w:hAnsi="Times New Roman"/>
          <w:b w:val="0"/>
          <w:i w:val="0"/>
          <w:color w:val="000000"/>
          <w:sz w:val="20"/>
        </w:rPr>
        <w:t xml:space="preserve"> </w:t>
      </w:r>
      <w:r>
        <w:rPr>
          <w:rFonts w:ascii="Times New Roman" w:hAnsi="Times New Roman"/>
          <w:b w:val="0"/>
          <w:i/>
          <w:color w:val="000000"/>
          <w:sz w:val="20"/>
        </w:rPr>
        <w:t>the</w:t>
      </w:r>
      <w:r>
        <w:rPr>
          <w:rFonts w:ascii="Times New Roman" w:hAnsi="Times New Roman"/>
          <w:b w:val="0"/>
          <w:i w:val="0"/>
          <w:color w:val="000000"/>
          <w:sz w:val="20"/>
        </w:rPr>
        <w:t xml:space="preserve"> </w:t>
      </w:r>
      <w:r>
        <w:rPr>
          <w:rFonts w:ascii="Times New Roman" w:hAnsi="Times New Roman"/>
          <w:b w:val="0"/>
          <w:i/>
          <w:color w:val="000000"/>
          <w:sz w:val="20"/>
        </w:rPr>
        <w:t>S</w:t>
      </w:r>
      <w:r>
        <w:rPr>
          <w:rFonts w:ascii="Times New Roman" w:hAnsi="Times New Roman"/>
          <w:b w:val="0"/>
          <w:i w:val="0"/>
          <w:color w:val="000000"/>
          <w:sz w:val="20"/>
        </w:rPr>
        <w:t xml:space="preserve">2 </w:t>
      </w:r>
      <w:r>
        <w:rPr>
          <w:rFonts w:ascii="Times New Roman" w:hAnsi="Times New Roman"/>
          <w:b w:val="0"/>
          <w:i/>
          <w:color w:val="000000"/>
          <w:sz w:val="20"/>
        </w:rPr>
        <w:t>Hard</w:t>
      </w:r>
      <w:r>
        <w:rPr>
          <w:rFonts w:ascii="Times New Roman" w:hAnsi="Times New Roman"/>
          <w:b w:val="0"/>
          <w:i w:val="0"/>
          <w:color w:val="000000"/>
          <w:sz w:val="20"/>
        </w:rPr>
        <w:t xml:space="preserve"> </w:t>
      </w:r>
      <w:r>
        <w:rPr>
          <w:rFonts w:ascii="Times New Roman" w:hAnsi="Times New Roman"/>
          <w:b w:val="0"/>
          <w:i/>
          <w:color w:val="000000"/>
          <w:sz w:val="20"/>
        </w:rPr>
        <w:t>Landing</w:t>
      </w:r>
      <w:r>
        <w:rPr>
          <w:rFonts w:ascii="Times New Roman" w:hAnsi="Times New Roman"/>
          <w:b w:val="0"/>
          <w:i w:val="0"/>
          <w:color w:val="000000"/>
          <w:sz w:val="20"/>
        </w:rPr>
        <w:t xml:space="preserve"> </w:t>
      </w:r>
      <w:r>
        <w:rPr>
          <w:rFonts w:ascii="Times New Roman" w:hAnsi="Times New Roman"/>
          <w:b w:val="0"/>
          <w:i/>
          <w:color w:val="000000"/>
          <w:sz w:val="20"/>
        </w:rPr>
        <w:t>scenario</w:t>
      </w:r>
      <w:r>
        <w:rPr>
          <w:rFonts w:ascii="Times New Roman" w:hAnsi="Times New Roman"/>
          <w:b w:val="0"/>
          <w:i w:val="0"/>
          <w:color w:val="000000"/>
          <w:sz w:val="20"/>
        </w:rPr>
        <w:t xml:space="preserve">, </w:t>
      </w:r>
      <w:r>
        <w:rPr>
          <w:rFonts w:ascii="Times New Roman" w:hAnsi="Times New Roman"/>
          <w:b w:val="0"/>
          <w:i/>
          <w:color w:val="000000"/>
          <w:sz w:val="20"/>
        </w:rPr>
        <w:t>the</w:t>
      </w:r>
      <w:r>
        <w:rPr>
          <w:rFonts w:ascii="Times New Roman" w:hAnsi="Times New Roman"/>
          <w:b w:val="0"/>
          <w:i w:val="0"/>
          <w:color w:val="000000"/>
          <w:sz w:val="20"/>
        </w:rPr>
        <w:t xml:space="preserve"> </w:t>
      </w:r>
      <w:r>
        <w:rPr>
          <w:rFonts w:ascii="Times New Roman" w:hAnsi="Times New Roman"/>
          <w:b w:val="0"/>
          <w:i/>
          <w:color w:val="000000"/>
          <w:sz w:val="20"/>
        </w:rPr>
        <w:t>transition</w:t>
      </w:r>
      <w:r>
        <w:rPr>
          <w:rFonts w:ascii="Times New Roman" w:hAnsi="Times New Roman"/>
          <w:b w:val="0"/>
          <w:i w:val="0"/>
          <w:color w:val="000000"/>
          <w:sz w:val="20"/>
        </w:rPr>
        <w:t xml:space="preserve"> </w:t>
      </w:r>
      <w:r>
        <w:rPr>
          <w:rFonts w:ascii="Times New Roman" w:hAnsi="Times New Roman"/>
          <w:b w:val="0"/>
          <w:i/>
          <w:color w:val="000000"/>
          <w:sz w:val="20"/>
        </w:rPr>
        <w:t>rate</w:t>
      </w:r>
      <w:r>
        <w:rPr>
          <w:rFonts w:ascii="Times New Roman" w:hAnsi="Times New Roman"/>
          <w:b w:val="0"/>
          <w:i w:val="0"/>
          <w:color w:val="000000"/>
          <w:sz w:val="20"/>
        </w:rPr>
        <w:t xml:space="preserve"> </w:t>
      </w:r>
      <w:r>
        <w:rPr>
          <w:rFonts w:ascii="Times New Roman" w:hAnsi="Times New Roman"/>
          <w:b w:val="0"/>
          <w:i/>
          <w:color w:val="000000"/>
          <w:sz w:val="20"/>
        </w:rPr>
        <w:t>reaches</w:t>
      </w:r>
      <w:r>
        <w:rPr>
          <w:rFonts w:ascii="Times New Roman" w:hAnsi="Times New Roman"/>
          <w:b w:val="0"/>
          <w:i w:val="0"/>
          <w:color w:val="000000"/>
          <w:sz w:val="20"/>
        </w:rPr>
        <w:t xml:space="preserve"> 9.42% (</w:t>
      </w:r>
      <w:r>
        <w:rPr>
          <w:rFonts w:ascii="Times New Roman" w:hAnsi="Times New Roman"/>
          <w:color w:val="000000"/>
          <w:sz w:val="20"/>
        </w:rPr>
        <w:t>133.5B debt-at-risk). Analytical reverse stress testing (Scenario N5) identifies the joint macroeconomic shock path required to generate a crisis-level 12.00% fallen-angel rate, requiring a +380 bp rate shock, a +580 bp credit spread blowout, and a -3.4% GDP contraction, exposing $170.0 Billion in institutional capital to forced-sale liquidations.</w:t>
      </w:r>
    </w:p>
    <w:p>
      <w:pPr>
        <w:keepNext/>
        <w:spacing w:before="80" w:after="40"/>
        <w:jc w:val="center"/>
      </w:pPr>
      <w:r>
        <w:drawing>
          <wp:inline xmlns:a="http://schemas.openxmlformats.org/drawingml/2006/main" xmlns:pic="http://schemas.openxmlformats.org/drawingml/2006/picture">
            <wp:extent cx="4206240" cy="1456006"/>
            <wp:docPr id="9" name="Picture 9"/>
            <wp:cNvGraphicFramePr>
              <a:graphicFrameLocks noChangeAspect="1"/>
            </wp:cNvGraphicFramePr>
            <a:graphic>
              <a:graphicData uri="http://schemas.openxmlformats.org/drawingml/2006/picture">
                <pic:pic>
                  <pic:nvPicPr>
                    <pic:cNvPr id="0" name="fig9_var_scenarios.png"/>
                    <pic:cNvPicPr/>
                  </pic:nvPicPr>
                  <pic:blipFill>
                    <a:blip r:embed="rId19"/>
                    <a:stretch>
                      <a:fillRect/>
                    </a:stretch>
                  </pic:blipFill>
                  <pic:spPr>
                    <a:xfrm>
                      <a:off x="0" y="0"/>
                      <a:ext cx="4206240" cy="1456006"/>
                    </a:xfrm>
                    <a:prstGeom prst="rect"/>
                  </pic:spPr>
                </pic:pic>
              </a:graphicData>
            </a:graphic>
          </wp:inline>
        </w:drawing>
      </w:r>
    </w:p>
    <w:p>
      <w:pPr>
        <w:keepNext/>
        <w:spacing w:before="20" w:after="100"/>
        <w:jc w:val="center"/>
      </w:pPr>
      <w:r>
        <w:rPr>
          <w:rFonts w:ascii="Times New Roman" w:hAnsi="Times New Roman"/>
          <w:color w:val="000000"/>
          <w:sz w:val="16"/>
        </w:rPr>
        <w:t>Fig. 9. Conditional VAR Scenario Trajectories and Coherent Macroeconomic Stress Test Paths.</w:t>
      </w:r>
    </w:p>
    <w:p>
      <w:pPr>
        <w:spacing w:after="80" w:line="276" w:lineRule="auto"/>
        <w:jc w:val="both"/>
      </w:pPr>
      <w:r>
        <w:rPr>
          <w:rFonts w:ascii="Times New Roman" w:hAnsi="Times New Roman"/>
          <w:color w:val="000000"/>
          <w:sz w:val="20"/>
        </w:rPr>
        <w:t>Figure 9 depicts the structural Vector Autoregression impulse response paths and scenario trajectories across the 8-quarter simulation horizon.</w:t>
      </w:r>
    </w:p>
    <w:p>
      <w:pPr>
        <w:keepNext/>
        <w:pageBreakBefore/>
        <w:spacing w:before="280" w:after="80"/>
        <w:jc w:val="center"/>
      </w:pPr>
      <w:r>
        <w:rPr>
          <w:rFonts w:ascii="Times New Roman" w:hAnsi="Times New Roman"/>
          <w:b/>
          <w:color w:val="000000"/>
          <w:sz w:val="22"/>
        </w:rPr>
        <w:t>VII. ROBUSTNESS CHECKS, PLACEBO CONTROLS &amp; SENSITIVITY ANALYSIS</w:t>
      </w:r>
    </w:p>
    <w:p>
      <w:pPr>
        <w:spacing w:after="80" w:line="276" w:lineRule="auto"/>
        <w:jc w:val="both"/>
      </w:pPr>
      <w:r>
        <w:rPr>
          <w:rFonts w:ascii="Times New Roman" w:hAnsi="Times New Roman"/>
          <w:color w:val="000000"/>
          <w:sz w:val="20"/>
        </w:rPr>
        <w:t>To ensure empirical validity and rule out look-ahead leakage or mechanical artifacts, we conduct a comprehensive battery of sensitivity checks and negative controls.</w:t>
      </w:r>
    </w:p>
    <w:p>
      <w:pPr>
        <w:keepNext/>
        <w:spacing w:before="220" w:after="30"/>
        <w:jc w:val="center"/>
      </w:pPr>
      <w:r>
        <w:rPr>
          <w:rFonts w:ascii="Times New Roman" w:hAnsi="Times New Roman"/>
          <w:b/>
          <w:color w:val="000000"/>
          <w:sz w:val="18"/>
        </w:rPr>
        <w:t>TABLE X</w:t>
      </w:r>
    </w:p>
    <w:p>
      <w:pPr>
        <w:keepNext/>
        <w:spacing w:after="80"/>
        <w:jc w:val="center"/>
      </w:pPr>
      <w:r>
        <w:rPr>
          <w:rFonts w:ascii="Times New Roman" w:hAnsi="Times New Roman"/>
          <w:color w:val="000000"/>
          <w:sz w:val="17"/>
        </w:rPr>
        <w:t>MODEL ROBUSTNESS CHECKS AND PLACEBO PERMUTATION CONTROLS</w:t>
      </w:r>
    </w:p>
    <w:tbl>
      <w:tblPr>
        <w:tblW w:type="auto" w:w="0"/>
        <w:jc w:val="center"/>
        <w:tblLayout w:type="fixed"/>
        <w:tblLook w:firstColumn="1" w:firstRow="1" w:lastColumn="0" w:lastRow="0" w:noHBand="0" w:noVBand="1" w:val="04A0"/>
        <w:tblW w:w="9648" w:type="dxa"/>
        <w:tblLayout w:type="fixed"/>
        <w:tblBorders>
          <w:top w:val="single" w:sz="8" w:space="0" w:color="000000"/>
          <w:bottom w:val="single" w:sz="8" w:space="0" w:color="000000"/>
          <w:left w:val="none"/>
          <w:right w:val="none"/>
          <w:insideH w:val="none"/>
          <w:insideV w:val="none"/>
        </w:tblBorders>
      </w:tblPr>
      <w:tblGrid>
        <w:gridCol w:w="4608"/>
        <w:gridCol w:w="1584"/>
        <w:gridCol w:w="3456"/>
      </w:tblGrid>
      <w:tr>
        <w:trPr>
          <w:cantSplit/>
          <w:tblHeader/>
        </w:trPr>
        <w:tc>
          <w:tcPr>
            <w:tcW w:type="dxa" w:w="4608"/>
            <w:tcW w:w="4608" w:type="dxa"/>
            <w:tcMar>
              <w:top w:w="35" w:type="dxa"/>
              <w:bottom w:w="35" w:type="dxa"/>
              <w:left w:w="40" w:type="dxa"/>
              <w:right w:w="40" w:type="dxa"/>
            </w:tcMar>
            <w:tcBorders>
              <w:bottom w:val="single" w:sz="4" w:space="0" w:color="000000"/>
            </w:tcBorders>
          </w:tcPr>
          <w:p>
            <w:pPr>
              <w:spacing w:after="0" w:line="252" w:lineRule="auto"/>
              <w:jc w:val="left"/>
            </w:pPr>
            <w:r>
              <w:rPr>
                <w:rFonts w:ascii="Times New Roman" w:hAnsi="Times New Roman"/>
                <w:b/>
                <w:color w:val="000000"/>
                <w:sz w:val="15"/>
              </w:rPr>
              <w:t>Specification / Check</w:t>
            </w:r>
          </w:p>
        </w:tc>
        <w:tc>
          <w:tcPr>
            <w:tcW w:type="dxa" w:w="1584"/>
            <w:tcW w:w="1584" w:type="dxa"/>
            <w:tcMar>
              <w:top w:w="35" w:type="dxa"/>
              <w:bottom w:w="35" w:type="dxa"/>
              <w:left w:w="40" w:type="dxa"/>
              <w:right w:w="40" w:type="dxa"/>
            </w:tcMar>
            <w:tcBorders>
              <w:bottom w:val="single" w:sz="4" w:space="0" w:color="000000"/>
            </w:tcBorders>
          </w:tcPr>
          <w:p>
            <w:pPr>
              <w:spacing w:after="0" w:line="252" w:lineRule="auto"/>
              <w:jc w:val="right"/>
            </w:pPr>
            <w:r>
              <w:rPr>
                <w:rFonts w:ascii="Times New Roman" w:hAnsi="Times New Roman"/>
                <w:b/>
                <w:color w:val="000000"/>
                <w:sz w:val="15"/>
              </w:rPr>
              <w:t>ROC-AUC</w:t>
            </w:r>
          </w:p>
        </w:tc>
        <w:tc>
          <w:tcPr>
            <w:tcW w:type="dxa" w:w="3456"/>
            <w:tcW w:w="3456" w:type="dxa"/>
            <w:tcMar>
              <w:top w:w="35" w:type="dxa"/>
              <w:bottom w:w="35" w:type="dxa"/>
              <w:left w:w="40" w:type="dxa"/>
              <w:right w:w="40" w:type="dxa"/>
            </w:tcMar>
            <w:tcBorders>
              <w:bottom w:val="single" w:sz="4" w:space="0" w:color="000000"/>
            </w:tcBorders>
          </w:tcPr>
          <w:p>
            <w:pPr>
              <w:spacing w:after="0" w:line="252" w:lineRule="auto"/>
              <w:jc w:val="right"/>
            </w:pPr>
            <w:r>
              <w:rPr>
                <w:rFonts w:ascii="Times New Roman" w:hAnsi="Times New Roman"/>
                <w:b/>
                <w:color w:val="000000"/>
                <w:sz w:val="15"/>
              </w:rPr>
              <w:t>Status</w:t>
            </w:r>
          </w:p>
        </w:tc>
      </w:tr>
      <w:tr>
        <w:trPr>
          <w:cantSplit/>
        </w:trPr>
        <w:tc>
          <w:tcPr>
            <w:tcW w:type="dxa" w:w="4608"/>
            <w:tcW w:w="4608" w:type="dxa"/>
            <w:tcMar>
              <w:top w:w="35" w:type="dxa"/>
              <w:bottom w:w="35" w:type="dxa"/>
              <w:left w:w="40" w:type="dxa"/>
              <w:right w:w="40" w:type="dxa"/>
            </w:tcMar>
          </w:tcPr>
          <w:p>
            <w:pPr>
              <w:spacing w:after="0" w:line="252" w:lineRule="auto"/>
              <w:jc w:val="left"/>
            </w:pPr>
            <w:r>
              <w:rPr>
                <w:rFonts w:ascii="Times New Roman" w:hAnsi="Times New Roman"/>
                <w:color w:val="000000"/>
                <w:sz w:val="15"/>
              </w:rPr>
              <w:t>Core Model: Macro-Augmented 12M Horizon (Test 2020-2025)</w:t>
            </w:r>
          </w:p>
        </w:tc>
        <w:tc>
          <w:tcPr>
            <w:tcW w:type="dxa" w:w="1584"/>
            <w:tcW w:w="1584" w:type="dxa"/>
            <w:tcMar>
              <w:top w:w="35" w:type="dxa"/>
              <w:bottom w:w="35" w:type="dxa"/>
              <w:left w:w="40" w:type="dxa"/>
              <w:right w:w="40" w:type="dxa"/>
            </w:tcMar>
          </w:tcPr>
          <w:p>
            <w:pPr>
              <w:spacing w:after="0" w:line="252" w:lineRule="auto"/>
              <w:jc w:val="right"/>
            </w:pPr>
            <w:r>
              <w:rPr>
                <w:rFonts w:ascii="Times New Roman" w:hAnsi="Times New Roman"/>
                <w:color w:val="000000"/>
                <w:sz w:val="15"/>
              </w:rPr>
              <w:t>0.8019</w:t>
            </w:r>
          </w:p>
        </w:tc>
        <w:tc>
          <w:tcPr>
            <w:tcW w:type="dxa" w:w="3456"/>
            <w:tcW w:w="3456" w:type="dxa"/>
            <w:tcMar>
              <w:top w:w="35" w:type="dxa"/>
              <w:bottom w:w="35" w:type="dxa"/>
              <w:left w:w="40" w:type="dxa"/>
              <w:right w:w="40" w:type="dxa"/>
            </w:tcMar>
          </w:tcPr>
          <w:p>
            <w:pPr>
              <w:spacing w:after="0" w:line="252" w:lineRule="auto"/>
              <w:jc w:val="right"/>
            </w:pPr>
            <w:r>
              <w:rPr>
                <w:rFonts w:ascii="Times New Roman" w:hAnsi="Times New Roman"/>
                <w:color w:val="000000"/>
                <w:sz w:val="15"/>
              </w:rPr>
              <w:t>Baseline Spec</w:t>
            </w:r>
          </w:p>
        </w:tc>
      </w:tr>
      <w:tr>
        <w:trPr>
          <w:cantSplit/>
        </w:trPr>
        <w:tc>
          <w:tcPr>
            <w:tcW w:type="dxa" w:w="4608"/>
            <w:tcW w:w="4608" w:type="dxa"/>
            <w:tcMar>
              <w:top w:w="35" w:type="dxa"/>
              <w:bottom w:w="35" w:type="dxa"/>
              <w:left w:w="40" w:type="dxa"/>
              <w:right w:w="40" w:type="dxa"/>
            </w:tcMar>
          </w:tcPr>
          <w:p>
            <w:pPr>
              <w:spacing w:after="0" w:line="252" w:lineRule="auto"/>
              <w:jc w:val="left"/>
            </w:pPr>
            <w:r>
              <w:rPr>
                <w:rFonts w:ascii="Times New Roman" w:hAnsi="Times New Roman"/>
                <w:color w:val="000000"/>
                <w:sz w:val="15"/>
              </w:rPr>
              <w:t>Alternative Horizon: 2-Quarter (6-Month) Horizon</w:t>
            </w:r>
          </w:p>
        </w:tc>
        <w:tc>
          <w:tcPr>
            <w:tcW w:type="dxa" w:w="1584"/>
            <w:tcW w:w="1584" w:type="dxa"/>
            <w:tcMar>
              <w:top w:w="35" w:type="dxa"/>
              <w:bottom w:w="35" w:type="dxa"/>
              <w:left w:w="40" w:type="dxa"/>
              <w:right w:w="40" w:type="dxa"/>
            </w:tcMar>
          </w:tcPr>
          <w:p>
            <w:pPr>
              <w:spacing w:after="0" w:line="252" w:lineRule="auto"/>
              <w:jc w:val="right"/>
            </w:pPr>
            <w:r>
              <w:rPr>
                <w:rFonts w:ascii="Times New Roman" w:hAnsi="Times New Roman"/>
                <w:color w:val="000000"/>
                <w:sz w:val="15"/>
              </w:rPr>
              <w:t>0.8512</w:t>
            </w:r>
          </w:p>
        </w:tc>
        <w:tc>
          <w:tcPr>
            <w:tcW w:type="dxa" w:w="3456"/>
            <w:tcW w:w="3456" w:type="dxa"/>
            <w:tcMar>
              <w:top w:w="35" w:type="dxa"/>
              <w:bottom w:w="35" w:type="dxa"/>
              <w:left w:w="40" w:type="dxa"/>
              <w:right w:w="40" w:type="dxa"/>
            </w:tcMar>
          </w:tcPr>
          <w:p>
            <w:pPr>
              <w:spacing w:after="0" w:line="252" w:lineRule="auto"/>
              <w:jc w:val="right"/>
            </w:pPr>
            <w:r>
              <w:rPr>
                <w:rFonts w:ascii="Times New Roman" w:hAnsi="Times New Roman"/>
                <w:color w:val="000000"/>
                <w:sz w:val="15"/>
              </w:rPr>
              <w:t>Consistent &amp; High Power</w:t>
            </w:r>
          </w:p>
        </w:tc>
      </w:tr>
      <w:tr>
        <w:trPr>
          <w:cantSplit/>
        </w:trPr>
        <w:tc>
          <w:tcPr>
            <w:tcW w:type="dxa" w:w="4608"/>
            <w:tcW w:w="4608" w:type="dxa"/>
            <w:tcMar>
              <w:top w:w="35" w:type="dxa"/>
              <w:bottom w:w="35" w:type="dxa"/>
              <w:left w:w="40" w:type="dxa"/>
              <w:right w:w="40" w:type="dxa"/>
            </w:tcMar>
          </w:tcPr>
          <w:p>
            <w:pPr>
              <w:spacing w:after="0" w:line="252" w:lineRule="auto"/>
              <w:jc w:val="left"/>
            </w:pPr>
            <w:r>
              <w:rPr>
                <w:rFonts w:ascii="Times New Roman" w:hAnsi="Times New Roman"/>
                <w:color w:val="000000"/>
                <w:sz w:val="15"/>
              </w:rPr>
              <w:t>Alternative Horizon: 8-Quarter (24-Month) Horizon</w:t>
            </w:r>
          </w:p>
        </w:tc>
        <w:tc>
          <w:tcPr>
            <w:tcW w:type="dxa" w:w="1584"/>
            <w:tcW w:w="1584" w:type="dxa"/>
            <w:tcMar>
              <w:top w:w="35" w:type="dxa"/>
              <w:bottom w:w="35" w:type="dxa"/>
              <w:left w:w="40" w:type="dxa"/>
              <w:right w:w="40" w:type="dxa"/>
            </w:tcMar>
          </w:tcPr>
          <w:p>
            <w:pPr>
              <w:spacing w:after="0" w:line="252" w:lineRule="auto"/>
              <w:jc w:val="right"/>
            </w:pPr>
            <w:r>
              <w:rPr>
                <w:rFonts w:ascii="Times New Roman" w:hAnsi="Times New Roman"/>
                <w:color w:val="000000"/>
                <w:sz w:val="15"/>
              </w:rPr>
              <w:t>0.8045</w:t>
            </w:r>
          </w:p>
        </w:tc>
        <w:tc>
          <w:tcPr>
            <w:tcW w:type="dxa" w:w="3456"/>
            <w:tcW w:w="3456" w:type="dxa"/>
            <w:tcMar>
              <w:top w:w="35" w:type="dxa"/>
              <w:bottom w:w="35" w:type="dxa"/>
              <w:left w:w="40" w:type="dxa"/>
              <w:right w:w="40" w:type="dxa"/>
            </w:tcMar>
          </w:tcPr>
          <w:p>
            <w:pPr>
              <w:spacing w:after="0" w:line="252" w:lineRule="auto"/>
              <w:jc w:val="right"/>
            </w:pPr>
            <w:r>
              <w:rPr>
                <w:rFonts w:ascii="Times New Roman" w:hAnsi="Times New Roman"/>
                <w:color w:val="000000"/>
                <w:sz w:val="15"/>
              </w:rPr>
              <w:t>Mean Reversion Observed</w:t>
            </w:r>
          </w:p>
        </w:tc>
      </w:tr>
      <w:tr>
        <w:trPr>
          <w:cantSplit/>
        </w:trPr>
        <w:tc>
          <w:tcPr>
            <w:tcW w:type="dxa" w:w="4608"/>
            <w:tcW w:w="4608" w:type="dxa"/>
            <w:tcMar>
              <w:top w:w="35" w:type="dxa"/>
              <w:bottom w:w="35" w:type="dxa"/>
              <w:left w:w="40" w:type="dxa"/>
              <w:right w:w="40" w:type="dxa"/>
            </w:tcMar>
          </w:tcPr>
          <w:p>
            <w:pPr>
              <w:spacing w:after="0" w:line="252" w:lineRule="auto"/>
              <w:jc w:val="left"/>
            </w:pPr>
            <w:r>
              <w:rPr>
                <w:rFonts w:ascii="Times New Roman" w:hAnsi="Times New Roman"/>
                <w:color w:val="000000"/>
                <w:sz w:val="15"/>
              </w:rPr>
              <w:t>Subsample Check: Exclude 2008-2009 Global Financial Crisis</w:t>
            </w:r>
          </w:p>
        </w:tc>
        <w:tc>
          <w:tcPr>
            <w:tcW w:type="dxa" w:w="1584"/>
            <w:tcW w:w="1584" w:type="dxa"/>
            <w:tcMar>
              <w:top w:w="35" w:type="dxa"/>
              <w:bottom w:w="35" w:type="dxa"/>
              <w:left w:w="40" w:type="dxa"/>
              <w:right w:w="40" w:type="dxa"/>
            </w:tcMar>
          </w:tcPr>
          <w:p>
            <w:pPr>
              <w:spacing w:after="0" w:line="252" w:lineRule="auto"/>
              <w:jc w:val="right"/>
            </w:pPr>
            <w:r>
              <w:rPr>
                <w:rFonts w:ascii="Times New Roman" w:hAnsi="Times New Roman"/>
                <w:color w:val="000000"/>
                <w:sz w:val="15"/>
              </w:rPr>
              <w:t>0.8240</w:t>
            </w:r>
          </w:p>
        </w:tc>
        <w:tc>
          <w:tcPr>
            <w:tcW w:type="dxa" w:w="3456"/>
            <w:tcW w:w="3456" w:type="dxa"/>
            <w:tcMar>
              <w:top w:w="35" w:type="dxa"/>
              <w:bottom w:w="35" w:type="dxa"/>
              <w:left w:w="40" w:type="dxa"/>
              <w:right w:w="40" w:type="dxa"/>
            </w:tcMar>
          </w:tcPr>
          <w:p>
            <w:pPr>
              <w:spacing w:after="0" w:line="252" w:lineRule="auto"/>
              <w:jc w:val="right"/>
            </w:pPr>
            <w:r>
              <w:rPr>
                <w:rFonts w:ascii="Times New Roman" w:hAnsi="Times New Roman"/>
                <w:color w:val="000000"/>
                <w:sz w:val="15"/>
              </w:rPr>
              <w:t>Robust (No Crisis Overfitting)</w:t>
            </w:r>
          </w:p>
        </w:tc>
      </w:tr>
      <w:tr>
        <w:trPr>
          <w:cantSplit/>
        </w:trPr>
        <w:tc>
          <w:tcPr>
            <w:tcW w:type="dxa" w:w="4608"/>
            <w:tcW w:w="4608" w:type="dxa"/>
            <w:tcMar>
              <w:top w:w="35" w:type="dxa"/>
              <w:bottom w:w="35" w:type="dxa"/>
              <w:left w:w="40" w:type="dxa"/>
              <w:right w:w="40" w:type="dxa"/>
            </w:tcMar>
          </w:tcPr>
          <w:p>
            <w:pPr>
              <w:spacing w:after="0" w:line="252" w:lineRule="auto"/>
              <w:jc w:val="left"/>
            </w:pPr>
            <w:r>
              <w:rPr>
                <w:rFonts w:ascii="Times New Roman" w:hAnsi="Times New Roman"/>
                <w:color w:val="000000"/>
                <w:sz w:val="15"/>
              </w:rPr>
              <w:t>Subsample Check: Exclude 2020 COVID Shock Window</w:t>
            </w:r>
          </w:p>
        </w:tc>
        <w:tc>
          <w:tcPr>
            <w:tcW w:type="dxa" w:w="1584"/>
            <w:tcW w:w="1584" w:type="dxa"/>
            <w:tcMar>
              <w:top w:w="35" w:type="dxa"/>
              <w:bottom w:w="35" w:type="dxa"/>
              <w:left w:w="40" w:type="dxa"/>
              <w:right w:w="40" w:type="dxa"/>
            </w:tcMar>
          </w:tcPr>
          <w:p>
            <w:pPr>
              <w:spacing w:after="0" w:line="252" w:lineRule="auto"/>
              <w:jc w:val="right"/>
            </w:pPr>
            <w:r>
              <w:rPr>
                <w:rFonts w:ascii="Times New Roman" w:hAnsi="Times New Roman"/>
                <w:color w:val="000000"/>
                <w:sz w:val="15"/>
              </w:rPr>
              <w:t>0.8315</w:t>
            </w:r>
          </w:p>
        </w:tc>
        <w:tc>
          <w:tcPr>
            <w:tcW w:type="dxa" w:w="3456"/>
            <w:tcW w:w="3456" w:type="dxa"/>
            <w:tcMar>
              <w:top w:w="35" w:type="dxa"/>
              <w:bottom w:w="35" w:type="dxa"/>
              <w:left w:w="40" w:type="dxa"/>
              <w:right w:w="40" w:type="dxa"/>
            </w:tcMar>
          </w:tcPr>
          <w:p>
            <w:pPr>
              <w:spacing w:after="0" w:line="252" w:lineRule="auto"/>
              <w:jc w:val="right"/>
            </w:pPr>
            <w:r>
              <w:rPr>
                <w:rFonts w:ascii="Times New Roman" w:hAnsi="Times New Roman"/>
                <w:color w:val="000000"/>
                <w:sz w:val="15"/>
              </w:rPr>
              <w:t>Robust (Tightening Power Intact)</w:t>
            </w:r>
          </w:p>
        </w:tc>
      </w:tr>
      <w:tr>
        <w:trPr>
          <w:cantSplit/>
        </w:trPr>
        <w:tc>
          <w:tcPr>
            <w:tcW w:type="dxa" w:w="4608"/>
            <w:tcW w:w="4608" w:type="dxa"/>
            <w:tcMar>
              <w:top w:w="35" w:type="dxa"/>
              <w:bottom w:w="35" w:type="dxa"/>
              <w:left w:w="40" w:type="dxa"/>
              <w:right w:w="40" w:type="dxa"/>
            </w:tcMar>
          </w:tcPr>
          <w:p>
            <w:pPr>
              <w:spacing w:after="0" w:line="252" w:lineRule="auto"/>
              <w:jc w:val="left"/>
            </w:pPr>
            <w:r>
              <w:rPr>
                <w:rFonts w:ascii="Times New Roman" w:hAnsi="Times New Roman"/>
                <w:color w:val="000000"/>
                <w:sz w:val="15"/>
              </w:rPr>
              <w:t>Clustered Standard Errors (Double Firm &amp; Quarter Clustered)</w:t>
            </w:r>
          </w:p>
        </w:tc>
        <w:tc>
          <w:tcPr>
            <w:tcW w:type="dxa" w:w="1584"/>
            <w:tcW w:w="1584" w:type="dxa"/>
            <w:tcMar>
              <w:top w:w="35" w:type="dxa"/>
              <w:bottom w:w="35" w:type="dxa"/>
              <w:left w:w="40" w:type="dxa"/>
              <w:right w:w="40" w:type="dxa"/>
            </w:tcMar>
          </w:tcPr>
          <w:p>
            <w:pPr>
              <w:spacing w:after="0" w:line="252" w:lineRule="auto"/>
              <w:jc w:val="right"/>
            </w:pPr>
            <w:r>
              <w:rPr>
                <w:rFonts w:ascii="Times New Roman" w:hAnsi="Times New Roman"/>
                <w:color w:val="000000"/>
                <w:sz w:val="15"/>
              </w:rPr>
              <w:t>0.8019</w:t>
            </w:r>
          </w:p>
        </w:tc>
        <w:tc>
          <w:tcPr>
            <w:tcW w:type="dxa" w:w="3456"/>
            <w:tcW w:w="3456" w:type="dxa"/>
            <w:tcMar>
              <w:top w:w="35" w:type="dxa"/>
              <w:bottom w:w="35" w:type="dxa"/>
              <w:left w:w="40" w:type="dxa"/>
              <w:right w:w="40" w:type="dxa"/>
            </w:tcMar>
          </w:tcPr>
          <w:p>
            <w:pPr>
              <w:spacing w:after="0" w:line="252" w:lineRule="auto"/>
              <w:jc w:val="right"/>
            </w:pPr>
            <w:r>
              <w:rPr>
                <w:rFonts w:ascii="Times New Roman" w:hAnsi="Times New Roman"/>
                <w:color w:val="000000"/>
                <w:sz w:val="15"/>
              </w:rPr>
              <w:t>All Key Regressors p &lt; 0.01</w:t>
            </w:r>
          </w:p>
        </w:tc>
      </w:tr>
      <w:tr>
        <w:trPr>
          <w:cantSplit/>
        </w:trPr>
        <w:tc>
          <w:tcPr>
            <w:tcW w:type="dxa" w:w="4608"/>
            <w:tcW w:w="4608" w:type="dxa"/>
            <w:tcMar>
              <w:top w:w="35" w:type="dxa"/>
              <w:bottom w:w="35" w:type="dxa"/>
              <w:left w:w="40" w:type="dxa"/>
              <w:right w:w="40" w:type="dxa"/>
            </w:tcMar>
          </w:tcPr>
          <w:p>
            <w:pPr>
              <w:spacing w:after="0" w:line="252" w:lineRule="auto"/>
              <w:jc w:val="left"/>
            </w:pPr>
            <w:r>
              <w:rPr>
                <w:rFonts w:ascii="Times New Roman" w:hAnsi="Times New Roman"/>
                <w:color w:val="000000"/>
                <w:sz w:val="15"/>
              </w:rPr>
              <w:t>Placebo Test: Time-Permuted Macro Regressors</w:t>
            </w:r>
          </w:p>
        </w:tc>
        <w:tc>
          <w:tcPr>
            <w:tcW w:type="dxa" w:w="1584"/>
            <w:tcW w:w="1584" w:type="dxa"/>
            <w:tcMar>
              <w:top w:w="35" w:type="dxa"/>
              <w:bottom w:w="35" w:type="dxa"/>
              <w:left w:w="40" w:type="dxa"/>
              <w:right w:w="40" w:type="dxa"/>
            </w:tcMar>
          </w:tcPr>
          <w:p>
            <w:pPr>
              <w:spacing w:after="0" w:line="252" w:lineRule="auto"/>
              <w:jc w:val="right"/>
            </w:pPr>
            <w:r>
              <w:rPr>
                <w:rFonts w:ascii="Times New Roman" w:hAnsi="Times New Roman"/>
                <w:color w:val="000000"/>
                <w:sz w:val="15"/>
              </w:rPr>
              <w:t>0.8043</w:t>
            </w:r>
          </w:p>
        </w:tc>
        <w:tc>
          <w:tcPr>
            <w:tcW w:type="dxa" w:w="3456"/>
            <w:tcW w:w="3456" w:type="dxa"/>
            <w:tcMar>
              <w:top w:w="35" w:type="dxa"/>
              <w:bottom w:w="35" w:type="dxa"/>
              <w:left w:w="40" w:type="dxa"/>
              <w:right w:w="40" w:type="dxa"/>
            </w:tcMar>
          </w:tcPr>
          <w:p>
            <w:pPr>
              <w:spacing w:after="0" w:line="252" w:lineRule="auto"/>
              <w:jc w:val="right"/>
            </w:pPr>
            <w:r>
              <w:rPr>
                <w:rFonts w:ascii="Times New Roman" w:hAnsi="Times New Roman"/>
                <w:color w:val="000000"/>
                <w:sz w:val="15"/>
              </w:rPr>
              <w:t>Gain Vanishes (Matches Firm-Only)</w:t>
            </w:r>
          </w:p>
        </w:tc>
      </w:tr>
      <w:tr>
        <w:trPr>
          <w:cantSplit/>
        </w:trPr>
        <w:tc>
          <w:tcPr>
            <w:tcW w:type="dxa" w:w="4608"/>
            <w:tcW w:w="4608" w:type="dxa"/>
            <w:tcMar>
              <w:top w:w="35" w:type="dxa"/>
              <w:bottom w:w="35" w:type="dxa"/>
              <w:left w:w="40" w:type="dxa"/>
              <w:right w:w="40" w:type="dxa"/>
            </w:tcMar>
          </w:tcPr>
          <w:p>
            <w:pPr>
              <w:spacing w:after="0" w:line="252" w:lineRule="auto"/>
              <w:jc w:val="left"/>
            </w:pPr>
            <w:r>
              <w:rPr>
                <w:rFonts w:ascii="Times New Roman" w:hAnsi="Times New Roman"/>
                <w:color w:val="000000"/>
                <w:sz w:val="15"/>
              </w:rPr>
              <w:t>Negative Control: Shuffled Target Labels</w:t>
            </w:r>
          </w:p>
        </w:tc>
        <w:tc>
          <w:tcPr>
            <w:tcW w:type="dxa" w:w="1584"/>
            <w:tcW w:w="1584" w:type="dxa"/>
            <w:tcMar>
              <w:top w:w="35" w:type="dxa"/>
              <w:bottom w:w="35" w:type="dxa"/>
              <w:left w:w="40" w:type="dxa"/>
              <w:right w:w="40" w:type="dxa"/>
            </w:tcMar>
          </w:tcPr>
          <w:p>
            <w:pPr>
              <w:spacing w:after="0" w:line="252" w:lineRule="auto"/>
              <w:jc w:val="right"/>
            </w:pPr>
            <w:r>
              <w:rPr>
                <w:rFonts w:ascii="Times New Roman" w:hAnsi="Times New Roman"/>
                <w:color w:val="000000"/>
                <w:sz w:val="15"/>
              </w:rPr>
              <w:t>0.5036</w:t>
            </w:r>
          </w:p>
        </w:tc>
        <w:tc>
          <w:tcPr>
            <w:tcW w:type="dxa" w:w="3456"/>
            <w:tcW w:w="3456" w:type="dxa"/>
            <w:tcMar>
              <w:top w:w="35" w:type="dxa"/>
              <w:bottom w:w="35" w:type="dxa"/>
              <w:left w:w="40" w:type="dxa"/>
              <w:right w:w="40" w:type="dxa"/>
            </w:tcMar>
          </w:tcPr>
          <w:p>
            <w:pPr>
              <w:spacing w:after="0" w:line="252" w:lineRule="auto"/>
              <w:jc w:val="right"/>
            </w:pPr>
            <w:r>
              <w:rPr>
                <w:rFonts w:ascii="Times New Roman" w:hAnsi="Times New Roman"/>
                <w:color w:val="000000"/>
                <w:sz w:val="15"/>
              </w:rPr>
              <w:t>No Spurious Correlation (AUC = 0.50)</w:t>
            </w:r>
          </w:p>
        </w:tc>
      </w:tr>
    </w:tbl>
    <w:p>
      <w:pPr>
        <w:spacing w:before="40" w:after="80"/>
      </w:pPr>
      <w:r>
        <w:rPr>
          <w:rFonts w:ascii="Times New Roman" w:hAnsi="Times New Roman"/>
          <w:i/>
          <w:color w:val="000000"/>
          <w:sz w:val="15"/>
        </w:rPr>
        <w:t>Note: Evaluated across 1,000 Monte Carlo permutations for placebo and shuffled negative control specifications.</w:t>
      </w:r>
    </w:p>
    <w:p>
      <w:pPr>
        <w:spacing w:after="80" w:line="276" w:lineRule="auto"/>
        <w:jc w:val="both"/>
      </w:pPr>
      <w:r>
        <w:rPr>
          <w:rFonts w:ascii="Times New Roman" w:hAnsi="Times New Roman"/>
          <w:color w:val="000000"/>
          <w:sz w:val="20"/>
        </w:rPr>
        <w:t xml:space="preserve">Table X presents the verification results. Testing alternative forecasting horizons confirms high predictive power at 6 months (AUC = 0.8512) and 24 months (AUC = 0.8045). Subsample checks excluding the 2008–2009 Global Financial Crisis (AUC = 0.8240) and the 2020 COVID shock (AUC = 0.8315) confirm that predictive power is not driven by outlier crisis periods. Double-clustering standard errors at both firm and quarter dimensions preserves statistical significance at </w:t>
      </w:r>
      <w:r>
        <w:rPr>
          <w:rFonts w:ascii="Times New Roman" w:hAnsi="Times New Roman"/>
          <w:b w:val="0"/>
          <w:i/>
          <w:color w:val="000000"/>
          <w:sz w:val="20"/>
        </w:rPr>
        <w:t>p</w:t>
      </w:r>
      <w:r>
        <w:rPr>
          <w:rFonts w:ascii="Times New Roman" w:hAnsi="Times New Roman"/>
          <w:b w:val="0"/>
          <w:i w:val="0"/>
          <w:color w:val="000000"/>
          <w:sz w:val="20"/>
        </w:rPr>
        <w:t xml:space="preserve"> &lt; 0.01</w:t>
      </w:r>
      <w:r>
        <w:rPr>
          <w:rFonts w:ascii="Times New Roman" w:hAnsi="Times New Roman"/>
          <w:color w:val="000000"/>
          <w:sz w:val="20"/>
        </w:rPr>
        <w:t xml:space="preserve"> across all key regressors.</w:t>
      </w:r>
    </w:p>
    <w:p>
      <w:pPr>
        <w:spacing w:after="80" w:line="276" w:lineRule="auto"/>
        <w:jc w:val="both"/>
      </w:pPr>
      <w:r>
        <w:rPr>
          <w:rFonts w:ascii="Times New Roman" w:hAnsi="Times New Roman"/>
          <w:color w:val="000000"/>
          <w:sz w:val="20"/>
        </w:rPr>
        <w:t>Crucially, in the time-permuted macro regressor placebo test (where macroeconomic series are randomly shuffled over time while preserving firm fundamentals), the incremental gain vanishes (AUC = 0.8043, matching the firm-only baseline). Finally, under a target-shuffled negative control test, the ROC-AUC collapses precisely to 0.5036, confirming that the model architecture is free from data leakage or spurious mechanical predictability.</w:t>
      </w:r>
    </w:p>
    <w:p>
      <w:pPr>
        <w:keepNext/>
        <w:spacing w:before="80" w:after="40"/>
        <w:jc w:val="center"/>
      </w:pPr>
      <w:r>
        <w:drawing>
          <wp:inline xmlns:a="http://schemas.openxmlformats.org/drawingml/2006/main" xmlns:pic="http://schemas.openxmlformats.org/drawingml/2006/picture">
            <wp:extent cx="3931920" cy="2184400"/>
            <wp:docPr id="10" name="Picture 10"/>
            <wp:cNvGraphicFramePr>
              <a:graphicFrameLocks noChangeAspect="1"/>
            </wp:cNvGraphicFramePr>
            <a:graphic>
              <a:graphicData uri="http://schemas.openxmlformats.org/drawingml/2006/picture">
                <pic:pic>
                  <pic:nvPicPr>
                    <pic:cNvPr id="0" name="fig10_placebo_diagnostics.png"/>
                    <pic:cNvPicPr/>
                  </pic:nvPicPr>
                  <pic:blipFill>
                    <a:blip r:embed="rId20"/>
                    <a:stretch>
                      <a:fillRect/>
                    </a:stretch>
                  </pic:blipFill>
                  <pic:spPr>
                    <a:xfrm>
                      <a:off x="0" y="0"/>
                      <a:ext cx="3931920" cy="2184400"/>
                    </a:xfrm>
                    <a:prstGeom prst="rect"/>
                  </pic:spPr>
                </pic:pic>
              </a:graphicData>
            </a:graphic>
          </wp:inline>
        </w:drawing>
      </w:r>
    </w:p>
    <w:p>
      <w:pPr>
        <w:keepNext/>
        <w:spacing w:before="20" w:after="100"/>
        <w:jc w:val="center"/>
      </w:pPr>
      <w:r>
        <w:rPr>
          <w:rFonts w:ascii="Times New Roman" w:hAnsi="Times New Roman"/>
          <w:color w:val="000000"/>
          <w:sz w:val="16"/>
        </w:rPr>
        <w:t>Fig. 10. Placebo Permutation Null Distribution and Target-Shuffled Negative Control Diagnostics.</w:t>
      </w:r>
    </w:p>
    <w:p>
      <w:pPr>
        <w:spacing w:after="80" w:line="276" w:lineRule="auto"/>
        <w:jc w:val="both"/>
      </w:pPr>
      <w:r>
        <w:rPr>
          <w:rFonts w:ascii="Times New Roman" w:hAnsi="Times New Roman"/>
          <w:color w:val="000000"/>
          <w:sz w:val="20"/>
        </w:rPr>
        <w:t>Figure 10 displays the empirical distribution of ROC-AUC scores across 1,000 target-shuffled negative control permutations alongside the true out-of-sample model estimate, demonstrating that empirical performance lies more than eight standard deviations above the permutation null.</w:t>
      </w:r>
    </w:p>
    <w:p>
      <w:pPr>
        <w:keepNext/>
        <w:pageBreakBefore/>
        <w:spacing w:before="280" w:after="80"/>
        <w:jc w:val="center"/>
      </w:pPr>
      <w:r>
        <w:rPr>
          <w:rFonts w:ascii="Times New Roman" w:hAnsi="Times New Roman"/>
          <w:b/>
          <w:color w:val="000000"/>
          <w:sz w:val="22"/>
        </w:rPr>
        <w:t>VIII. RISK MANAGEMENT IMPLICATIONS &amp; REGULATORY COMPLIANCE</w:t>
      </w:r>
    </w:p>
    <w:p>
      <w:pPr>
        <w:spacing w:after="80" w:line="276" w:lineRule="auto"/>
        <w:jc w:val="both"/>
      </w:pPr>
      <w:r>
        <w:rPr>
          <w:rFonts w:ascii="Times New Roman" w:hAnsi="Times New Roman"/>
          <w:color w:val="000000"/>
          <w:sz w:val="20"/>
        </w:rPr>
        <w:t>The findings of this study have profound operational implications for institutional fixed-income risk management, bank capital adequacy regulations, and systemic financial stability oversight.</w:t>
      </w:r>
    </w:p>
    <w:p>
      <w:pPr>
        <w:keepNext/>
        <w:spacing w:before="140" w:after="40"/>
        <w:jc w:val="left"/>
      </w:pPr>
      <w:r>
        <w:rPr>
          <w:rFonts w:ascii="Times New Roman" w:hAnsi="Times New Roman"/>
          <w:b/>
          <w:i/>
          <w:color w:val="000000"/>
          <w:sz w:val="21"/>
        </w:rPr>
        <w:t>A. Fixed-Income Portfolio Optimization &amp; Mandate Management</w:t>
      </w:r>
    </w:p>
    <w:p>
      <w:pPr>
        <w:spacing w:after="80" w:line="276" w:lineRule="auto"/>
        <w:jc w:val="both"/>
      </w:pPr>
      <w:r>
        <w:rPr>
          <w:rFonts w:ascii="Times New Roman" w:hAnsi="Times New Roman"/>
          <w:color w:val="000000"/>
          <w:sz w:val="20"/>
        </w:rPr>
        <w:t>For institutional asset managers operating under investment-grade constraints, traditional reliance on published agency ratings exposes portfolios to severe asymmetric downgrade risk. Because agency ratings adjust with a half-life exceeding 60 quarters in benign environments, institutional investors holding BBB− paper face sudden, non-linear liquidation mandates once an agency finally acts. Implementing our Point-in-Time Latent Shadow Rating and early-warning alert system provides an average advance notice of +1.88 quarters (~5.6 months). This runway allows portfolio managers to execute phased pre-hedging (e.g., via single-name CDS or CDX tranches) or secondary market sales prior to liquidity evaporation.</w:t>
      </w:r>
    </w:p>
    <w:p>
      <w:pPr>
        <w:keepNext/>
        <w:spacing w:before="140" w:after="40"/>
        <w:jc w:val="left"/>
      </w:pPr>
      <w:r>
        <w:rPr>
          <w:rFonts w:ascii="Times New Roman" w:hAnsi="Times New Roman"/>
          <w:b/>
          <w:i/>
          <w:color w:val="000000"/>
          <w:sz w:val="21"/>
        </w:rPr>
        <w:t>B. Bank Capital Adequacy &amp; Basel Framework Alignment</w:t>
      </w:r>
    </w:p>
    <w:p>
      <w:pPr>
        <w:spacing w:after="80" w:line="276" w:lineRule="auto"/>
        <w:jc w:val="both"/>
      </w:pPr>
      <w:r>
        <w:rPr>
          <w:rFonts w:ascii="Times New Roman" w:hAnsi="Times New Roman"/>
          <w:color w:val="000000"/>
          <w:sz w:val="20"/>
        </w:rPr>
        <w:t>Under Basel III and IV internal ratings-based (IRB) capital frameworks, bank capital requirements are highly sensitive to corporate credit migrations. Our findings demonstrate that regulatory capital buffers calibrated solely to through-the-cycle agency ratings systematically underestimate capital depletion during sudden monetary tightening cycles. By incorporating point-in-time shadow rating dynamics and macro-conditioned migration matrices, risk executives can construct dynamic capital buffers that anticipate regulatory capital shortfalls quarters ahead of official agency downgrades.</w:t>
      </w:r>
    </w:p>
    <w:p>
      <w:pPr>
        <w:keepNext/>
        <w:pageBreakBefore/>
        <w:spacing w:before="280" w:after="80"/>
        <w:jc w:val="center"/>
      </w:pPr>
      <w:r>
        <w:rPr>
          <w:rFonts w:ascii="Times New Roman" w:hAnsi="Times New Roman"/>
          <w:b/>
          <w:color w:val="000000"/>
          <w:sz w:val="22"/>
        </w:rPr>
        <w:t>IX. CONCLUSION &amp; CONCLUDING REMARKS</w:t>
      </w:r>
    </w:p>
    <w:p>
      <w:pPr>
        <w:spacing w:after="80" w:line="276" w:lineRule="auto"/>
        <w:jc w:val="both"/>
      </w:pPr>
      <w:r>
        <w:rPr>
          <w:rFonts w:ascii="Times New Roman" w:hAnsi="Times New Roman"/>
          <w:color w:val="000000"/>
          <w:sz w:val="20"/>
        </w:rPr>
        <w:t>This study provides an exhaustive econometric investigation into the macro-sensitivity of corporate credit ratings and establishes an out-of-sample early-warning forecasting architecture for fallen-angel transitions. Utilizing a longitudinal panel of 67,406 firm-quarters spanning 2000Q1 through 2025Q4, our empirical findings deliver three primary insights:</w:t>
      </w:r>
    </w:p>
    <w:p>
      <w:pPr>
        <w:spacing w:after="80" w:line="276" w:lineRule="auto"/>
        <w:jc w:val="both"/>
      </w:pPr>
      <w:r>
        <w:rPr>
          <w:rFonts w:ascii="Times New Roman" w:hAnsi="Times New Roman"/>
          <w:color w:val="000000"/>
          <w:sz w:val="20"/>
        </w:rPr>
        <w:t xml:space="preserve">First, corporate credit ratings officially characterized as through-the-cycle are non-orthogonal to macroeconomic conditions. A block Likelihood Ratio test yields </w:t>
      </w:r>
      <w:r>
        <w:rPr>
          <w:rFonts w:ascii="Times New Roman" w:hAnsi="Times New Roman"/>
          <w:b w:val="0"/>
          <w:i/>
          <w:color w:val="000000"/>
          <w:sz w:val="20"/>
        </w:rPr>
        <w:t>χ</w:t>
      </w:r>
      <w:r>
        <w:rPr>
          <w:rFonts w:ascii="Times New Roman" w:hAnsi="Times New Roman"/>
          <w:b w:val="0"/>
          <w:color w:val="000000"/>
          <w:sz w:val="16"/>
          <w:vertAlign w:val="superscript"/>
        </w:rPr>
        <w:t>2</w:t>
      </w:r>
      <w:r>
        <w:rPr>
          <w:rFonts w:ascii="Times New Roman" w:hAnsi="Times New Roman"/>
          <w:b w:val="0"/>
          <w:i w:val="0"/>
          <w:color w:val="000000"/>
          <w:sz w:val="20"/>
        </w:rPr>
        <w:t xml:space="preserve"> = 284.6</w:t>
      </w:r>
      <w:r>
        <w:rPr>
          <w:rFonts w:ascii="Times New Roman" w:hAnsi="Times New Roman"/>
          <w:color w:val="000000"/>
          <w:sz w:val="20"/>
        </w:rPr>
        <w:t xml:space="preserve"> (</w:t>
      </w:r>
      <w:r>
        <w:rPr>
          <w:rFonts w:ascii="Times New Roman" w:hAnsi="Times New Roman"/>
          <w:b w:val="0"/>
          <w:i/>
          <w:color w:val="000000"/>
          <w:sz w:val="20"/>
        </w:rPr>
        <w:t>p</w:t>
      </w:r>
      <w:r>
        <w:rPr>
          <w:rFonts w:ascii="Times New Roman" w:hAnsi="Times New Roman"/>
          <w:b w:val="0"/>
          <w:i w:val="0"/>
          <w:color w:val="000000"/>
          <w:sz w:val="20"/>
        </w:rPr>
        <w:t xml:space="preserve"> &lt; 0.0001</w:t>
      </w:r>
      <w:r>
        <w:rPr>
          <w:rFonts w:ascii="Times New Roman" w:hAnsi="Times New Roman"/>
          <w:color w:val="000000"/>
          <w:sz w:val="20"/>
        </w:rPr>
        <w:t>), demonstrating that interest rates, credit spreads, and yield curve shape exert powerful explanatory influence on rating migrations.</w:t>
      </w:r>
    </w:p>
    <w:p>
      <w:pPr>
        <w:spacing w:after="80" w:line="276" w:lineRule="auto"/>
        <w:jc w:val="both"/>
      </w:pPr>
      <w:r>
        <w:rPr>
          <w:rFonts w:ascii="Times New Roman" w:hAnsi="Times New Roman"/>
          <w:color w:val="000000"/>
          <w:sz w:val="20"/>
        </w:rPr>
        <w:t>Second, published agency grades exhibit severe partial adjustment sluggishness, with an aggregate half-life of 68.97 quarters that compresses to 3.92 quarters during monetary tightening and recessions. This state-dependent asymmetry creates acute cliff-edge risks at the BBB−/BB+ boundary.</w:t>
      </w:r>
    </w:p>
    <w:p>
      <w:pPr>
        <w:spacing w:after="80" w:line="276" w:lineRule="auto"/>
        <w:jc w:val="both"/>
      </w:pPr>
      <w:r>
        <w:rPr>
          <w:rFonts w:ascii="Times New Roman" w:hAnsi="Times New Roman"/>
          <w:color w:val="000000"/>
          <w:sz w:val="20"/>
        </w:rPr>
        <w:t>Third, our macro-augmented early warning framework achieves an out-of-sample ROC-AUC of 0.8069 and delivers a net advance lead time of +1.88 quarters (~5.6 months) over agency CreditWatch placements. Extensive robustness checks and placebo permutations confirm that these results are statistically robust and operationally actionable for institutional fixed-income investors.</w:t>
      </w:r>
    </w:p>
    <w:p>
      <w:pPr>
        <w:keepNext/>
        <w:pageBreakBefore/>
        <w:spacing w:before="280" w:after="80"/>
        <w:jc w:val="center"/>
      </w:pPr>
      <w:r>
        <w:rPr>
          <w:rFonts w:ascii="Times New Roman" w:hAnsi="Times New Roman"/>
          <w:b/>
          <w:color w:val="000000"/>
          <w:sz w:val="22"/>
        </w:rPr>
        <w:t>APPENDIX: MATHEMATICAL DERIVATIONS &amp; PROOFS</w:t>
      </w:r>
    </w:p>
    <w:p>
      <w:pPr>
        <w:keepNext/>
        <w:spacing w:before="140" w:after="40"/>
        <w:jc w:val="left"/>
      </w:pPr>
      <w:r>
        <w:rPr>
          <w:rFonts w:ascii="Times New Roman" w:hAnsi="Times New Roman"/>
          <w:b/>
          <w:i/>
          <w:color w:val="000000"/>
          <w:sz w:val="21"/>
        </w:rPr>
        <w:t>A. Ordered Probit Log-Likelihood and Score Functions</w:t>
      </w:r>
    </w:p>
    <w:p>
      <w:pPr>
        <w:spacing w:after="80" w:line="276" w:lineRule="auto"/>
        <w:jc w:val="both"/>
      </w:pPr>
      <w:r>
        <w:rPr>
          <w:rFonts w:ascii="Times New Roman" w:hAnsi="Times New Roman"/>
          <w:color w:val="000000"/>
          <w:sz w:val="20"/>
        </w:rPr>
        <w:t>The log-likelihood function of the Ordered Probit model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
                <m:e>
                  <m:r>
                    <m:t>R</m:t>
                  </m:r>
                </m:e>
                <m:sub>
                  <m:r>
                    <m:t>i,t</m:t>
                  </m:r>
                </m:sub>
              </m:sSub>
              <m:r>
                <m:t>=k</m:t>
              </m:r>
              <m:r>
                <m:t>⟺</m:t>
              </m:r>
              <m:sSub>
                <m:e>
                  <m:r>
                    <m:t>μ</m:t>
                  </m:r>
                </m:e>
                <m:sub>
                  <m:r>
                    <m:t>k−1</m:t>
                  </m:r>
                </m:sub>
              </m:sSub>
              <m:r>
                <m:t>&lt;</m:t>
              </m:r>
              <m:sSubSup>
                <m:e>
                  <m:r>
                    <m:t>y</m:t>
                  </m:r>
                </m:e>
                <m:sub>
                  <m:r>
                    <m:t>i,t</m:t>
                  </m:r>
                </m:sub>
                <m:sup>
                  <m:r>
                    <m:t>*</m:t>
                  </m:r>
                </m:sup>
              </m:sSubSup>
              <m:r>
                <m:t>≤</m:t>
              </m:r>
              <m:sSub>
                <m:e>
                  <m:r>
                    <m:t>μ</m:t>
                  </m:r>
                </m:e>
                <m:sub>
                  <m:r>
                    <m:t>k</m:t>
                  </m:r>
                </m:sub>
              </m:sSub>
            </m:oMath>
          </w:p>
        </w:tc>
        <w:tc>
          <w:tcPr>
            <w:tcW w:type="dxa" w:w="1152"/>
          </w:tcPr>
          <w:p>
            <w:pPr>
              <w:spacing w:before="40" w:after="40"/>
              <w:jc w:val="right"/>
            </w:pPr>
            <w:r>
              <w:rPr>
                <w:rFonts w:ascii="Times New Roman" w:hAnsi="Times New Roman"/>
                <w:color w:val="000000"/>
                <w:sz w:val="20"/>
              </w:rPr>
              <w:t>(A.1)</w:t>
            </w:r>
          </w:p>
        </w:tc>
      </w:tr>
    </w:tbl>
    <w:p>
      <w:pPr>
        <w:spacing w:after="80" w:line="276" w:lineRule="auto"/>
        <w:jc w:val="both"/>
      </w:pPr>
      <w:r>
        <w:rPr>
          <w:rFonts w:ascii="Times New Roman" w:hAnsi="Times New Roman"/>
          <w:color w:val="000000"/>
          <w:sz w:val="20"/>
        </w:rPr>
        <w:t xml:space="preserve">The gradient with respect to </w:t>
      </w:r>
      <w:r>
        <w:rPr>
          <w:rFonts w:ascii="Times New Roman" w:hAnsi="Times New Roman"/>
          <w:b w:val="0"/>
          <w:i/>
          <w:color w:val="000000"/>
          <w:sz w:val="20"/>
        </w:rPr>
        <w:t>β</w:t>
      </w:r>
      <w:r>
        <w:rPr>
          <w:rFonts w:ascii="Times New Roman" w:hAnsi="Times New Roman"/>
          <w:color w:val="000000"/>
          <w:sz w:val="20"/>
        </w:rPr>
        <w:t xml:space="preserve">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f>
                <m:fPr>
                  <m:type m:val="bar"/>
                </m:fPr>
                <m:num>
                  <m:r>
                    <m:t>∂</m:t>
                  </m:r>
                  <m:r>
                    <m:rPr>
                      <m:sty m:val="p"/>
                    </m:rPr>
                    <m:t>ln</m:t>
                  </m:r>
                  <m:r>
                    <m:rPr>
                      <m:scr m:val="script"/>
                    </m:rPr>
                    <m:t>L</m:t>
                  </m:r>
                </m:num>
                <m:den>
                  <m:r>
                    <m:t>∂β</m:t>
                  </m:r>
                </m:den>
              </m:f>
              <m:r>
                <m:t>=</m:t>
              </m:r>
              <m:nary>
                <m:naryPr>
                  <m:chr m:val="∑"/>
                  <m:limLoc m:val="undOvr"/>
                  <m:grow m:val="1"/>
                  <m:subHide m:val="off"/>
                  <m:supHide m:val="off"/>
                </m:naryPr>
                <m:sub>
                  <m:r>
                    <m:t>i=1</m:t>
                  </m:r>
                </m:sub>
                <m:sup>
                  <m:r>
                    <m:t>N</m:t>
                  </m:r>
                </m:sup>
                <m:e>
                  <m:nary>
                    <m:naryPr>
                      <m:chr m:val="∑"/>
                      <m:limLoc m:val="undOvr"/>
                      <m:grow m:val="1"/>
                      <m:subHide m:val="off"/>
                      <m:supHide m:val="off"/>
                    </m:naryPr>
                    <m:sub>
                      <m:r>
                        <m:t>k=1</m:t>
                      </m:r>
                    </m:sub>
                    <m:sup>
                      <m:r>
                        <m:t>K</m:t>
                      </m:r>
                    </m:sup>
                    <m:e>
                      <m:sSub>
                        <m:e>
                          <m:r>
                            <m:t>d</m:t>
                          </m:r>
                        </m:e>
                        <m:sub>
                          <m:r>
                            <m:t>ik</m:t>
                          </m:r>
                        </m:sub>
                      </m:sSub>
                    </m:e>
                  </m:nary>
                </m:e>
              </m:nary>
              <m:f>
                <m:fPr>
                  <m:type m:val="bar"/>
                </m:fPr>
                <m:num>
                  <m:r>
                    <m:t>ϕ(</m:t>
                  </m:r>
                  <m:sSub>
                    <m:e>
                      <m:r>
                        <m:t>μ</m:t>
                      </m:r>
                    </m:e>
                    <m:sub>
                      <m:r>
                        <m:t>k−1</m:t>
                      </m:r>
                    </m:sub>
                  </m:sSub>
                  <m:r>
                    <m:t>−</m:t>
                  </m:r>
                  <m:sSubSup>
                    <m:e>
                      <m:r>
                        <m:t>X</m:t>
                      </m:r>
                    </m:e>
                    <m:sub>
                      <m:r>
                        <m:t>i,t</m:t>
                      </m:r>
                    </m:sub>
                    <m:sup>
                      <m:r>
                        <m:t>′</m:t>
                      </m:r>
                    </m:sup>
                  </m:sSubSup>
                  <m:r>
                    <m:t>β)−ϕ(</m:t>
                  </m:r>
                  <m:sSub>
                    <m:e>
                      <m:r>
                        <m:t>μ</m:t>
                      </m:r>
                    </m:e>
                    <m:sub>
                      <m:r>
                        <m:t>k</m:t>
                      </m:r>
                    </m:sub>
                  </m:sSub>
                  <m:r>
                    <m:t>−</m:t>
                  </m:r>
                  <m:sSubSup>
                    <m:e>
                      <m:r>
                        <m:t>X</m:t>
                      </m:r>
                    </m:e>
                    <m:sub>
                      <m:r>
                        <m:t>i,t</m:t>
                      </m:r>
                    </m:sub>
                    <m:sup>
                      <m:r>
                        <m:t>′</m:t>
                      </m:r>
                    </m:sup>
                  </m:sSubSup>
                  <m:r>
                    <m:t>β)</m:t>
                  </m:r>
                </m:num>
                <m:den>
                  <m:r>
                    <m:t>Φ(</m:t>
                  </m:r>
                  <m:sSub>
                    <m:e>
                      <m:r>
                        <m:t>μ</m:t>
                      </m:r>
                    </m:e>
                    <m:sub>
                      <m:r>
                        <m:t>k</m:t>
                      </m:r>
                    </m:sub>
                  </m:sSub>
                  <m:r>
                    <m:t>−</m:t>
                  </m:r>
                  <m:sSubSup>
                    <m:e>
                      <m:r>
                        <m:t>X</m:t>
                      </m:r>
                    </m:e>
                    <m:sub>
                      <m:r>
                        <m:t>i,t</m:t>
                      </m:r>
                    </m:sub>
                    <m:sup>
                      <m:r>
                        <m:t>′</m:t>
                      </m:r>
                    </m:sup>
                  </m:sSubSup>
                  <m:r>
                    <m:t>β)−Φ(</m:t>
                  </m:r>
                  <m:sSub>
                    <m:e>
                      <m:r>
                        <m:t>μ</m:t>
                      </m:r>
                    </m:e>
                    <m:sub>
                      <m:r>
                        <m:t>k−1</m:t>
                      </m:r>
                    </m:sub>
                  </m:sSub>
                  <m:r>
                    <m:t>−</m:t>
                  </m:r>
                  <m:sSubSup>
                    <m:e>
                      <m:r>
                        <m:t>X</m:t>
                      </m:r>
                    </m:e>
                    <m:sub>
                      <m:r>
                        <m:t>i,t</m:t>
                      </m:r>
                    </m:sub>
                    <m:sup>
                      <m:r>
                        <m:t>′</m:t>
                      </m:r>
                    </m:sup>
                  </m:sSubSup>
                  <m:r>
                    <m:t>β)</m:t>
                  </m:r>
                </m:den>
              </m:f>
              <m:sSub>
                <m:e>
                  <m:r>
                    <m:t>X</m:t>
                  </m:r>
                </m:e>
                <m:sub>
                  <m:r>
                    <m:t>i,t</m:t>
                  </m:r>
                </m:sub>
              </m:sSub>
              <m:r>
                <m:t>=0</m:t>
              </m:r>
            </m:oMath>
          </w:p>
        </w:tc>
        <w:tc>
          <w:tcPr>
            <w:tcW w:type="dxa" w:w="1152"/>
          </w:tcPr>
          <w:p>
            <w:pPr>
              <w:spacing w:before="40" w:after="40"/>
              <w:jc w:val="right"/>
            </w:pPr>
            <w:r>
              <w:rPr>
                <w:rFonts w:ascii="Times New Roman" w:hAnsi="Times New Roman"/>
                <w:color w:val="000000"/>
                <w:sz w:val="20"/>
              </w:rPr>
              <w:t>(A.2)</w:t>
            </w:r>
          </w:p>
        </w:tc>
      </w:tr>
    </w:tbl>
    <w:p>
      <w:pPr>
        <w:spacing w:after="80" w:line="276" w:lineRule="auto"/>
        <w:jc w:val="both"/>
      </w:pPr>
      <w:r>
        <w:rPr>
          <w:rFonts w:ascii="Times New Roman" w:hAnsi="Times New Roman"/>
          <w:color w:val="000000"/>
          <w:sz w:val="20"/>
        </w:rPr>
        <w:t xml:space="preserve">The first-order condition with respect to cutpoints </w:t>
      </w:r>
      <w:r>
        <w:rPr>
          <w:rFonts w:ascii="Times New Roman" w:hAnsi="Times New Roman"/>
          <w:b w:val="0"/>
          <w:i/>
          <w:color w:val="000000"/>
          <w:sz w:val="20"/>
        </w:rPr>
        <w:t>μ</w:t>
      </w:r>
      <w:r>
        <w:rPr>
          <w:rFonts w:ascii="Times New Roman" w:hAnsi="Times New Roman"/>
          <w:b w:val="0"/>
          <w:i/>
          <w:color w:val="000000"/>
          <w:sz w:val="16"/>
          <w:vertAlign w:val="subscript"/>
        </w:rPr>
        <w:t>k</w:t>
      </w:r>
      <w:r>
        <w:rPr>
          <w:rFonts w:ascii="Times New Roman" w:hAnsi="Times New Roman"/>
          <w:color w:val="000000"/>
          <w:sz w:val="20"/>
        </w:rPr>
        <w:t xml:space="preserve">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f>
                <m:fPr>
                  <m:type m:val="bar"/>
                </m:fPr>
                <m:num>
                  <m:r>
                    <m:t>∂</m:t>
                  </m:r>
                  <m:r>
                    <m:rPr>
                      <m:sty m:val="p"/>
                    </m:rPr>
                    <m:t>ln</m:t>
                  </m:r>
                  <m:r>
                    <m:rPr>
                      <m:scr m:val="script"/>
                    </m:rPr>
                    <m:t>L</m:t>
                  </m:r>
                </m:num>
                <m:den>
                  <m:r>
                    <m:t>∂</m:t>
                  </m:r>
                  <m:sSub>
                    <m:e>
                      <m:r>
                        <m:t>μ</m:t>
                      </m:r>
                    </m:e>
                    <m:sub>
                      <m:r>
                        <m:t>k</m:t>
                      </m:r>
                    </m:sub>
                  </m:sSub>
                </m:den>
              </m:f>
              <m:r>
                <m:t>=</m:t>
              </m:r>
              <m:nary>
                <m:naryPr>
                  <m:chr m:val="∑"/>
                  <m:limLoc m:val="undOvr"/>
                  <m:grow m:val="1"/>
                  <m:subHide m:val="off"/>
                  <m:supHide m:val="off"/>
                </m:naryPr>
                <m:sub>
                  <m:r>
                    <m:t>i=1</m:t>
                  </m:r>
                </m:sub>
                <m:sup>
                  <m:r>
                    <m:t>N</m:t>
                  </m:r>
                </m:sup>
                <m:e>
                  <m:r>
                    <m:t>[</m:t>
                  </m:r>
                </m:e>
              </m:nary>
              <m:sSub>
                <m:e>
                  <m:r>
                    <m:t>d</m:t>
                  </m:r>
                </m:e>
                <m:sub>
                  <m:r>
                    <m:t>ik</m:t>
                  </m:r>
                </m:sub>
              </m:sSub>
              <m:f>
                <m:fPr>
                  <m:type m:val="bar"/>
                </m:fPr>
                <m:num>
                  <m:r>
                    <m:t>ϕ(</m:t>
                  </m:r>
                  <m:sSub>
                    <m:e>
                      <m:r>
                        <m:t>μ</m:t>
                      </m:r>
                    </m:e>
                    <m:sub>
                      <m:r>
                        <m:t>k</m:t>
                      </m:r>
                    </m:sub>
                  </m:sSub>
                  <m:r>
                    <m:t>−</m:t>
                  </m:r>
                  <m:sSubSup>
                    <m:e>
                      <m:r>
                        <m:t>X</m:t>
                      </m:r>
                    </m:e>
                    <m:sub>
                      <m:r>
                        <m:t>i,t</m:t>
                      </m:r>
                    </m:sub>
                    <m:sup>
                      <m:r>
                        <m:t>′</m:t>
                      </m:r>
                    </m:sup>
                  </m:sSubSup>
                  <m:r>
                    <m:t>β)</m:t>
                  </m:r>
                </m:num>
                <m:den>
                  <m:sSub>
                    <m:e>
                      <m:r>
                        <m:t>P</m:t>
                      </m:r>
                    </m:e>
                    <m:sub>
                      <m:r>
                        <m:t>ik</m:t>
                      </m:r>
                    </m:sub>
                  </m:sSub>
                </m:den>
              </m:f>
              <m:r>
                <m:t>−</m:t>
              </m:r>
              <m:sSub>
                <m:e>
                  <m:r>
                    <m:t>d</m:t>
                  </m:r>
                </m:e>
                <m:sub>
                  <m:r>
                    <m:t>i,k+1</m:t>
                  </m:r>
                </m:sub>
              </m:sSub>
              <m:f>
                <m:fPr>
                  <m:type m:val="bar"/>
                </m:fPr>
                <m:num>
                  <m:r>
                    <m:t>ϕ(</m:t>
                  </m:r>
                  <m:sSub>
                    <m:e>
                      <m:r>
                        <m:t>μ</m:t>
                      </m:r>
                    </m:e>
                    <m:sub>
                      <m:r>
                        <m:t>k</m:t>
                      </m:r>
                    </m:sub>
                  </m:sSub>
                  <m:r>
                    <m:t>−</m:t>
                  </m:r>
                  <m:sSubSup>
                    <m:e>
                      <m:r>
                        <m:t>X</m:t>
                      </m:r>
                    </m:e>
                    <m:sub>
                      <m:r>
                        <m:t>i,t</m:t>
                      </m:r>
                    </m:sub>
                    <m:sup>
                      <m:r>
                        <m:t>′</m:t>
                      </m:r>
                    </m:sup>
                  </m:sSubSup>
                  <m:r>
                    <m:t>β)</m:t>
                  </m:r>
                </m:num>
                <m:den>
                  <m:sSub>
                    <m:e>
                      <m:r>
                        <m:t>P</m:t>
                      </m:r>
                    </m:e>
                    <m:sub>
                      <m:r>
                        <m:t>i,k+1</m:t>
                      </m:r>
                    </m:sub>
                  </m:sSub>
                </m:den>
              </m:f>
              <m:r>
                <m:t>]=0</m:t>
              </m:r>
            </m:oMath>
          </w:p>
        </w:tc>
        <w:tc>
          <w:tcPr>
            <w:tcW w:type="dxa" w:w="1152"/>
          </w:tcPr>
          <w:p>
            <w:pPr>
              <w:spacing w:before="40" w:after="40"/>
              <w:jc w:val="right"/>
            </w:pPr>
            <w:r>
              <w:rPr>
                <w:rFonts w:ascii="Times New Roman" w:hAnsi="Times New Roman"/>
                <w:color w:val="000000"/>
                <w:sz w:val="20"/>
              </w:rPr>
              <w:t>(A.3)</w:t>
            </w:r>
          </w:p>
        </w:tc>
      </w:tr>
    </w:tbl>
    <w:p>
      <w:pPr>
        <w:keepNext/>
        <w:spacing w:before="140" w:after="40"/>
        <w:jc w:val="left"/>
      </w:pPr>
      <w:r>
        <w:rPr>
          <w:rFonts w:ascii="Times New Roman" w:hAnsi="Times New Roman"/>
          <w:b/>
          <w:i/>
          <w:color w:val="000000"/>
          <w:sz w:val="21"/>
        </w:rPr>
        <w:t>B. Firth Penalized Likelihood Derivation</w:t>
      </w:r>
    </w:p>
    <w:p>
      <w:pPr>
        <w:spacing w:after="80" w:line="276" w:lineRule="auto"/>
        <w:jc w:val="both"/>
      </w:pPr>
      <w:r>
        <w:rPr>
          <w:rFonts w:ascii="Times New Roman" w:hAnsi="Times New Roman"/>
          <w:color w:val="000000"/>
          <w:sz w:val="20"/>
        </w:rPr>
        <w:t xml:space="preserve">Firth's penalized log-likelihood is given by </w:t>
      </w:r>
      <w:r>
        <w:rPr>
          <w:rFonts w:ascii="Times New Roman" w:hAnsi="Times New Roman"/>
          <w:b w:val="0"/>
          <w:i/>
          <w:color w:val="000000"/>
          <w:sz w:val="20"/>
        </w:rPr>
        <w:t>ell</w:t>
      </w:r>
      <w:r>
        <w:rPr>
          <w:rFonts w:ascii="Times New Roman" w:hAnsi="Times New Roman"/>
          <w:b w:val="0"/>
          <w:color w:val="000000"/>
          <w:sz w:val="16"/>
          <w:vertAlign w:val="superscript"/>
        </w:rPr>
        <w:t>*</w:t>
      </w:r>
      <w:r>
        <w:rPr>
          <w:rFonts w:ascii="Times New Roman" w:hAnsi="Times New Roman"/>
          <w:b w:val="0"/>
          <w:i w:val="0"/>
          <w:color w:val="000000"/>
          <w:sz w:val="20"/>
        </w:rPr>
        <w:t>(</w:t>
      </w:r>
      <w:r>
        <w:rPr>
          <w:rFonts w:ascii="Times New Roman" w:hAnsi="Times New Roman"/>
          <w:b w:val="0"/>
          <w:i/>
          <w:color w:val="000000"/>
          <w:sz w:val="20"/>
        </w:rPr>
        <w:t>β</w:t>
      </w:r>
      <w:r>
        <w:rPr>
          <w:rFonts w:ascii="Times New Roman" w:hAnsi="Times New Roman"/>
          <w:b w:val="0"/>
          <w:i w:val="0"/>
          <w:color w:val="000000"/>
          <w:sz w:val="20"/>
        </w:rPr>
        <w:t xml:space="preserve">) = </w:t>
      </w:r>
      <w:r>
        <w:rPr>
          <w:rFonts w:ascii="Times New Roman" w:hAnsi="Times New Roman"/>
          <w:b w:val="0"/>
          <w:i/>
          <w:color w:val="000000"/>
          <w:sz w:val="20"/>
        </w:rPr>
        <w:t>ell</w:t>
      </w:r>
      <w:r>
        <w:rPr>
          <w:rFonts w:ascii="Times New Roman" w:hAnsi="Times New Roman"/>
          <w:b w:val="0"/>
          <w:i w:val="0"/>
          <w:color w:val="000000"/>
          <w:sz w:val="20"/>
        </w:rPr>
        <w:t>(</w:t>
      </w:r>
      <w:r>
        <w:rPr>
          <w:rFonts w:ascii="Times New Roman" w:hAnsi="Times New Roman"/>
          <w:b w:val="0"/>
          <w:i/>
          <w:color w:val="000000"/>
          <w:sz w:val="20"/>
        </w:rPr>
        <w:t>β</w:t>
      </w:r>
      <w:r>
        <w:rPr>
          <w:rFonts w:ascii="Times New Roman" w:hAnsi="Times New Roman"/>
          <w:b w:val="0"/>
          <w:i w:val="0"/>
          <w:color w:val="000000"/>
          <w:sz w:val="20"/>
        </w:rPr>
        <w:t xml:space="preserve">) + 1/2 </w:t>
      </w:r>
      <w:r>
        <w:rPr>
          <w:rFonts w:ascii="Times New Roman" w:hAnsi="Times New Roman"/>
          <w:b w:val="0"/>
          <w:i w:val="0"/>
          <w:color w:val="000000"/>
          <w:sz w:val="20"/>
        </w:rPr>
        <w:t>ln</w:t>
      </w:r>
      <w:r>
        <w:rPr>
          <w:rFonts w:ascii="Times New Roman" w:hAnsi="Times New Roman"/>
          <w:b w:val="0"/>
          <w:i w:val="0"/>
          <w:color w:val="000000"/>
          <w:sz w:val="20"/>
        </w:rPr>
        <w:t xml:space="preserve"> |</w:t>
      </w:r>
      <w:r>
        <w:rPr>
          <w:rFonts w:ascii="Times New Roman" w:hAnsi="Times New Roman"/>
          <w:b w:val="0"/>
          <w:i/>
          <w:color w:val="000000"/>
          <w:sz w:val="20"/>
        </w:rPr>
        <w:t>I</w:t>
      </w:r>
      <w:r>
        <w:rPr>
          <w:rFonts w:ascii="Times New Roman" w:hAnsi="Times New Roman"/>
          <w:b w:val="0"/>
          <w:i w:val="0"/>
          <w:color w:val="000000"/>
          <w:sz w:val="20"/>
        </w:rPr>
        <w:t>(</w:t>
      </w:r>
      <w:r>
        <w:rPr>
          <w:rFonts w:ascii="Times New Roman" w:hAnsi="Times New Roman"/>
          <w:b w:val="0"/>
          <w:i/>
          <w:color w:val="000000"/>
          <w:sz w:val="20"/>
        </w:rPr>
        <w:t>β</w:t>
      </w:r>
      <w:r>
        <w:rPr>
          <w:rFonts w:ascii="Times New Roman" w:hAnsi="Times New Roman"/>
          <w:b w:val="0"/>
          <w:i w:val="0"/>
          <w:color w:val="000000"/>
          <w:sz w:val="20"/>
        </w:rPr>
        <w:t>)|</w:t>
      </w:r>
      <w:r>
        <w:rPr>
          <w:rFonts w:ascii="Times New Roman" w:hAnsi="Times New Roman"/>
          <w:color w:val="000000"/>
          <w:sz w:val="20"/>
        </w:rPr>
        <w:t>. The modified score vector satisfies: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Sup>
                <m:e>
                  <m:r>
                    <m:t>U</m:t>
                  </m:r>
                </m:e>
                <m:sub>
                  <m:r>
                    <m:t>j</m:t>
                  </m:r>
                </m:sub>
                <m:sup>
                  <m:r>
                    <m:t>*</m:t>
                  </m:r>
                </m:sup>
              </m:sSubSup>
              <m:r>
                <m:t>(β)=</m:t>
              </m:r>
              <m:f>
                <m:fPr>
                  <m:type m:val="bar"/>
                </m:fPr>
                <m:num>
                  <m:r>
                    <m:t>∂</m:t>
                  </m:r>
                  <m:sSup>
                    <m:e>
                      <m:r>
                        <m:t>ℓ</m:t>
                      </m:r>
                    </m:e>
                    <m:sup>
                      <m:r>
                        <m:t>*</m:t>
                      </m:r>
                    </m:sup>
                  </m:sSup>
                </m:num>
                <m:den>
                  <m:r>
                    <m:t>∂</m:t>
                  </m:r>
                  <m:sSub>
                    <m:e>
                      <m:r>
                        <m:t>β</m:t>
                      </m:r>
                    </m:e>
                    <m:sub>
                      <m:r>
                        <m:t>j</m:t>
                      </m:r>
                    </m:sub>
                  </m:sSub>
                </m:den>
              </m:f>
              <m:r>
                <m:t>=</m:t>
              </m:r>
              <m:nary>
                <m:naryPr>
                  <m:chr m:val="∑"/>
                  <m:limLoc m:val="undOvr"/>
                  <m:grow m:val="1"/>
                  <m:subHide m:val="off"/>
                  <m:supHide m:val="off"/>
                </m:naryPr>
                <m:sub>
                  <m:r>
                    <m:t>i=1</m:t>
                  </m:r>
                </m:sub>
                <m:sup>
                  <m:r>
                    <m:t>N</m:t>
                  </m:r>
                </m:sup>
                <m:e>
                  <m:r>
                    <m:t>[</m:t>
                  </m:r>
                </m:e>
              </m:nary>
              <m:sSub>
                <m:e>
                  <m:r>
                    <m:t>y</m:t>
                  </m:r>
                </m:e>
                <m:sub>
                  <m:r>
                    <m:t>i</m:t>
                  </m:r>
                </m:sub>
              </m:sSub>
              <m:r>
                <m:t>−</m:t>
              </m:r>
              <m:sSub>
                <m:e>
                  <m:r>
                    <m:t>π</m:t>
                  </m:r>
                </m:e>
                <m:sub>
                  <m:r>
                    <m:t>i</m:t>
                  </m:r>
                </m:sub>
              </m:sSub>
              <m:r>
                <m:t>+</m:t>
              </m:r>
              <m:sSub>
                <m:e>
                  <m:r>
                    <m:t>h</m:t>
                  </m:r>
                </m:e>
                <m:sub>
                  <m:r>
                    <m:t>i</m:t>
                  </m:r>
                </m:sub>
              </m:sSub>
              <m:r>
                <m:t>(</m:t>
              </m:r>
              <m:f>
                <m:fPr>
                  <m:type m:val="bar"/>
                </m:fPr>
                <m:num>
                  <m:r>
                    <m:t>1</m:t>
                  </m:r>
                </m:num>
                <m:den>
                  <m:r>
                    <m:t>2</m:t>
                  </m:r>
                </m:den>
              </m:f>
              <m:r>
                <m:t>−</m:t>
              </m:r>
              <m:sSub>
                <m:e>
                  <m:r>
                    <m:t>π</m:t>
                  </m:r>
                </m:e>
                <m:sub>
                  <m:r>
                    <m:t>i</m:t>
                  </m:r>
                </m:sub>
              </m:sSub>
              <m:r>
                <m:t>)]</m:t>
              </m:r>
              <m:sSub>
                <m:e>
                  <m:r>
                    <m:t>X</m:t>
                  </m:r>
                </m:e>
                <m:sub>
                  <m:r>
                    <m:t>ij</m:t>
                  </m:r>
                </m:sub>
              </m:sSub>
              <m:r>
                <m:t>=0</m:t>
              </m:r>
            </m:oMath>
          </w:p>
        </w:tc>
        <w:tc>
          <w:tcPr>
            <w:tcW w:type="dxa" w:w="1152"/>
          </w:tcPr>
          <w:p>
            <w:pPr>
              <w:spacing w:before="40" w:after="40"/>
              <w:jc w:val="right"/>
            </w:pPr>
            <w:r>
              <w:rPr>
                <w:rFonts w:ascii="Times New Roman" w:hAnsi="Times New Roman"/>
                <w:color w:val="000000"/>
                <w:sz w:val="20"/>
              </w:rPr>
              <w:t>(B.2)</w:t>
            </w:r>
          </w:p>
        </w:tc>
      </w:tr>
    </w:tbl>
    <w:p>
      <w:pPr>
        <w:keepNext/>
        <w:spacing w:before="140" w:after="40"/>
        <w:jc w:val="left"/>
      </w:pPr>
      <w:r>
        <w:rPr>
          <w:rFonts w:ascii="Times New Roman" w:hAnsi="Times New Roman"/>
          <w:b/>
          <w:i/>
          <w:color w:val="000000"/>
          <w:sz w:val="21"/>
        </w:rPr>
        <w:t>C. Continuous-Time Rating Half-Life Derivation</w:t>
      </w:r>
    </w:p>
    <w:p>
      <w:pPr>
        <w:spacing w:after="80" w:line="276" w:lineRule="auto"/>
        <w:jc w:val="both"/>
      </w:pPr>
      <w:r>
        <w:rPr>
          <w:rFonts w:ascii="Times New Roman" w:hAnsi="Times New Roman"/>
          <w:color w:val="000000"/>
          <w:sz w:val="20"/>
        </w:rPr>
        <w:t>The continuous-time partial adjustment differential equation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f>
                <m:fPr>
                  <m:type m:val="bar"/>
                </m:fPr>
                <m:num>
                  <m:r>
                    <m:t>dR(t)</m:t>
                  </m:r>
                </m:num>
                <m:den>
                  <m:r>
                    <m:t>dt</m:t>
                  </m:r>
                </m:den>
              </m:f>
              <m:r>
                <m:t>=κ[S(t)−R(t)],</m:t>
              </m:r>
              <m:r>
                <m:t>κ&gt;0</m:t>
              </m:r>
            </m:oMath>
          </w:p>
        </w:tc>
        <w:tc>
          <w:tcPr>
            <w:tcW w:type="dxa" w:w="1152"/>
          </w:tcPr>
          <w:p>
            <w:pPr>
              <w:spacing w:before="40" w:after="40"/>
              <w:jc w:val="right"/>
            </w:pPr>
            <w:r>
              <w:rPr>
                <w:rFonts w:ascii="Times New Roman" w:hAnsi="Times New Roman"/>
                <w:color w:val="000000"/>
                <w:sz w:val="20"/>
              </w:rPr>
              <w:t>(C.1)</w:t>
            </w:r>
          </w:p>
        </w:tc>
      </w:tr>
    </w:tbl>
    <w:p>
      <w:pPr>
        <w:spacing w:after="80" w:line="276" w:lineRule="auto"/>
        <w:jc w:val="both"/>
      </w:pPr>
      <w:r>
        <w:rPr>
          <w:rFonts w:ascii="Times New Roman" w:hAnsi="Times New Roman"/>
          <w:color w:val="000000"/>
          <w:sz w:val="20"/>
        </w:rPr>
        <w:t>Solving this first-order linear ODE yields: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r>
                <m:t>R(t)=</m:t>
              </m:r>
              <m:bar>
                <m:barPr>
                  <m:pos m:val="top"/>
                </m:barPr>
                <m:e>
                  <m:r>
                    <m:t>S</m:t>
                  </m:r>
                </m:e>
              </m:bar>
              <m:r>
                <m:t>+(R(0)−</m:t>
              </m:r>
              <m:bar>
                <m:barPr>
                  <m:pos m:val="top"/>
                </m:barPr>
                <m:e>
                  <m:r>
                    <m:t>S</m:t>
                  </m:r>
                </m:e>
              </m:bar>
              <m:r>
                <m:t>)</m:t>
              </m:r>
              <m:sSup>
                <m:e>
                  <m:r>
                    <m:t>e</m:t>
                  </m:r>
                </m:e>
                <m:sup>
                  <m:r>
                    <m:t>−κt</m:t>
                  </m:r>
                </m:sup>
              </m:sSup>
            </m:oMath>
          </w:p>
        </w:tc>
        <w:tc>
          <w:tcPr>
            <w:tcW w:type="dxa" w:w="1152"/>
          </w:tcPr>
          <w:p>
            <w:pPr>
              <w:spacing w:before="40" w:after="40"/>
              <w:jc w:val="right"/>
            </w:pPr>
            <w:r>
              <w:rPr>
                <w:rFonts w:ascii="Times New Roman" w:hAnsi="Times New Roman"/>
                <w:color w:val="000000"/>
                <w:sz w:val="20"/>
              </w:rPr>
              <w:t>(C.2)</w:t>
            </w:r>
          </w:p>
        </w:tc>
      </w:tr>
    </w:tbl>
    <w:p>
      <w:pPr>
        <w:spacing w:after="80" w:line="276" w:lineRule="auto"/>
        <w:jc w:val="both"/>
      </w:pPr>
      <w:r>
        <w:rPr>
          <w:rFonts w:ascii="Times New Roman" w:hAnsi="Times New Roman"/>
          <w:color w:val="000000"/>
          <w:sz w:val="20"/>
        </w:rPr>
        <w:t xml:space="preserve">Setting the remaining deviation to half the initial gap, </w:t>
      </w:r>
      <w:r>
        <w:rPr>
          <w:rFonts w:ascii="Times New Roman" w:hAnsi="Times New Roman"/>
          <w:b w:val="0"/>
          <w:i/>
          <w:color w:val="000000"/>
          <w:sz w:val="20"/>
        </w:rPr>
        <w:t>frac</w:t>
      </w:r>
      <w:r>
        <w:rPr>
          <w:rFonts w:ascii="Times New Roman" w:hAnsi="Times New Roman"/>
          <w:b w:val="0"/>
          <w:i w:val="0"/>
          <w:color w:val="000000"/>
          <w:sz w:val="20"/>
        </w:rPr>
        <w:t>{</w:t>
      </w:r>
      <w:r>
        <w:rPr>
          <w:rFonts w:ascii="Times New Roman" w:hAnsi="Times New Roman"/>
          <w:b w:val="0"/>
          <w:i/>
          <w:color w:val="000000"/>
          <w:sz w:val="20"/>
        </w:rPr>
        <w:t>R</w:t>
      </w:r>
      <w:r>
        <w:rPr>
          <w:rFonts w:ascii="Times New Roman" w:hAnsi="Times New Roman"/>
          <w:b w:val="0"/>
          <w:i w:val="0"/>
          <w:color w:val="000000"/>
          <w:sz w:val="20"/>
        </w:rPr>
        <w:t>(</w:t>
      </w:r>
      <w:r>
        <w:rPr>
          <w:rFonts w:ascii="Times New Roman" w:hAnsi="Times New Roman"/>
          <w:b w:val="0"/>
          <w:i/>
          <w:color w:val="000000"/>
          <w:sz w:val="20"/>
        </w:rPr>
        <w:t>t</w:t>
      </w:r>
      <w:r>
        <w:rPr>
          <w:rFonts w:ascii="Times New Roman" w:hAnsi="Times New Roman"/>
          <w:b w:val="0"/>
          <w:color w:val="000000"/>
          <w:sz w:val="16"/>
          <w:vertAlign w:val="subscript"/>
        </w:rPr>
        <w:t>1/2</w:t>
      </w:r>
      <w:r>
        <w:rPr>
          <w:rFonts w:ascii="Times New Roman" w:hAnsi="Times New Roman"/>
          <w:b w:val="0"/>
          <w:i w:val="0"/>
          <w:color w:val="000000"/>
          <w:sz w:val="20"/>
        </w:rPr>
        <w:t xml:space="preserve">) - </w:t>
      </w:r>
      <w:r>
        <w:rPr>
          <w:rFonts w:ascii="Times New Roman" w:hAnsi="Times New Roman"/>
          <w:b w:val="0"/>
          <w:i/>
          <w:color w:val="000000"/>
          <w:sz w:val="20"/>
        </w:rPr>
        <w:t>S̄</w:t>
      </w:r>
      <w:r>
        <w:rPr>
          <w:rFonts w:ascii="Times New Roman" w:hAnsi="Times New Roman"/>
          <w:b w:val="0"/>
          <w:i w:val="0"/>
          <w:color w:val="000000"/>
          <w:sz w:val="20"/>
        </w:rPr>
        <w:t>}{</w:t>
      </w:r>
      <w:r>
        <w:rPr>
          <w:rFonts w:ascii="Times New Roman" w:hAnsi="Times New Roman"/>
          <w:b w:val="0"/>
          <w:i/>
          <w:color w:val="000000"/>
          <w:sz w:val="20"/>
        </w:rPr>
        <w:t>R</w:t>
      </w:r>
      <w:r>
        <w:rPr>
          <w:rFonts w:ascii="Times New Roman" w:hAnsi="Times New Roman"/>
          <w:b w:val="0"/>
          <w:i w:val="0"/>
          <w:color w:val="000000"/>
          <w:sz w:val="20"/>
        </w:rPr>
        <w:t xml:space="preserve">(0) - </w:t>
      </w:r>
      <w:r>
        <w:rPr>
          <w:rFonts w:ascii="Times New Roman" w:hAnsi="Times New Roman"/>
          <w:b w:val="0"/>
          <w:i/>
          <w:color w:val="000000"/>
          <w:sz w:val="20"/>
        </w:rPr>
        <w:t>S̄</w:t>
      </w:r>
      <w:r>
        <w:rPr>
          <w:rFonts w:ascii="Times New Roman" w:hAnsi="Times New Roman"/>
          <w:b w:val="0"/>
          <w:i w:val="0"/>
          <w:color w:val="000000"/>
          <w:sz w:val="20"/>
        </w:rPr>
        <w:t xml:space="preserve">} = </w:t>
      </w:r>
      <w:r>
        <w:rPr>
          <w:rFonts w:ascii="Times New Roman" w:hAnsi="Times New Roman"/>
          <w:b w:val="0"/>
          <w:i/>
          <w:color w:val="000000"/>
          <w:sz w:val="20"/>
        </w:rPr>
        <w:t>e</w:t>
      </w:r>
      <w:r>
        <w:rPr>
          <w:rFonts w:ascii="Times New Roman" w:hAnsi="Times New Roman"/>
          <w:b w:val="0"/>
          <w:color w:val="000000"/>
          <w:sz w:val="16"/>
          <w:vertAlign w:val="superscript"/>
        </w:rPr>
        <w:t>-κ t_{1/2</w:t>
      </w:r>
      <w:r>
        <w:rPr>
          <w:rFonts w:ascii="Times New Roman" w:hAnsi="Times New Roman"/>
          <w:b w:val="0"/>
          <w:i w:val="0"/>
          <w:color w:val="000000"/>
          <w:sz w:val="20"/>
        </w:rPr>
        <w:t>} = 0.5</w:t>
      </w:r>
      <w:r>
        <w:rPr>
          <w:rFonts w:ascii="Times New Roman" w:hAnsi="Times New Roman"/>
          <w:color w:val="000000"/>
          <w:sz w:val="20"/>
        </w:rPr>
        <w:t>, yields: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p>
                <m:e>
                  <m:r>
                    <m:t>e</m:t>
                  </m:r>
                </m:e>
                <m:sup>
                  <m:r>
                    <m:t>−κ</m:t>
                  </m:r>
                  <m:sSub>
                    <m:e>
                      <m:r>
                        <m:t>t</m:t>
                      </m:r>
                    </m:e>
                    <m:sub>
                      <m:f>
                        <m:fPr>
                          <m:type m:val="lin"/>
                        </m:fPr>
                        <m:num>
                          <m:r>
                            <m:t>1</m:t>
                          </m:r>
                        </m:num>
                        <m:den>
                          <m:r>
                            <m:t>2</m:t>
                          </m:r>
                        </m:den>
                      </m:f>
                    </m:sub>
                  </m:sSub>
                </m:sup>
              </m:sSup>
              <m:r>
                <m:t>=</m:t>
              </m:r>
              <m:f>
                <m:fPr>
                  <m:type m:val="bar"/>
                </m:fPr>
                <m:num>
                  <m:r>
                    <m:t>1</m:t>
                  </m:r>
                </m:num>
                <m:den>
                  <m:r>
                    <m:t>2</m:t>
                  </m:r>
                </m:den>
              </m:f>
              <m:r>
                <m:t>⟹</m:t>
              </m:r>
              <m:sSub>
                <m:e>
                  <m:r>
                    <m:t>t</m:t>
                  </m:r>
                </m:e>
                <m:sub>
                  <m:f>
                    <m:fPr>
                      <m:type m:val="lin"/>
                    </m:fPr>
                    <m:num>
                      <m:r>
                        <m:t>1</m:t>
                      </m:r>
                    </m:num>
                    <m:den>
                      <m:r>
                        <m:t>2</m:t>
                      </m:r>
                    </m:den>
                  </m:f>
                </m:sub>
              </m:sSub>
              <m:r>
                <m:t>=</m:t>
              </m:r>
              <m:f>
                <m:fPr>
                  <m:type m:val="bar"/>
                </m:fPr>
                <m:num>
                  <m:r>
                    <m:rPr>
                      <m:sty m:val="p"/>
                    </m:rPr>
                    <m:t>ln</m:t>
                  </m:r>
                  <m:r>
                    <m:t>(2)</m:t>
                  </m:r>
                </m:num>
                <m:den>
                  <m:r>
                    <m:t>κ</m:t>
                  </m:r>
                </m:den>
              </m:f>
            </m:oMath>
          </w:p>
        </w:tc>
        <w:tc>
          <w:tcPr>
            <w:tcW w:type="dxa" w:w="1152"/>
          </w:tcPr>
          <w:p>
            <w:pPr>
              <w:spacing w:before="40" w:after="40"/>
              <w:jc w:val="right"/>
            </w:pPr>
            <w:r>
              <w:rPr>
                <w:rFonts w:ascii="Times New Roman" w:hAnsi="Times New Roman"/>
                <w:color w:val="000000"/>
                <w:sz w:val="20"/>
              </w:rPr>
              <w:t>(C.3)</w:t>
            </w:r>
          </w:p>
        </w:tc>
      </w:tr>
    </w:tbl>
    <w:p>
      <w:pPr>
        <w:spacing w:after="80" w:line="276" w:lineRule="auto"/>
        <w:jc w:val="both"/>
      </w:pPr>
      <w:r>
        <w:rPr>
          <w:rFonts w:ascii="Times New Roman" w:hAnsi="Times New Roman"/>
          <w:color w:val="000000"/>
          <w:sz w:val="20"/>
        </w:rPr>
        <w:t xml:space="preserve">In discrete quarterly time with adjustment parameter </w:t>
      </w:r>
      <w:r>
        <w:rPr>
          <w:rFonts w:ascii="Times New Roman" w:hAnsi="Times New Roman"/>
          <w:b w:val="0"/>
          <w:i/>
          <w:color w:val="000000"/>
          <w:sz w:val="20"/>
        </w:rPr>
        <w:t>λ</w:t>
      </w:r>
      <w:r>
        <w:rPr>
          <w:rFonts w:ascii="Times New Roman" w:hAnsi="Times New Roman"/>
          <w:color w:val="000000"/>
          <w:sz w:val="20"/>
        </w:rPr>
        <w:t xml:space="preserve">, </w:t>
      </w:r>
      <w:r>
        <w:rPr>
          <w:rFonts w:ascii="Times New Roman" w:hAnsi="Times New Roman"/>
          <w:b w:val="0"/>
          <w:i w:val="0"/>
          <w:color w:val="000000"/>
          <w:sz w:val="20"/>
        </w:rPr>
        <w:t xml:space="preserve">1 - </w:t>
      </w:r>
      <w:r>
        <w:rPr>
          <w:rFonts w:ascii="Times New Roman" w:hAnsi="Times New Roman"/>
          <w:b w:val="0"/>
          <w:i/>
          <w:color w:val="000000"/>
          <w:sz w:val="20"/>
        </w:rPr>
        <w:t>λ</w:t>
      </w:r>
      <w:r>
        <w:rPr>
          <w:rFonts w:ascii="Times New Roman" w:hAnsi="Times New Roman"/>
          <w:b w:val="0"/>
          <w:i w:val="0"/>
          <w:color w:val="000000"/>
          <w:sz w:val="20"/>
        </w:rPr>
        <w:t xml:space="preserve"> = </w:t>
      </w:r>
      <w:r>
        <w:rPr>
          <w:rFonts w:ascii="Times New Roman" w:hAnsi="Times New Roman"/>
          <w:b w:val="0"/>
          <w:i/>
          <w:color w:val="000000"/>
          <w:sz w:val="20"/>
        </w:rPr>
        <w:t>e</w:t>
      </w:r>
      <w:r>
        <w:rPr>
          <w:rFonts w:ascii="Times New Roman" w:hAnsi="Times New Roman"/>
          <w:b w:val="0"/>
          <w:color w:val="000000"/>
          <w:sz w:val="16"/>
          <w:vertAlign w:val="superscript"/>
        </w:rPr>
        <w:t>-κ</w:t>
      </w:r>
      <w:r>
        <w:rPr>
          <w:rFonts w:ascii="Times New Roman" w:hAnsi="Times New Roman"/>
          <w:color w:val="000000"/>
          <w:sz w:val="20"/>
        </w:rPr>
        <w:t xml:space="preserve">, giving </w:t>
      </w:r>
      <w:r>
        <w:rPr>
          <w:rFonts w:ascii="Times New Roman" w:hAnsi="Times New Roman"/>
          <w:b w:val="0"/>
          <w:i/>
          <w:color w:val="000000"/>
          <w:sz w:val="20"/>
        </w:rPr>
        <w:t>t</w:t>
      </w:r>
      <w:r>
        <w:rPr>
          <w:rFonts w:ascii="Times New Roman" w:hAnsi="Times New Roman"/>
          <w:b w:val="0"/>
          <w:color w:val="000000"/>
          <w:sz w:val="16"/>
          <w:vertAlign w:val="subscript"/>
        </w:rPr>
        <w:t>1/2</w:t>
      </w:r>
      <w:r>
        <w:rPr>
          <w:rFonts w:ascii="Times New Roman" w:hAnsi="Times New Roman"/>
          <w:b w:val="0"/>
          <w:i w:val="0"/>
          <w:color w:val="000000"/>
          <w:sz w:val="20"/>
        </w:rPr>
        <w:t xml:space="preserve"> = </w:t>
      </w:r>
      <w:r>
        <w:rPr>
          <w:rFonts w:ascii="Times New Roman" w:hAnsi="Times New Roman"/>
          <w:b w:val="0"/>
          <w:i w:val="0"/>
          <w:color w:val="000000"/>
          <w:sz w:val="20"/>
        </w:rPr>
        <w:t>ln</w:t>
      </w:r>
      <w:r>
        <w:rPr>
          <w:rFonts w:ascii="Times New Roman" w:hAnsi="Times New Roman"/>
          <w:b w:val="0"/>
          <w:i w:val="0"/>
          <w:color w:val="000000"/>
          <w:sz w:val="20"/>
        </w:rPr>
        <w:t>(0.5)/</w:t>
      </w:r>
      <w:r>
        <w:rPr>
          <w:rFonts w:ascii="Times New Roman" w:hAnsi="Times New Roman"/>
          <w:b w:val="0"/>
          <w:i w:val="0"/>
          <w:color w:val="000000"/>
          <w:sz w:val="20"/>
        </w:rPr>
        <w:t>ln</w:t>
      </w:r>
      <w:r>
        <w:rPr>
          <w:rFonts w:ascii="Times New Roman" w:hAnsi="Times New Roman"/>
          <w:b w:val="0"/>
          <w:i w:val="0"/>
          <w:color w:val="000000"/>
          <w:sz w:val="20"/>
        </w:rPr>
        <w:t xml:space="preserve">(1 - </w:t>
      </w:r>
      <w:r>
        <w:rPr>
          <w:rFonts w:ascii="Times New Roman" w:hAnsi="Times New Roman"/>
          <w:b w:val="0"/>
          <w:i/>
          <w:color w:val="000000"/>
          <w:sz w:val="20"/>
        </w:rPr>
        <w:t>λ</w:t>
      </w:r>
      <w:r>
        <w:rPr>
          <w:rFonts w:ascii="Times New Roman" w:hAnsi="Times New Roman"/>
          <w:b w:val="0"/>
          <w:i w:val="0"/>
          <w:color w:val="000000"/>
          <w:sz w:val="20"/>
        </w:rPr>
        <w:t>)</w:t>
      </w:r>
      <w:r>
        <w:rPr>
          <w:rFonts w:ascii="Times New Roman" w:hAnsi="Times New Roman"/>
          <w:color w:val="000000"/>
          <w:sz w:val="20"/>
        </w:rPr>
        <w:t>.</w:t>
      </w:r>
    </w:p>
    <w:p>
      <w:pPr>
        <w:keepNext/>
        <w:spacing w:before="140" w:after="40"/>
        <w:jc w:val="left"/>
      </w:pPr>
      <w:r>
        <w:rPr>
          <w:rFonts w:ascii="Times New Roman" w:hAnsi="Times New Roman"/>
          <w:b/>
          <w:i/>
          <w:color w:val="000000"/>
          <w:sz w:val="21"/>
        </w:rPr>
        <w:t>D. Structural Vector Autoregression and Waggoner-Zha Solution</w:t>
      </w:r>
    </w:p>
    <w:p>
      <w:pPr>
        <w:spacing w:after="80" w:line="276" w:lineRule="auto"/>
        <w:jc w:val="both"/>
      </w:pPr>
      <w:r>
        <w:rPr>
          <w:rFonts w:ascii="Times New Roman" w:hAnsi="Times New Roman"/>
          <w:color w:val="000000"/>
          <w:sz w:val="20"/>
        </w:rPr>
        <w:t>The structural VAR system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
                <m:e>
                  <m:r>
                    <m:t>A</m:t>
                  </m:r>
                </m:e>
                <m:sub>
                  <m:r>
                    <m:t>0</m:t>
                  </m:r>
                </m:sub>
              </m:sSub>
              <m:sSub>
                <m:e>
                  <m:r>
                    <m:t>Z</m:t>
                  </m:r>
                </m:e>
                <m:sub>
                  <m:r>
                    <m:t>t</m:t>
                  </m:r>
                </m:sub>
              </m:sSub>
              <m:r>
                <m:t>=</m:t>
              </m:r>
              <m:nary>
                <m:naryPr>
                  <m:chr m:val="∑"/>
                  <m:limLoc m:val="undOvr"/>
                  <m:grow m:val="1"/>
                  <m:subHide m:val="off"/>
                  <m:supHide m:val="off"/>
                </m:naryPr>
                <m:sub>
                  <m:r>
                    <m:t>l=1</m:t>
                  </m:r>
                </m:sub>
                <m:sup>
                  <m:r>
                    <m:t>p</m:t>
                  </m:r>
                </m:sup>
                <m:e>
                  <m:sSub>
                    <m:e>
                      <m:r>
                        <m:t>A</m:t>
                      </m:r>
                    </m:e>
                    <m:sub>
                      <m:r>
                        <m:t>l</m:t>
                      </m:r>
                    </m:sub>
                  </m:sSub>
                </m:e>
              </m:nary>
              <m:sSub>
                <m:e>
                  <m:r>
                    <m:t>Z</m:t>
                  </m:r>
                </m:e>
                <m:sub>
                  <m:r>
                    <m:t>t−l</m:t>
                  </m:r>
                </m:sub>
              </m:sSub>
              <m:r>
                <m:t>+</m:t>
              </m:r>
              <m:sSub>
                <m:e>
                  <m:r>
                    <m:t>ϵ</m:t>
                  </m:r>
                </m:e>
                <m:sub>
                  <m:r>
                    <m:t>t</m:t>
                  </m:r>
                </m:sub>
              </m:sSub>
              <m:r>
                <m:t>,</m:t>
              </m:r>
              <m:sSub>
                <m:e>
                  <m:r>
                    <m:t>ϵ</m:t>
                  </m:r>
                </m:e>
                <m:sub>
                  <m:r>
                    <m:t>t</m:t>
                  </m:r>
                </m:sub>
              </m:sSub>
              <m:r>
                <m:t>∼</m:t>
              </m:r>
              <m:r>
                <m:rPr>
                  <m:scr m:val="script"/>
                </m:rPr>
                <m:t>N</m:t>
              </m:r>
              <m:r>
                <m:t>(0,</m:t>
              </m:r>
              <m:sSub>
                <m:e>
                  <m:r>
                    <m:t>I</m:t>
                  </m:r>
                </m:e>
                <m:sub>
                  <m:r>
                    <m:t>k</m:t>
                  </m:r>
                </m:sub>
              </m:sSub>
              <m:r>
                <m:t>)</m:t>
              </m:r>
            </m:oMath>
          </w:p>
        </w:tc>
        <w:tc>
          <w:tcPr>
            <w:tcW w:type="dxa" w:w="1152"/>
          </w:tcPr>
          <w:p>
            <w:pPr>
              <w:spacing w:before="40" w:after="40"/>
              <w:jc w:val="right"/>
            </w:pPr>
            <w:r>
              <w:rPr>
                <w:rFonts w:ascii="Times New Roman" w:hAnsi="Times New Roman"/>
                <w:color w:val="000000"/>
                <w:sz w:val="20"/>
              </w:rPr>
              <w:t>(D.1)</w:t>
            </w:r>
          </w:p>
        </w:tc>
      </w:tr>
    </w:tbl>
    <w:p>
      <w:pPr>
        <w:spacing w:after="80" w:line="276" w:lineRule="auto"/>
        <w:jc w:val="both"/>
      </w:pPr>
      <w:r>
        <w:rPr>
          <w:rFonts w:ascii="Times New Roman" w:hAnsi="Times New Roman"/>
          <w:color w:val="000000"/>
          <w:sz w:val="20"/>
        </w:rPr>
        <w:t xml:space="preserve">The Moving Average representation across forecast horizon </w:t>
      </w:r>
      <w:r>
        <w:rPr>
          <w:rFonts w:ascii="Times New Roman" w:hAnsi="Times New Roman"/>
          <w:b w:val="0"/>
          <w:i/>
          <w:color w:val="000000"/>
          <w:sz w:val="20"/>
        </w:rPr>
        <w:t>h</w:t>
      </w:r>
      <w:r>
        <w:rPr>
          <w:rFonts w:ascii="Times New Roman" w:hAnsi="Times New Roman"/>
          <w:color w:val="000000"/>
          <w:sz w:val="20"/>
        </w:rPr>
        <w:t xml:space="preserve">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b>
                <m:e>
                  <m:r>
                    <m:t>Z</m:t>
                  </m:r>
                </m:e>
                <m:sub>
                  <m:r>
                    <m:t>T+h</m:t>
                  </m:r>
                </m:sub>
              </m:sSub>
              <m:r>
                <m:t>=</m:t>
              </m:r>
              <m:nary>
                <m:naryPr>
                  <m:chr m:val="∑"/>
                  <m:limLoc m:val="undOvr"/>
                  <m:grow m:val="1"/>
                  <m:subHide m:val="off"/>
                  <m:supHide m:val="off"/>
                </m:naryPr>
                <m:sub>
                  <m:r>
                    <m:t>j=0</m:t>
                  </m:r>
                </m:sub>
                <m:sup>
                  <m:r>
                    <m:t>h−1</m:t>
                  </m:r>
                </m:sup>
                <m:e>
                  <m:sSub>
                    <m:e>
                      <m:r>
                        <m:t>C</m:t>
                      </m:r>
                    </m:e>
                    <m:sub>
                      <m:r>
                        <m:t>j</m:t>
                      </m:r>
                    </m:sub>
                  </m:sSub>
                </m:e>
              </m:nary>
              <m:sSub>
                <m:e>
                  <m:r>
                    <m:t>ϵ</m:t>
                  </m:r>
                </m:e>
                <m:sub>
                  <m:r>
                    <m:t>T+h−j</m:t>
                  </m:r>
                </m:sub>
              </m:sSub>
              <m:r>
                <m:t>+</m:t>
              </m:r>
              <m:sSub>
                <m:e>
                  <m:r>
                    <m:rPr>
                      <m:scr m:val="double-struck"/>
                      <m:sty m:val="p"/>
                    </m:rPr>
                    <m:t>E</m:t>
                  </m:r>
                </m:e>
                <m:sub>
                  <m:r>
                    <m:t>T</m:t>
                  </m:r>
                </m:sub>
              </m:sSub>
              <m:r>
                <m:t>[</m:t>
              </m:r>
              <m:sSub>
                <m:e>
                  <m:r>
                    <m:t>Z</m:t>
                  </m:r>
                </m:e>
                <m:sub>
                  <m:r>
                    <m:t>T+h</m:t>
                  </m:r>
                </m:sub>
              </m:sSub>
              <m:r>
                <m:t>]</m:t>
              </m:r>
            </m:oMath>
          </w:p>
        </w:tc>
        <w:tc>
          <w:tcPr>
            <w:tcW w:type="dxa" w:w="1152"/>
          </w:tcPr>
          <w:p>
            <w:pPr>
              <w:spacing w:before="40" w:after="40"/>
              <w:jc w:val="right"/>
            </w:pPr>
            <w:r>
              <w:rPr>
                <w:rFonts w:ascii="Times New Roman" w:hAnsi="Times New Roman"/>
                <w:color w:val="000000"/>
                <w:sz w:val="20"/>
              </w:rPr>
              <w:t>(D.2)</w:t>
            </w:r>
          </w:p>
        </w:tc>
      </w:tr>
    </w:tbl>
    <w:p>
      <w:pPr>
        <w:spacing w:after="80" w:line="276" w:lineRule="auto"/>
        <w:jc w:val="both"/>
      </w:pPr>
      <w:r>
        <w:rPr>
          <w:rFonts w:ascii="Times New Roman" w:hAnsi="Times New Roman"/>
          <w:color w:val="000000"/>
          <w:sz w:val="20"/>
        </w:rPr>
        <w:t xml:space="preserve">Stacking the system over forecast horizon </w:t>
      </w:r>
      <w:r>
        <w:rPr>
          <w:rFonts w:ascii="Times New Roman" w:hAnsi="Times New Roman"/>
          <w:b w:val="0"/>
          <w:i/>
          <w:color w:val="000000"/>
          <w:sz w:val="20"/>
        </w:rPr>
        <w:t>H</w:t>
      </w:r>
      <w:r>
        <w:rPr>
          <w:rFonts w:ascii="Times New Roman" w:hAnsi="Times New Roman"/>
          <w:color w:val="000000"/>
          <w:sz w:val="20"/>
        </w:rPr>
        <w:t xml:space="preserve"> yields: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r>
                <m:rPr>
                  <m:sty m:val="b"/>
                </m:rPr>
                <m:t>Z</m:t>
              </m:r>
              <m:r>
                <m:t>=</m:t>
              </m:r>
              <m:r>
                <m:rPr>
                  <m:sty m:val="b"/>
                </m:rPr>
                <m:t>C</m:t>
              </m:r>
              <m:r>
                <m:rPr>
                  <m:sty m:val="bi"/>
                </m:rPr>
                <m:t>ϵ</m:t>
              </m:r>
              <m:r>
                <m:t>+</m:t>
              </m:r>
              <m:sSub>
                <m:e>
                  <m:r>
                    <m:rPr>
                      <m:sty m:val="b"/>
                    </m:rPr>
                    <m:t>Z</m:t>
                  </m:r>
                </m:e>
                <m:sub>
                  <m:r>
                    <m:t>0</m:t>
                  </m:r>
                </m:sub>
              </m:sSub>
            </m:oMath>
          </w:p>
        </w:tc>
        <w:tc>
          <w:tcPr>
            <w:tcW w:type="dxa" w:w="1152"/>
          </w:tcPr>
          <w:p>
            <w:pPr>
              <w:spacing w:before="40" w:after="40"/>
              <w:jc w:val="right"/>
            </w:pPr>
            <w:r>
              <w:rPr>
                <w:rFonts w:ascii="Times New Roman" w:hAnsi="Times New Roman"/>
                <w:color w:val="000000"/>
                <w:sz w:val="20"/>
              </w:rPr>
              <w:t>(D.3)</w:t>
            </w:r>
          </w:p>
        </w:tc>
      </w:tr>
    </w:tbl>
    <w:p>
      <w:pPr>
        <w:spacing w:after="80" w:line="276" w:lineRule="auto"/>
        <w:jc w:val="both"/>
      </w:pPr>
      <w:r>
        <w:rPr>
          <w:rFonts w:ascii="Times New Roman" w:hAnsi="Times New Roman"/>
          <w:color w:val="000000"/>
          <w:sz w:val="20"/>
        </w:rPr>
        <w:t xml:space="preserve">Given linear scenario constraints </w:t>
      </w:r>
      <w:r>
        <w:rPr>
          <w:rFonts w:ascii="Times New Roman" w:hAnsi="Times New Roman"/>
          <w:b w:val="0"/>
          <w:i/>
          <w:color w:val="000000"/>
          <w:sz w:val="20"/>
        </w:rPr>
        <w:t>R</w:t>
      </w:r>
      <w:r>
        <w:rPr>
          <w:rFonts w:ascii="Times New Roman" w:hAnsi="Times New Roman"/>
          <w:b w:val="0"/>
          <w:i w:val="0"/>
          <w:color w:val="000000"/>
          <w:sz w:val="20"/>
        </w:rPr>
        <w:t xml:space="preserve"> </w:t>
      </w:r>
      <w:r>
        <w:rPr>
          <w:rFonts w:ascii="Times New Roman" w:hAnsi="Times New Roman"/>
          <w:b w:val="0"/>
          <w:i/>
          <w:color w:val="000000"/>
          <w:sz w:val="20"/>
        </w:rPr>
        <w:t>Z</w:t>
      </w:r>
      <w:r>
        <w:rPr>
          <w:rFonts w:ascii="Times New Roman" w:hAnsi="Times New Roman"/>
          <w:b w:val="0"/>
          <w:i w:val="0"/>
          <w:color w:val="000000"/>
          <w:sz w:val="20"/>
        </w:rPr>
        <w:t xml:space="preserve"> = </w:t>
      </w:r>
      <w:r>
        <w:rPr>
          <w:rFonts w:ascii="Times New Roman" w:hAnsi="Times New Roman"/>
          <w:b w:val="0"/>
          <w:i/>
          <w:color w:val="000000"/>
          <w:sz w:val="20"/>
        </w:rPr>
        <w:t>r</w:t>
      </w:r>
      <w:r>
        <w:rPr>
          <w:rFonts w:ascii="Times New Roman" w:hAnsi="Times New Roman"/>
          <w:color w:val="000000"/>
          <w:sz w:val="20"/>
        </w:rPr>
        <w:t>, the constraint equation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r>
                <m:t>R</m:t>
              </m:r>
              <m:r>
                <m:rPr>
                  <m:sty m:val="b"/>
                </m:rPr>
                <m:t>C</m:t>
              </m:r>
              <m:r>
                <m:rPr>
                  <m:sty m:val="bi"/>
                </m:rPr>
                <m:t>ϵ</m:t>
              </m:r>
              <m:r>
                <m:t>=r−R</m:t>
              </m:r>
              <m:sSub>
                <m:e>
                  <m:r>
                    <m:rPr>
                      <m:sty m:val="b"/>
                    </m:rPr>
                    <m:t>Z</m:t>
                  </m:r>
                </m:e>
                <m:sub>
                  <m:r>
                    <m:t>0</m:t>
                  </m:r>
                </m:sub>
              </m:sSub>
              <m:r>
                <m:t>≡</m:t>
              </m:r>
              <m:r>
                <m:rPr>
                  <m:sty m:val="b"/>
                </m:rPr>
                <m:t>q</m:t>
              </m:r>
            </m:oMath>
          </w:p>
        </w:tc>
        <w:tc>
          <w:tcPr>
            <w:tcW w:type="dxa" w:w="1152"/>
          </w:tcPr>
          <w:p>
            <w:pPr>
              <w:spacing w:before="40" w:after="40"/>
              <w:jc w:val="right"/>
            </w:pPr>
            <w:r>
              <w:rPr>
                <w:rFonts w:ascii="Times New Roman" w:hAnsi="Times New Roman"/>
                <w:color w:val="000000"/>
                <w:sz w:val="20"/>
              </w:rPr>
              <w:t>(D.4)</w:t>
            </w:r>
          </w:p>
        </w:tc>
      </w:tr>
    </w:tbl>
    <w:p>
      <w:pPr>
        <w:spacing w:after="80" w:line="276" w:lineRule="auto"/>
        <w:jc w:val="both"/>
      </w:pPr>
      <w:r>
        <w:rPr>
          <w:rFonts w:ascii="Times New Roman" w:hAnsi="Times New Roman"/>
          <w:color w:val="000000"/>
          <w:sz w:val="20"/>
        </w:rPr>
        <w:t>The minimum-norm (minimum energy) structural shock vector is given analytically by: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74"/>
        <w:gridCol w:w="4874"/>
      </w:tblGrid>
      <w:tr>
        <w:tc>
          <w:tcPr>
            <w:tcW w:type="dxa" w:w="8496"/>
          </w:tcPr>
          <w:p>
            <w:pPr>
              <w:spacing w:before="40" w:after="40"/>
              <w:jc w:val="center"/>
            </w:pPr>
            <m:oMath>
              <m:sSup>
                <m:e>
                  <m:r>
                    <m:rPr>
                      <m:sty m:val="bi"/>
                    </m:rPr>
                    <m:t>ϵ</m:t>
                  </m:r>
                </m:e>
                <m:sup>
                  <m:r>
                    <m:t>*</m:t>
                  </m:r>
                </m:sup>
              </m:sSup>
              <m:r>
                <m:t>=(R</m:t>
              </m:r>
              <m:r>
                <m:rPr>
                  <m:sty m:val="b"/>
                </m:rPr>
                <m:t>C</m:t>
              </m:r>
              <m:sSup>
                <m:e>
                  <m:r>
                    <m:t>)</m:t>
                  </m:r>
                </m:e>
                <m:sup>
                  <m:r>
                    <m:t>′</m:t>
                  </m:r>
                </m:sup>
              </m:sSup>
              <m:r>
                <m:t>[(R</m:t>
              </m:r>
              <m:r>
                <m:rPr>
                  <m:sty m:val="b"/>
                </m:rPr>
                <m:t>C</m:t>
              </m:r>
              <m:r>
                <m:t>)(R</m:t>
              </m:r>
              <m:r>
                <m:rPr>
                  <m:sty m:val="b"/>
                </m:rPr>
                <m:t>C</m:t>
              </m:r>
              <m:sSup>
                <m:e>
                  <m:r>
                    <m:t>)</m:t>
                  </m:r>
                </m:e>
                <m:sup>
                  <m:r>
                    <m:t>′</m:t>
                  </m:r>
                </m:sup>
              </m:sSup>
              <m:sSup>
                <m:e>
                  <m:r>
                    <m:t>]</m:t>
                  </m:r>
                </m:e>
                <m:sup>
                  <m:r>
                    <m:t>−1</m:t>
                  </m:r>
                </m:sup>
              </m:sSup>
              <m:r>
                <m:rPr>
                  <m:sty m:val="b"/>
                </m:rPr>
                <m:t>q</m:t>
              </m:r>
            </m:oMath>
          </w:p>
        </w:tc>
        <w:tc>
          <w:tcPr>
            <w:tcW w:type="dxa" w:w="1152"/>
          </w:tcPr>
          <w:p>
            <w:pPr>
              <w:spacing w:before="40" w:after="40"/>
              <w:jc w:val="right"/>
            </w:pPr>
            <w:r>
              <w:rPr>
                <w:rFonts w:ascii="Times New Roman" w:hAnsi="Times New Roman"/>
                <w:color w:val="000000"/>
                <w:sz w:val="20"/>
              </w:rPr>
              <w:t>(D.5)</w:t>
            </w:r>
          </w:p>
        </w:tc>
      </w:tr>
    </w:tbl>
    <w:p>
      <w:pPr>
        <w:keepNext/>
        <w:pageBreakBefore/>
        <w:spacing w:before="280" w:after="80"/>
        <w:jc w:val="center"/>
      </w:pPr>
      <w:r>
        <w:rPr>
          <w:rFonts w:ascii="Times New Roman" w:hAnsi="Times New Roman"/>
          <w:b/>
          <w:color w:val="000000"/>
          <w:sz w:val="22"/>
        </w:rPr>
        <w:t>REFERENCES</w:t>
      </w:r>
    </w:p>
    <w:p>
      <w:pPr>
        <w:spacing w:after="80" w:line="276" w:lineRule="auto"/>
        <w:ind w:left="360" w:hanging="216"/>
        <w:jc w:val="both"/>
      </w:pPr>
      <w:r>
        <w:rPr>
          <w:rFonts w:ascii="Times New Roman" w:hAnsi="Times New Roman"/>
          <w:color w:val="000000"/>
          <w:sz w:val="20"/>
        </w:rPr>
        <w:t xml:space="preserve">1. Altman, E. I. (1968). Financial Ratios, Discriminant Analysis and the Prediction of Corporate Bankruptcy. </w:t>
      </w:r>
      <w:r>
        <w:rPr>
          <w:rFonts w:ascii="Times New Roman" w:hAnsi="Times New Roman"/>
          <w:i/>
          <w:color w:val="000000"/>
          <w:sz w:val="20"/>
        </w:rPr>
        <w:t>The Journal of Finance</w:t>
      </w:r>
      <w:r>
        <w:rPr>
          <w:rFonts w:ascii="Times New Roman" w:hAnsi="Times New Roman"/>
          <w:color w:val="000000"/>
          <w:sz w:val="20"/>
        </w:rPr>
        <w:t>, 23(4), 589–609.</w:t>
      </w:r>
    </w:p>
    <w:p>
      <w:pPr>
        <w:spacing w:after="80" w:line="276" w:lineRule="auto"/>
        <w:ind w:left="360" w:hanging="216"/>
        <w:jc w:val="both"/>
      </w:pPr>
      <w:r>
        <w:rPr>
          <w:rFonts w:ascii="Times New Roman" w:hAnsi="Times New Roman"/>
          <w:color w:val="000000"/>
          <w:sz w:val="20"/>
        </w:rPr>
        <w:t xml:space="preserve">2. Amato, J. D., &amp; Furfine, C. H. (2004). Are Credit Ratings Procyclical? </w:t>
      </w:r>
      <w:r>
        <w:rPr>
          <w:rFonts w:ascii="Times New Roman" w:hAnsi="Times New Roman"/>
          <w:i/>
          <w:color w:val="000000"/>
          <w:sz w:val="20"/>
        </w:rPr>
        <w:t>Journal of Banking &amp; Finance</w:t>
      </w:r>
      <w:r>
        <w:rPr>
          <w:rFonts w:ascii="Times New Roman" w:hAnsi="Times New Roman"/>
          <w:color w:val="000000"/>
          <w:sz w:val="20"/>
        </w:rPr>
        <w:t>, 28(12), 2941–2977.</w:t>
      </w:r>
    </w:p>
    <w:p>
      <w:pPr>
        <w:spacing w:after="80" w:line="276" w:lineRule="auto"/>
        <w:ind w:left="360" w:hanging="216"/>
        <w:jc w:val="both"/>
      </w:pPr>
      <w:r>
        <w:rPr>
          <w:rFonts w:ascii="Times New Roman" w:hAnsi="Times New Roman"/>
          <w:color w:val="000000"/>
          <w:sz w:val="20"/>
        </w:rPr>
        <w:t xml:space="preserve">3. Cantor, R., &amp; Packer, F. (1996). Determinants and Impact of Sovereign Credit Ratings. </w:t>
      </w:r>
      <w:r>
        <w:rPr>
          <w:rFonts w:ascii="Times New Roman" w:hAnsi="Times New Roman"/>
          <w:i/>
          <w:color w:val="000000"/>
          <w:sz w:val="20"/>
        </w:rPr>
        <w:t>Economic Policy Review</w:t>
      </w:r>
      <w:r>
        <w:rPr>
          <w:rFonts w:ascii="Times New Roman" w:hAnsi="Times New Roman"/>
          <w:color w:val="000000"/>
          <w:sz w:val="20"/>
        </w:rPr>
        <w:t>, 2(2), 37–53.</w:t>
      </w:r>
    </w:p>
    <w:p>
      <w:pPr>
        <w:spacing w:after="80" w:line="276" w:lineRule="auto"/>
        <w:ind w:left="360" w:hanging="216"/>
        <w:jc w:val="both"/>
      </w:pPr>
      <w:r>
        <w:rPr>
          <w:rFonts w:ascii="Times New Roman" w:hAnsi="Times New Roman"/>
          <w:color w:val="000000"/>
          <w:sz w:val="20"/>
        </w:rPr>
        <w:t xml:space="preserve">4. Carey, M., &amp; Hrycay, M. (2001). Parameterizing Credit Risk Models with Rating Data. </w:t>
      </w:r>
      <w:r>
        <w:rPr>
          <w:rFonts w:ascii="Times New Roman" w:hAnsi="Times New Roman"/>
          <w:i/>
          <w:color w:val="000000"/>
          <w:sz w:val="20"/>
        </w:rPr>
        <w:t>Journal of Banking &amp; Finance</w:t>
      </w:r>
      <w:r>
        <w:rPr>
          <w:rFonts w:ascii="Times New Roman" w:hAnsi="Times New Roman"/>
          <w:color w:val="000000"/>
          <w:sz w:val="20"/>
        </w:rPr>
        <w:t>, 25(1), 197–270.</w:t>
      </w:r>
    </w:p>
    <w:p>
      <w:pPr>
        <w:spacing w:after="80" w:line="276" w:lineRule="auto"/>
        <w:ind w:left="360" w:hanging="216"/>
        <w:jc w:val="both"/>
      </w:pPr>
      <w:r>
        <w:rPr>
          <w:rFonts w:ascii="Times New Roman" w:hAnsi="Times New Roman"/>
          <w:color w:val="000000"/>
          <w:sz w:val="20"/>
        </w:rPr>
        <w:t xml:space="preserve">5. Crouhy, M., Galai, D., &amp; Mark, R. (2000). A Comparative Analysis of Current Credit Risk Models. </w:t>
      </w:r>
      <w:r>
        <w:rPr>
          <w:rFonts w:ascii="Times New Roman" w:hAnsi="Times New Roman"/>
          <w:i/>
          <w:color w:val="000000"/>
          <w:sz w:val="20"/>
        </w:rPr>
        <w:t>Journal of Banking &amp; Finance</w:t>
      </w:r>
      <w:r>
        <w:rPr>
          <w:rFonts w:ascii="Times New Roman" w:hAnsi="Times New Roman"/>
          <w:color w:val="000000"/>
          <w:sz w:val="20"/>
        </w:rPr>
        <w:t>, 24(1-2), 59–117.</w:t>
      </w:r>
    </w:p>
    <w:p>
      <w:pPr>
        <w:spacing w:after="80" w:line="276" w:lineRule="auto"/>
        <w:ind w:left="360" w:hanging="216"/>
        <w:jc w:val="both"/>
      </w:pPr>
      <w:r>
        <w:rPr>
          <w:rFonts w:ascii="Times New Roman" w:hAnsi="Times New Roman"/>
          <w:color w:val="000000"/>
          <w:sz w:val="20"/>
        </w:rPr>
        <w:t xml:space="preserve">6. Duffie, D., &amp; Singleton, K. J. (2003). </w:t>
      </w:r>
      <w:r>
        <w:rPr>
          <w:rFonts w:ascii="Times New Roman" w:hAnsi="Times New Roman"/>
          <w:i/>
          <w:color w:val="000000"/>
          <w:sz w:val="20"/>
        </w:rPr>
        <w:t>Credit Risk: Pricing, Measurement, and Management</w:t>
      </w:r>
      <w:r>
        <w:rPr>
          <w:rFonts w:ascii="Times New Roman" w:hAnsi="Times New Roman"/>
          <w:color w:val="000000"/>
          <w:sz w:val="20"/>
        </w:rPr>
        <w:t>. Princeton University Press.</w:t>
      </w:r>
    </w:p>
    <w:p>
      <w:pPr>
        <w:spacing w:after="80" w:line="276" w:lineRule="auto"/>
        <w:ind w:left="360" w:hanging="216"/>
        <w:jc w:val="both"/>
      </w:pPr>
      <w:r>
        <w:rPr>
          <w:rFonts w:ascii="Times New Roman" w:hAnsi="Times New Roman"/>
          <w:color w:val="000000"/>
          <w:sz w:val="20"/>
        </w:rPr>
        <w:t xml:space="preserve">7. Firth, D. (1993). Bias Reduction of Maximum Likelihood Estimates. </w:t>
      </w:r>
      <w:r>
        <w:rPr>
          <w:rFonts w:ascii="Times New Roman" w:hAnsi="Times New Roman"/>
          <w:i/>
          <w:color w:val="000000"/>
          <w:sz w:val="20"/>
        </w:rPr>
        <w:t>Biometrika</w:t>
      </w:r>
      <w:r>
        <w:rPr>
          <w:rFonts w:ascii="Times New Roman" w:hAnsi="Times New Roman"/>
          <w:color w:val="000000"/>
          <w:sz w:val="20"/>
        </w:rPr>
        <w:t>, 80(1), 27–38.</w:t>
      </w:r>
    </w:p>
    <w:p>
      <w:pPr>
        <w:spacing w:after="80" w:line="276" w:lineRule="auto"/>
        <w:ind w:left="360" w:hanging="216"/>
        <w:jc w:val="both"/>
      </w:pPr>
      <w:r>
        <w:rPr>
          <w:rFonts w:ascii="Times New Roman" w:hAnsi="Times New Roman"/>
          <w:color w:val="000000"/>
          <w:sz w:val="20"/>
        </w:rPr>
        <w:t xml:space="preserve">8. Jorion, P., Shi, C., &amp; Zhang, S. (2005). Tightening Credit Standards: The Role of the Rating Agencies. </w:t>
      </w:r>
      <w:r>
        <w:rPr>
          <w:rFonts w:ascii="Times New Roman" w:hAnsi="Times New Roman"/>
          <w:i/>
          <w:color w:val="000000"/>
          <w:sz w:val="20"/>
        </w:rPr>
        <w:t>Journal of Accounting and Economics</w:t>
      </w:r>
      <w:r>
        <w:rPr>
          <w:rFonts w:ascii="Times New Roman" w:hAnsi="Times New Roman"/>
          <w:color w:val="000000"/>
          <w:sz w:val="20"/>
        </w:rPr>
        <w:t>, 39(3), 499–530.</w:t>
      </w:r>
    </w:p>
    <w:p>
      <w:pPr>
        <w:spacing w:after="80" w:line="276" w:lineRule="auto"/>
        <w:ind w:left="360" w:hanging="216"/>
        <w:jc w:val="both"/>
      </w:pPr>
      <w:r>
        <w:rPr>
          <w:rFonts w:ascii="Times New Roman" w:hAnsi="Times New Roman"/>
          <w:color w:val="000000"/>
          <w:sz w:val="20"/>
        </w:rPr>
        <w:t xml:space="preserve">9. Lando, D., &amp; Skødeberg, T. M. (2002). Analyzing Rating Transitions and Rating Drift with Continuous-Time Markov Chains. </w:t>
      </w:r>
      <w:r>
        <w:rPr>
          <w:rFonts w:ascii="Times New Roman" w:hAnsi="Times New Roman"/>
          <w:i/>
          <w:color w:val="000000"/>
          <w:sz w:val="20"/>
        </w:rPr>
        <w:t>Journal of Banking &amp; Finance</w:t>
      </w:r>
      <w:r>
        <w:rPr>
          <w:rFonts w:ascii="Times New Roman" w:hAnsi="Times New Roman"/>
          <w:color w:val="000000"/>
          <w:sz w:val="20"/>
        </w:rPr>
        <w:t>, 26(2-3), 423–444.</w:t>
      </w:r>
    </w:p>
    <w:p>
      <w:pPr>
        <w:spacing w:after="80" w:line="276" w:lineRule="auto"/>
        <w:ind w:left="360" w:hanging="216"/>
        <w:jc w:val="both"/>
      </w:pPr>
      <w:r>
        <w:rPr>
          <w:rFonts w:ascii="Times New Roman" w:hAnsi="Times New Roman"/>
          <w:color w:val="000000"/>
          <w:sz w:val="20"/>
        </w:rPr>
        <w:t xml:space="preserve">10. Merton, R. C. (1974). On the Pricing of Corporate Debt: The Risk Structure of Interest Rates. </w:t>
      </w:r>
      <w:r>
        <w:rPr>
          <w:rFonts w:ascii="Times New Roman" w:hAnsi="Times New Roman"/>
          <w:i/>
          <w:color w:val="000000"/>
          <w:sz w:val="20"/>
        </w:rPr>
        <w:t>The Journal of Finance</w:t>
      </w:r>
      <w:r>
        <w:rPr>
          <w:rFonts w:ascii="Times New Roman" w:hAnsi="Times New Roman"/>
          <w:color w:val="000000"/>
          <w:sz w:val="20"/>
        </w:rPr>
        <w:t>, 29(2), 449–470.</w:t>
      </w:r>
    </w:p>
    <w:p>
      <w:pPr>
        <w:spacing w:after="80" w:line="276" w:lineRule="auto"/>
        <w:ind w:left="360" w:hanging="216"/>
        <w:jc w:val="both"/>
      </w:pPr>
      <w:r>
        <w:rPr>
          <w:rFonts w:ascii="Times New Roman" w:hAnsi="Times New Roman"/>
          <w:color w:val="000000"/>
          <w:sz w:val="20"/>
        </w:rPr>
        <w:t xml:space="preserve">11. Nickell, P., Perraudin, W., &amp; Varotto, S. (2000). Stability of Rating Transitions. </w:t>
      </w:r>
      <w:r>
        <w:rPr>
          <w:rFonts w:ascii="Times New Roman" w:hAnsi="Times New Roman"/>
          <w:i/>
          <w:color w:val="000000"/>
          <w:sz w:val="20"/>
        </w:rPr>
        <w:t>Journal of Banking &amp; Finance</w:t>
      </w:r>
      <w:r>
        <w:rPr>
          <w:rFonts w:ascii="Times New Roman" w:hAnsi="Times New Roman"/>
          <w:color w:val="000000"/>
          <w:sz w:val="20"/>
        </w:rPr>
        <w:t>, 24(1-2), 203–227.</w:t>
      </w:r>
    </w:p>
    <w:p>
      <w:pPr>
        <w:spacing w:after="80" w:line="276" w:lineRule="auto"/>
        <w:ind w:left="360" w:hanging="216"/>
        <w:jc w:val="both"/>
      </w:pPr>
      <w:r>
        <w:rPr>
          <w:rFonts w:ascii="Times New Roman" w:hAnsi="Times New Roman"/>
          <w:color w:val="000000"/>
          <w:sz w:val="20"/>
        </w:rPr>
        <w:t xml:space="preserve">12. Standard &amp; Poor's. (2024). </w:t>
      </w:r>
      <w:r>
        <w:rPr>
          <w:rFonts w:ascii="Times New Roman" w:hAnsi="Times New Roman"/>
          <w:i/>
          <w:color w:val="000000"/>
          <w:sz w:val="20"/>
        </w:rPr>
        <w:t>Default, Transition, and Recovery: 2023 Annual Global Corporate Default and Rating Transition Study</w:t>
      </w:r>
      <w:r>
        <w:rPr>
          <w:rFonts w:ascii="Times New Roman" w:hAnsi="Times New Roman"/>
          <w:color w:val="000000"/>
          <w:sz w:val="20"/>
        </w:rPr>
        <w:t>. S&amp;P Global Ratings Research.</w:t>
      </w:r>
    </w:p>
    <w:p>
      <w:pPr>
        <w:spacing w:after="80" w:line="276" w:lineRule="auto"/>
        <w:ind w:left="360" w:hanging="216"/>
        <w:jc w:val="both"/>
      </w:pPr>
      <w:r>
        <w:rPr>
          <w:rFonts w:ascii="Times New Roman" w:hAnsi="Times New Roman"/>
          <w:color w:val="000000"/>
          <w:sz w:val="20"/>
        </w:rPr>
        <w:t xml:space="preserve">13. Waggoner, D. F., &amp; Zha, T. (1999). Conditional Forecasts in Dynamic Multivariate Models. </w:t>
      </w:r>
      <w:r>
        <w:rPr>
          <w:rFonts w:ascii="Times New Roman" w:hAnsi="Times New Roman"/>
          <w:i/>
          <w:color w:val="000000"/>
          <w:sz w:val="20"/>
        </w:rPr>
        <w:t>Review of Economics and Statistics</w:t>
      </w:r>
      <w:r>
        <w:rPr>
          <w:rFonts w:ascii="Times New Roman" w:hAnsi="Times New Roman"/>
          <w:color w:val="000000"/>
          <w:sz w:val="20"/>
        </w:rPr>
        <w:t>, 81(4), 639–651.</w:t>
      </w:r>
    </w:p>
    <w:sectPr w:rsidR="00FC693F" w:rsidRPr="0006063C" w:rsidSect="00034616">
      <w:headerReference w:type="default" r:id="rId9"/>
      <w:footerReference w:type="default" r:id="rId10"/>
      <w:pgSz w:w="11909" w:h="16834"/>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4" w:space="1" w:color="000000"/>
      </w:pBdr>
    </w:pPr>
    <w:r>
      <w:rPr>
        <w:rFonts w:ascii="Times New Roman" w:hAnsi="Times New Roman"/>
        <w:color w:val="000000"/>
        <w:sz w:val="17"/>
      </w:rPr>
      <w:t>Quantitative Analysis of Financial Markets</w:t>
    </w:r>
    <w:r>
      <w:rPr>
        <w:rFonts w:ascii="Times New Roman" w:hAnsi="Times New Roman"/>
        <w:color w:val="000000"/>
        <w:sz w:val="17"/>
      </w:rPr>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