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356" w:lineRule="exact" w:before="0"/>
        <w:ind w:left="6817" w:right="0" w:firstLine="0"/>
        <w:jc w:val="left"/>
        <w:rPr>
          <w:rFonts w:ascii="Microsoft JhengHei" w:eastAsia="Microsoft JhengHei" w:hint="eastAsia"/>
          <w:b/>
          <w:sz w:val="21"/>
        </w:rPr>
      </w:pPr>
      <w:r>
        <w:rPr>
          <w:rFonts w:ascii="Microsoft JhengHei" w:eastAsia="Microsoft JhengHei" w:hint="eastAsia"/>
          <w:b/>
          <w:color w:val="3E3E3E"/>
          <w:w w:val="95"/>
          <w:sz w:val="21"/>
        </w:rPr>
        <w:t>期货研究报告|量化专题报告</w:t>
      </w:r>
      <w:r>
        <w:rPr>
          <w:rFonts w:ascii="Microsoft JhengHei" w:eastAsia="Microsoft JhengHei" w:hint="eastAsia"/>
          <w:b/>
          <w:color w:val="3E3E3E"/>
          <w:spacing w:val="133"/>
          <w:sz w:val="21"/>
        </w:rPr>
        <w:t> </w:t>
      </w:r>
      <w:r>
        <w:rPr>
          <w:rFonts w:ascii="Microsoft JhengHei" w:eastAsia="Microsoft JhengHei" w:hint="eastAsia"/>
          <w:b/>
          <w:color w:val="3E3E3E"/>
          <w:w w:val="95"/>
          <w:sz w:val="21"/>
        </w:rPr>
        <w:t>2023-03-09</w:t>
      </w:r>
    </w:p>
    <w:p>
      <w:pPr>
        <w:pStyle w:val="Title"/>
      </w:pPr>
      <w:r>
        <w:rPr>
          <w:color w:val="C00000"/>
          <w:w w:val="95"/>
        </w:rPr>
        <w:t>CTA</w:t>
      </w:r>
      <w:r>
        <w:rPr>
          <w:color w:val="C00000"/>
          <w:spacing w:val="13"/>
          <w:w w:val="95"/>
        </w:rPr>
        <w:t> 如何突围</w:t>
      </w:r>
    </w:p>
    <w:p>
      <w:pPr>
        <w:pStyle w:val="BodyText"/>
        <w:rPr>
          <w:rFonts w:ascii="Microsoft JhengHei"/>
          <w:b/>
          <w:sz w:val="20"/>
        </w:rPr>
      </w:pPr>
    </w:p>
    <w:p>
      <w:pPr>
        <w:pStyle w:val="BodyText"/>
        <w:spacing w:before="3"/>
        <w:rPr>
          <w:rFonts w:ascii="Microsoft JhengHei"/>
          <w:b/>
          <w:sz w:val="29"/>
        </w:rPr>
      </w:pPr>
    </w:p>
    <w:p>
      <w:pPr>
        <w:spacing w:after="0"/>
        <w:rPr>
          <w:rFonts w:ascii="Microsoft JhengHei"/>
          <w:sz w:val="29"/>
        </w:rPr>
        <w:sectPr>
          <w:type w:val="continuous"/>
          <w:pgSz w:w="11910" w:h="16840"/>
          <w:pgMar w:top="200" w:bottom="280" w:left="320" w:right="220"/>
        </w:sectPr>
      </w:pPr>
    </w:p>
    <w:p>
      <w:pPr>
        <w:pStyle w:val="Heading2"/>
        <w:spacing w:line="402" w:lineRule="exact"/>
        <w:ind w:left="112" w:firstLine="0"/>
      </w:pPr>
      <w:r>
        <w:rPr>
          <w:spacing w:val="7"/>
        </w:rPr>
        <w:t>研究院 量化组</w:t>
      </w:r>
    </w:p>
    <w:p>
      <w:pPr>
        <w:spacing w:before="61"/>
        <w:ind w:left="112" w:right="0" w:firstLine="0"/>
        <w:jc w:val="left"/>
        <w:rPr>
          <w:rFonts w:ascii="Microsoft JhengHei" w:eastAsia="Microsoft JhengHei" w:hint="eastAsia"/>
          <w:b/>
          <w:sz w:val="18"/>
        </w:rPr>
      </w:pPr>
      <w:r>
        <w:rPr>
          <w:rFonts w:ascii="Microsoft JhengHei" w:eastAsia="Microsoft JhengHei" w:hint="eastAsia"/>
          <w:b/>
          <w:sz w:val="18"/>
        </w:rPr>
        <w:t>研究员</w:t>
      </w:r>
    </w:p>
    <w:p>
      <w:pPr>
        <w:pStyle w:val="Heading2"/>
        <w:spacing w:before="73"/>
        <w:ind w:left="112" w:firstLine="0"/>
        <w:rPr>
          <w:rFonts w:ascii="Microsoft YaHei UI" w:eastAsia="Microsoft YaHei UI" w:hint="eastAsia"/>
        </w:rPr>
      </w:pPr>
      <w:r>
        <w:rPr>
          <w:rFonts w:ascii="Microsoft YaHei UI" w:eastAsia="Microsoft YaHei UI" w:hint="eastAsia"/>
        </w:rPr>
        <w:t>高天越</w:t>
      </w:r>
    </w:p>
    <w:p>
      <w:pPr>
        <w:spacing w:before="115"/>
        <w:ind w:left="112" w:right="0" w:firstLine="0"/>
        <w:jc w:val="left"/>
        <w:rPr>
          <w:sz w:val="16"/>
        </w:rPr>
      </w:pPr>
      <w:r>
        <w:rPr>
          <w:rFonts w:ascii="Wingdings" w:hAnsi="Wingdings"/>
          <w:w w:val="105"/>
          <w:sz w:val="16"/>
        </w:rPr>
        <w:t></w:t>
      </w:r>
      <w:r>
        <w:rPr>
          <w:rFonts w:ascii="Times New Roman" w:hAnsi="Times New Roman"/>
          <w:spacing w:val="-5"/>
          <w:w w:val="105"/>
          <w:sz w:val="16"/>
        </w:rPr>
        <w:t> </w:t>
      </w:r>
      <w:r>
        <w:rPr>
          <w:w w:val="105"/>
          <w:sz w:val="16"/>
        </w:rPr>
        <w:t>0755-23887993</w:t>
      </w:r>
    </w:p>
    <w:p>
      <w:pPr>
        <w:pStyle w:val="BodyText"/>
        <w:spacing w:before="2"/>
        <w:rPr>
          <w:sz w:val="13"/>
        </w:rPr>
      </w:pPr>
    </w:p>
    <w:p>
      <w:pPr>
        <w:spacing w:line="434" w:lineRule="auto" w:before="0"/>
        <w:ind w:left="112" w:right="339" w:firstLine="0"/>
        <w:jc w:val="left"/>
        <w:rPr>
          <w:sz w:val="16"/>
        </w:rPr>
      </w:pPr>
      <w:r>
        <w:rPr>
          <w:rFonts w:ascii="Wingdings" w:hAnsi="Wingdings" w:eastAsia="Wingdings"/>
          <w:w w:val="100"/>
          <w:sz w:val="16"/>
        </w:rPr>
        <w:t></w:t>
      </w:r>
      <w:r>
        <w:rPr>
          <w:rFonts w:ascii="Times New Roman" w:hAnsi="Times New Roman" w:eastAsia="Times New Roman"/>
          <w:spacing w:val="3"/>
          <w:sz w:val="16"/>
        </w:rPr>
        <w:t> </w:t>
      </w:r>
      <w:hyperlink r:id="rId5">
        <w:r>
          <w:rPr>
            <w:spacing w:val="-2"/>
            <w:w w:val="115"/>
            <w:sz w:val="16"/>
          </w:rPr>
          <w:t>g</w:t>
        </w:r>
        <w:r>
          <w:rPr>
            <w:w w:val="100"/>
            <w:sz w:val="16"/>
          </w:rPr>
          <w:t>a</w:t>
        </w:r>
        <w:r>
          <w:rPr>
            <w:spacing w:val="-2"/>
            <w:w w:val="115"/>
            <w:sz w:val="16"/>
          </w:rPr>
          <w:t>o</w:t>
        </w:r>
        <w:r>
          <w:rPr>
            <w:spacing w:val="-1"/>
            <w:w w:val="63"/>
            <w:sz w:val="16"/>
          </w:rPr>
          <w:t>t</w:t>
        </w:r>
        <w:r>
          <w:rPr>
            <w:w w:val="45"/>
            <w:sz w:val="16"/>
          </w:rPr>
          <w:t>i</w:t>
        </w:r>
        <w:r>
          <w:rPr>
            <w:w w:val="100"/>
            <w:sz w:val="16"/>
          </w:rPr>
          <w:t>a</w:t>
        </w:r>
        <w:r>
          <w:rPr>
            <w:spacing w:val="-3"/>
            <w:w w:val="110"/>
            <w:sz w:val="16"/>
          </w:rPr>
          <w:t>n</w:t>
        </w:r>
        <w:r>
          <w:rPr>
            <w:spacing w:val="-1"/>
            <w:w w:val="94"/>
            <w:sz w:val="16"/>
          </w:rPr>
          <w:t>y</w:t>
        </w:r>
        <w:r>
          <w:rPr>
            <w:w w:val="110"/>
            <w:sz w:val="16"/>
          </w:rPr>
          <w:t>u</w:t>
        </w:r>
        <w:r>
          <w:rPr>
            <w:spacing w:val="-2"/>
            <w:w w:val="103"/>
            <w:sz w:val="16"/>
          </w:rPr>
          <w:t>e</w:t>
        </w:r>
        <w:r>
          <w:rPr>
            <w:w w:val="191"/>
            <w:sz w:val="16"/>
          </w:rPr>
          <w:t>@</w:t>
        </w:r>
        <w:r>
          <w:rPr>
            <w:spacing w:val="-3"/>
            <w:w w:val="110"/>
            <w:sz w:val="16"/>
          </w:rPr>
          <w:t>h</w:t>
        </w:r>
        <w:r>
          <w:rPr>
            <w:spacing w:val="-1"/>
            <w:w w:val="63"/>
            <w:sz w:val="16"/>
          </w:rPr>
          <w:t>t</w:t>
        </w:r>
        <w:r>
          <w:rPr>
            <w:w w:val="59"/>
            <w:sz w:val="16"/>
          </w:rPr>
          <w:t>f</w:t>
        </w:r>
        <w:r>
          <w:rPr>
            <w:spacing w:val="-1"/>
            <w:w w:val="91"/>
            <w:sz w:val="16"/>
          </w:rPr>
          <w:t>c</w:t>
        </w:r>
        <w:r>
          <w:rPr>
            <w:w w:val="44"/>
            <w:sz w:val="16"/>
          </w:rPr>
          <w:t>.</w:t>
        </w:r>
        <w:r>
          <w:rPr>
            <w:spacing w:val="-1"/>
            <w:w w:val="91"/>
            <w:sz w:val="16"/>
          </w:rPr>
          <w:t>c</w:t>
        </w:r>
        <w:r>
          <w:rPr>
            <w:spacing w:val="-2"/>
            <w:w w:val="115"/>
            <w:sz w:val="16"/>
          </w:rPr>
          <w:t>o</w:t>
        </w:r>
        <w:r>
          <w:rPr>
            <w:w w:val="169"/>
            <w:sz w:val="16"/>
          </w:rPr>
          <w:t>m</w:t>
        </w:r>
      </w:hyperlink>
      <w:r>
        <w:rPr>
          <w:sz w:val="16"/>
        </w:rPr>
        <w:t>从业资格号：F3055799</w:t>
      </w:r>
      <w:r>
        <w:rPr>
          <w:spacing w:val="1"/>
          <w:sz w:val="16"/>
        </w:rPr>
        <w:t> </w:t>
      </w:r>
      <w:r>
        <w:rPr>
          <w:sz w:val="16"/>
        </w:rPr>
        <w:t>投资咨询号：Z0016156</w:t>
      </w:r>
    </w:p>
    <w:p>
      <w:pPr>
        <w:pStyle w:val="BodyText"/>
        <w:rPr>
          <w:sz w:val="16"/>
        </w:rPr>
      </w:pPr>
    </w:p>
    <w:p>
      <w:pPr>
        <w:spacing w:before="137"/>
        <w:ind w:left="112" w:right="0" w:firstLine="0"/>
        <w:jc w:val="left"/>
        <w:rPr>
          <w:rFonts w:ascii="Microsoft JhengHei" w:eastAsia="Microsoft JhengHei" w:hint="eastAsia"/>
          <w:b/>
          <w:sz w:val="18"/>
        </w:rPr>
      </w:pPr>
      <w:r>
        <w:rPr>
          <w:rFonts w:ascii="Microsoft JhengHei" w:eastAsia="Microsoft JhengHei" w:hint="eastAsia"/>
          <w:b/>
          <w:sz w:val="18"/>
        </w:rPr>
        <w:t>联系人</w:t>
      </w:r>
    </w:p>
    <w:p>
      <w:pPr>
        <w:pStyle w:val="Heading2"/>
        <w:spacing w:before="73"/>
        <w:ind w:left="112" w:firstLine="0"/>
        <w:rPr>
          <w:rFonts w:ascii="Microsoft YaHei UI" w:eastAsia="Microsoft YaHei UI" w:hint="eastAsia"/>
        </w:rPr>
      </w:pPr>
      <w:r>
        <w:rPr>
          <w:rFonts w:ascii="Microsoft YaHei UI" w:eastAsia="Microsoft YaHei UI" w:hint="eastAsia"/>
        </w:rPr>
        <w:t>李逸资</w:t>
      </w:r>
    </w:p>
    <w:p>
      <w:pPr>
        <w:spacing w:before="114"/>
        <w:ind w:left="112" w:right="0" w:firstLine="0"/>
        <w:jc w:val="left"/>
        <w:rPr>
          <w:sz w:val="16"/>
        </w:rPr>
      </w:pPr>
      <w:r>
        <w:rPr>
          <w:rFonts w:ascii="Wingdings" w:hAnsi="Wingdings"/>
          <w:w w:val="105"/>
          <w:sz w:val="16"/>
        </w:rPr>
        <w:t></w:t>
      </w:r>
      <w:r>
        <w:rPr>
          <w:rFonts w:ascii="Times New Roman" w:hAnsi="Times New Roman"/>
          <w:spacing w:val="-5"/>
          <w:w w:val="105"/>
          <w:sz w:val="16"/>
        </w:rPr>
        <w:t> </w:t>
      </w:r>
      <w:r>
        <w:rPr>
          <w:w w:val="105"/>
          <w:sz w:val="16"/>
        </w:rPr>
        <w:t>0755-23887993</w:t>
      </w:r>
    </w:p>
    <w:p>
      <w:pPr>
        <w:pStyle w:val="BodyText"/>
        <w:rPr>
          <w:sz w:val="13"/>
        </w:rPr>
      </w:pPr>
    </w:p>
    <w:p>
      <w:pPr>
        <w:spacing w:before="0"/>
        <w:ind w:left="112" w:right="0" w:firstLine="0"/>
        <w:jc w:val="left"/>
        <w:rPr>
          <w:sz w:val="16"/>
        </w:rPr>
      </w:pPr>
      <w:r>
        <w:rPr>
          <w:rFonts w:ascii="Wingdings" w:hAnsi="Wingdings"/>
          <w:w w:val="100"/>
          <w:sz w:val="16"/>
        </w:rPr>
        <w:t></w:t>
      </w:r>
      <w:r>
        <w:rPr>
          <w:rFonts w:ascii="Times New Roman" w:hAnsi="Times New Roman"/>
          <w:spacing w:val="3"/>
          <w:sz w:val="16"/>
        </w:rPr>
        <w:t> </w:t>
      </w:r>
      <w:hyperlink r:id="rId6">
        <w:r>
          <w:rPr>
            <w:w w:val="45"/>
            <w:sz w:val="16"/>
          </w:rPr>
          <w:t>li</w:t>
        </w:r>
        <w:r>
          <w:rPr>
            <w:spacing w:val="-1"/>
            <w:w w:val="94"/>
            <w:sz w:val="16"/>
          </w:rPr>
          <w:t>y</w:t>
        </w:r>
        <w:r>
          <w:rPr>
            <w:w w:val="45"/>
            <w:sz w:val="16"/>
          </w:rPr>
          <w:t>i</w:t>
        </w:r>
        <w:r>
          <w:rPr>
            <w:w w:val="92"/>
            <w:sz w:val="16"/>
          </w:rPr>
          <w:t>z</w:t>
        </w:r>
        <w:r>
          <w:rPr>
            <w:spacing w:val="-3"/>
            <w:w w:val="45"/>
            <w:sz w:val="16"/>
          </w:rPr>
          <w:t>i</w:t>
        </w:r>
        <w:r>
          <w:rPr>
            <w:w w:val="191"/>
            <w:sz w:val="16"/>
          </w:rPr>
          <w:t>@</w:t>
        </w:r>
        <w:r>
          <w:rPr>
            <w:spacing w:val="-3"/>
            <w:w w:val="110"/>
            <w:sz w:val="16"/>
          </w:rPr>
          <w:t>h</w:t>
        </w:r>
        <w:r>
          <w:rPr>
            <w:spacing w:val="-1"/>
            <w:w w:val="63"/>
            <w:sz w:val="16"/>
          </w:rPr>
          <w:t>t</w:t>
        </w:r>
        <w:r>
          <w:rPr>
            <w:w w:val="59"/>
            <w:sz w:val="16"/>
          </w:rPr>
          <w:t>f</w:t>
        </w:r>
        <w:r>
          <w:rPr>
            <w:spacing w:val="-1"/>
            <w:w w:val="91"/>
            <w:sz w:val="16"/>
          </w:rPr>
          <w:t>c</w:t>
        </w:r>
        <w:r>
          <w:rPr>
            <w:w w:val="44"/>
            <w:sz w:val="16"/>
          </w:rPr>
          <w:t>.</w:t>
        </w:r>
        <w:r>
          <w:rPr>
            <w:spacing w:val="-1"/>
            <w:w w:val="91"/>
            <w:sz w:val="16"/>
          </w:rPr>
          <w:t>c</w:t>
        </w:r>
        <w:r>
          <w:rPr>
            <w:spacing w:val="-2"/>
            <w:w w:val="115"/>
            <w:sz w:val="16"/>
          </w:rPr>
          <w:t>o</w:t>
        </w:r>
        <w:r>
          <w:rPr>
            <w:w w:val="169"/>
            <w:sz w:val="16"/>
          </w:rPr>
          <w:t>m</w:t>
        </w:r>
      </w:hyperlink>
    </w:p>
    <w:p>
      <w:pPr>
        <w:pStyle w:val="BodyText"/>
        <w:spacing w:before="1"/>
        <w:rPr>
          <w:sz w:val="13"/>
        </w:rPr>
      </w:pPr>
    </w:p>
    <w:p>
      <w:pPr>
        <w:spacing w:before="0"/>
        <w:ind w:left="112" w:right="0" w:firstLine="0"/>
        <w:jc w:val="left"/>
        <w:rPr>
          <w:sz w:val="16"/>
        </w:rPr>
      </w:pPr>
      <w:r>
        <w:rPr>
          <w:sz w:val="16"/>
        </w:rPr>
        <w:t>从业资格号：F03105861</w:t>
      </w:r>
    </w:p>
    <w:p>
      <w:pPr>
        <w:pStyle w:val="Heading2"/>
        <w:spacing w:before="131"/>
        <w:ind w:left="112" w:firstLine="0"/>
        <w:rPr>
          <w:rFonts w:ascii="Microsoft YaHei UI" w:eastAsia="Microsoft YaHei UI" w:hint="eastAsia"/>
        </w:rPr>
      </w:pPr>
      <w:r>
        <w:rPr>
          <w:rFonts w:ascii="Microsoft YaHei UI" w:eastAsia="Microsoft YaHei UI" w:hint="eastAsia"/>
        </w:rPr>
        <w:t>黄冯英</w:t>
      </w:r>
    </w:p>
    <w:p>
      <w:pPr>
        <w:spacing w:before="115"/>
        <w:ind w:left="112" w:right="0" w:firstLine="0"/>
        <w:jc w:val="left"/>
        <w:rPr>
          <w:sz w:val="16"/>
        </w:rPr>
      </w:pPr>
      <w:r>
        <w:rPr>
          <w:rFonts w:ascii="Wingdings" w:hAnsi="Wingdings"/>
          <w:w w:val="105"/>
          <w:sz w:val="16"/>
        </w:rPr>
        <w:t></w:t>
      </w:r>
      <w:r>
        <w:rPr>
          <w:rFonts w:ascii="Times New Roman" w:hAnsi="Times New Roman"/>
          <w:spacing w:val="-5"/>
          <w:w w:val="105"/>
          <w:sz w:val="16"/>
        </w:rPr>
        <w:t> </w:t>
      </w:r>
      <w:r>
        <w:rPr>
          <w:w w:val="105"/>
          <w:sz w:val="16"/>
        </w:rPr>
        <w:t>0755-23887993</w:t>
      </w:r>
    </w:p>
    <w:p>
      <w:pPr>
        <w:pStyle w:val="BodyText"/>
        <w:rPr>
          <w:sz w:val="13"/>
        </w:rPr>
      </w:pPr>
    </w:p>
    <w:p>
      <w:pPr>
        <w:spacing w:line="434" w:lineRule="auto" w:before="0"/>
        <w:ind w:left="112" w:right="68" w:firstLine="0"/>
        <w:jc w:val="left"/>
        <w:rPr>
          <w:sz w:val="16"/>
        </w:rPr>
      </w:pPr>
      <w:r>
        <w:rPr>
          <w:rFonts w:ascii="Wingdings" w:hAnsi="Wingdings" w:eastAsia="Wingdings"/>
          <w:w w:val="100"/>
          <w:sz w:val="16"/>
        </w:rPr>
        <w:t></w:t>
      </w:r>
      <w:r>
        <w:rPr>
          <w:rFonts w:ascii="Times New Roman" w:hAnsi="Times New Roman" w:eastAsia="Times New Roman"/>
          <w:spacing w:val="3"/>
          <w:sz w:val="16"/>
        </w:rPr>
        <w:t> </w:t>
      </w:r>
      <w:hyperlink r:id="rId7">
        <w:r>
          <w:rPr>
            <w:w w:val="110"/>
            <w:sz w:val="16"/>
          </w:rPr>
          <w:t>h</w:t>
        </w:r>
        <w:r>
          <w:rPr>
            <w:w w:val="110"/>
            <w:sz w:val="16"/>
          </w:rPr>
          <w:t>u</w:t>
        </w:r>
        <w:r>
          <w:rPr>
            <w:spacing w:val="-2"/>
            <w:w w:val="100"/>
            <w:sz w:val="16"/>
          </w:rPr>
          <w:t>a</w:t>
        </w:r>
        <w:r>
          <w:rPr>
            <w:w w:val="110"/>
            <w:sz w:val="16"/>
          </w:rPr>
          <w:t>n</w:t>
        </w:r>
        <w:r>
          <w:rPr>
            <w:spacing w:val="-2"/>
            <w:w w:val="115"/>
            <w:sz w:val="16"/>
          </w:rPr>
          <w:t>g</w:t>
        </w:r>
        <w:r>
          <w:rPr>
            <w:w w:val="59"/>
            <w:sz w:val="16"/>
          </w:rPr>
          <w:t>f</w:t>
        </w:r>
        <w:r>
          <w:rPr>
            <w:spacing w:val="-2"/>
            <w:w w:val="103"/>
            <w:sz w:val="16"/>
          </w:rPr>
          <w:t>e</w:t>
        </w:r>
        <w:r>
          <w:rPr>
            <w:w w:val="110"/>
            <w:sz w:val="16"/>
          </w:rPr>
          <w:t>n</w:t>
        </w:r>
        <w:r>
          <w:rPr>
            <w:spacing w:val="-2"/>
            <w:w w:val="115"/>
            <w:sz w:val="16"/>
          </w:rPr>
          <w:t>g</w:t>
        </w:r>
        <w:r>
          <w:rPr>
            <w:spacing w:val="-1"/>
            <w:w w:val="94"/>
            <w:sz w:val="16"/>
          </w:rPr>
          <w:t>y</w:t>
        </w:r>
        <w:r>
          <w:rPr>
            <w:w w:val="45"/>
            <w:sz w:val="16"/>
          </w:rPr>
          <w:t>i</w:t>
        </w:r>
        <w:r>
          <w:rPr>
            <w:w w:val="110"/>
            <w:sz w:val="16"/>
          </w:rPr>
          <w:t>n</w:t>
        </w:r>
        <w:r>
          <w:rPr>
            <w:spacing w:val="-4"/>
            <w:w w:val="115"/>
            <w:sz w:val="16"/>
          </w:rPr>
          <w:t>g</w:t>
        </w:r>
        <w:r>
          <w:rPr>
            <w:w w:val="191"/>
            <w:sz w:val="16"/>
          </w:rPr>
          <w:t>@</w:t>
        </w:r>
        <w:r>
          <w:rPr>
            <w:spacing w:val="-3"/>
            <w:w w:val="110"/>
            <w:sz w:val="16"/>
          </w:rPr>
          <w:t>h</w:t>
        </w:r>
        <w:r>
          <w:rPr>
            <w:spacing w:val="-1"/>
            <w:w w:val="63"/>
            <w:sz w:val="16"/>
          </w:rPr>
          <w:t>t</w:t>
        </w:r>
        <w:r>
          <w:rPr>
            <w:w w:val="59"/>
            <w:sz w:val="16"/>
          </w:rPr>
          <w:t>f</w:t>
        </w:r>
        <w:r>
          <w:rPr>
            <w:spacing w:val="-1"/>
            <w:w w:val="91"/>
            <w:sz w:val="16"/>
          </w:rPr>
          <w:t>c</w:t>
        </w:r>
        <w:r>
          <w:rPr>
            <w:w w:val="44"/>
            <w:sz w:val="16"/>
          </w:rPr>
          <w:t>.</w:t>
        </w:r>
        <w:r>
          <w:rPr>
            <w:spacing w:val="-1"/>
            <w:w w:val="91"/>
            <w:sz w:val="16"/>
          </w:rPr>
          <w:t>c</w:t>
        </w:r>
        <w:r>
          <w:rPr>
            <w:spacing w:val="-2"/>
            <w:w w:val="115"/>
            <w:sz w:val="16"/>
          </w:rPr>
          <w:t>o</w:t>
        </w:r>
        <w:r>
          <w:rPr>
            <w:w w:val="169"/>
            <w:sz w:val="16"/>
          </w:rPr>
          <w:t>m</w:t>
        </w:r>
      </w:hyperlink>
      <w:r>
        <w:rPr>
          <w:sz w:val="16"/>
        </w:rPr>
        <w:t>从业资格号：F03107113</w:t>
      </w:r>
    </w:p>
    <w:p>
      <w:pPr>
        <w:pStyle w:val="Heading2"/>
        <w:spacing w:line="355" w:lineRule="exact"/>
        <w:ind w:left="112" w:firstLine="0"/>
        <w:rPr>
          <w:rFonts w:ascii="Microsoft YaHei UI" w:eastAsia="Microsoft YaHei UI" w:hint="eastAsia"/>
        </w:rPr>
      </w:pPr>
      <w:r>
        <w:rPr>
          <w:rFonts w:ascii="Microsoft YaHei UI" w:eastAsia="Microsoft YaHei UI" w:hint="eastAsia"/>
        </w:rPr>
        <w:t>李光庭</w:t>
      </w:r>
    </w:p>
    <w:p>
      <w:pPr>
        <w:spacing w:before="117"/>
        <w:ind w:left="112" w:right="0" w:firstLine="0"/>
        <w:jc w:val="left"/>
        <w:rPr>
          <w:sz w:val="16"/>
        </w:rPr>
      </w:pPr>
      <w:r>
        <w:rPr>
          <w:rFonts w:ascii="Wingdings" w:hAnsi="Wingdings"/>
          <w:w w:val="105"/>
          <w:sz w:val="16"/>
        </w:rPr>
        <w:t></w:t>
      </w:r>
      <w:r>
        <w:rPr>
          <w:rFonts w:ascii="Times New Roman" w:hAnsi="Times New Roman"/>
          <w:spacing w:val="-5"/>
          <w:w w:val="105"/>
          <w:sz w:val="16"/>
        </w:rPr>
        <w:t> </w:t>
      </w:r>
      <w:r>
        <w:rPr>
          <w:w w:val="105"/>
          <w:sz w:val="16"/>
        </w:rPr>
        <w:t>0755-23887993</w:t>
      </w:r>
    </w:p>
    <w:p>
      <w:pPr>
        <w:pStyle w:val="BodyText"/>
        <w:rPr>
          <w:sz w:val="13"/>
        </w:rPr>
      </w:pPr>
    </w:p>
    <w:p>
      <w:pPr>
        <w:spacing w:line="434" w:lineRule="auto" w:before="1"/>
        <w:ind w:left="112" w:right="324" w:firstLine="0"/>
        <w:jc w:val="left"/>
        <w:rPr>
          <w:sz w:val="16"/>
        </w:rPr>
      </w:pPr>
      <w:r>
        <w:rPr>
          <w:rFonts w:ascii="Wingdings" w:hAnsi="Wingdings" w:eastAsia="Wingdings"/>
          <w:w w:val="100"/>
          <w:sz w:val="16"/>
        </w:rPr>
        <w:t></w:t>
      </w:r>
      <w:r>
        <w:rPr>
          <w:rFonts w:ascii="Times New Roman" w:hAnsi="Times New Roman" w:eastAsia="Times New Roman"/>
          <w:spacing w:val="3"/>
          <w:sz w:val="16"/>
        </w:rPr>
        <w:t> </w:t>
      </w:r>
      <w:hyperlink r:id="rId8">
        <w:r>
          <w:rPr>
            <w:w w:val="45"/>
            <w:sz w:val="16"/>
          </w:rPr>
          <w:t>li</w:t>
        </w:r>
        <w:r>
          <w:rPr>
            <w:spacing w:val="-2"/>
            <w:w w:val="115"/>
            <w:sz w:val="16"/>
          </w:rPr>
          <w:t>g</w:t>
        </w:r>
        <w:r>
          <w:rPr>
            <w:w w:val="110"/>
            <w:sz w:val="16"/>
          </w:rPr>
          <w:t>u</w:t>
        </w:r>
        <w:r>
          <w:rPr>
            <w:spacing w:val="-2"/>
            <w:w w:val="100"/>
            <w:sz w:val="16"/>
          </w:rPr>
          <w:t>a</w:t>
        </w:r>
        <w:r>
          <w:rPr>
            <w:w w:val="110"/>
            <w:sz w:val="16"/>
          </w:rPr>
          <w:t>n</w:t>
        </w:r>
        <w:r>
          <w:rPr>
            <w:spacing w:val="-2"/>
            <w:w w:val="115"/>
            <w:sz w:val="16"/>
          </w:rPr>
          <w:t>g</w:t>
        </w:r>
        <w:r>
          <w:rPr>
            <w:spacing w:val="-1"/>
            <w:w w:val="63"/>
            <w:sz w:val="16"/>
          </w:rPr>
          <w:t>t</w:t>
        </w:r>
        <w:r>
          <w:rPr>
            <w:w w:val="45"/>
            <w:sz w:val="16"/>
          </w:rPr>
          <w:t>i</w:t>
        </w:r>
        <w:r>
          <w:rPr>
            <w:w w:val="110"/>
            <w:sz w:val="16"/>
          </w:rPr>
          <w:t>n</w:t>
        </w:r>
        <w:r>
          <w:rPr>
            <w:spacing w:val="-2"/>
            <w:w w:val="115"/>
            <w:sz w:val="16"/>
          </w:rPr>
          <w:t>g</w:t>
        </w:r>
        <w:r>
          <w:rPr>
            <w:w w:val="191"/>
            <w:sz w:val="16"/>
          </w:rPr>
          <w:t>@</w:t>
        </w:r>
        <w:r>
          <w:rPr>
            <w:spacing w:val="-3"/>
            <w:w w:val="110"/>
            <w:sz w:val="16"/>
          </w:rPr>
          <w:t>h</w:t>
        </w:r>
        <w:r>
          <w:rPr>
            <w:spacing w:val="-1"/>
            <w:w w:val="63"/>
            <w:sz w:val="16"/>
          </w:rPr>
          <w:t>t</w:t>
        </w:r>
        <w:r>
          <w:rPr>
            <w:w w:val="59"/>
            <w:sz w:val="16"/>
          </w:rPr>
          <w:t>f</w:t>
        </w:r>
        <w:r>
          <w:rPr>
            <w:spacing w:val="-1"/>
            <w:w w:val="91"/>
            <w:sz w:val="16"/>
          </w:rPr>
          <w:t>c</w:t>
        </w:r>
        <w:r>
          <w:rPr>
            <w:w w:val="44"/>
            <w:sz w:val="16"/>
          </w:rPr>
          <w:t>.</w:t>
        </w:r>
        <w:r>
          <w:rPr>
            <w:spacing w:val="-1"/>
            <w:w w:val="91"/>
            <w:sz w:val="16"/>
          </w:rPr>
          <w:t>c</w:t>
        </w:r>
        <w:r>
          <w:rPr>
            <w:spacing w:val="-2"/>
            <w:w w:val="115"/>
            <w:sz w:val="16"/>
          </w:rPr>
          <w:t>o</w:t>
        </w:r>
        <w:r>
          <w:rPr>
            <w:w w:val="169"/>
            <w:sz w:val="16"/>
          </w:rPr>
          <w:t>m</w:t>
        </w:r>
      </w:hyperlink>
      <w:r>
        <w:rPr>
          <w:sz w:val="16"/>
        </w:rPr>
        <w:t>从业资格号：F03108562</w:t>
      </w:r>
    </w:p>
    <w:p>
      <w:pPr>
        <w:pStyle w:val="BodyText"/>
        <w:rPr>
          <w:sz w:val="16"/>
        </w:rPr>
      </w:pPr>
    </w:p>
    <w:p>
      <w:pPr>
        <w:pStyle w:val="BodyText"/>
        <w:rPr>
          <w:sz w:val="16"/>
        </w:rPr>
      </w:pPr>
    </w:p>
    <w:p>
      <w:pPr>
        <w:pStyle w:val="BodyText"/>
        <w:spacing w:before="7"/>
        <w:rPr>
          <w:sz w:val="23"/>
        </w:rPr>
      </w:pPr>
    </w:p>
    <w:p>
      <w:pPr>
        <w:spacing w:line="312" w:lineRule="exact" w:before="0"/>
        <w:ind w:left="112" w:right="0" w:firstLine="0"/>
        <w:jc w:val="left"/>
        <w:rPr>
          <w:rFonts w:ascii="Microsoft JhengHei" w:eastAsia="Microsoft JhengHei" w:hint="eastAsia"/>
          <w:b/>
          <w:sz w:val="18"/>
        </w:rPr>
      </w:pPr>
      <w:r>
        <w:rPr>
          <w:rFonts w:ascii="Microsoft JhengHei" w:eastAsia="Microsoft JhengHei" w:hint="eastAsia"/>
          <w:b/>
          <w:sz w:val="18"/>
        </w:rPr>
        <w:t>投资咨询业务资格：</w:t>
      </w:r>
    </w:p>
    <w:p>
      <w:pPr>
        <w:spacing w:line="312" w:lineRule="exact" w:before="0"/>
        <w:ind w:left="112" w:right="0" w:firstLine="0"/>
        <w:jc w:val="left"/>
        <w:rPr>
          <w:rFonts w:ascii="Microsoft JhengHei" w:eastAsia="Microsoft JhengHei" w:hint="eastAsia"/>
          <w:b/>
          <w:sz w:val="18"/>
        </w:rPr>
      </w:pPr>
      <w:r>
        <w:rPr>
          <w:rFonts w:ascii="Microsoft JhengHei" w:eastAsia="Microsoft JhengHei" w:hint="eastAsia"/>
          <w:b/>
          <w:w w:val="90"/>
          <w:sz w:val="18"/>
        </w:rPr>
        <w:t>证监许可【2011】1289</w:t>
      </w:r>
      <w:r>
        <w:rPr>
          <w:rFonts w:ascii="Microsoft JhengHei" w:eastAsia="Microsoft JhengHei" w:hint="eastAsia"/>
          <w:b/>
          <w:spacing w:val="39"/>
          <w:sz w:val="18"/>
        </w:rPr>
        <w:t> </w:t>
      </w:r>
      <w:r>
        <w:rPr>
          <w:rFonts w:ascii="Microsoft JhengHei" w:eastAsia="Microsoft JhengHei" w:hint="eastAsia"/>
          <w:b/>
          <w:w w:val="90"/>
          <w:sz w:val="18"/>
        </w:rPr>
        <w:t>号</w:t>
      </w:r>
    </w:p>
    <w:p>
      <w:pPr>
        <w:spacing w:line="554" w:lineRule="exact" w:before="0"/>
        <w:ind w:left="111" w:right="0" w:firstLine="0"/>
        <w:jc w:val="left"/>
        <w:rPr>
          <w:rFonts w:ascii="Microsoft JhengHei" w:eastAsia="Microsoft JhengHei" w:hint="eastAsia"/>
          <w:b/>
          <w:sz w:val="32"/>
        </w:rPr>
      </w:pPr>
      <w:r>
        <w:rPr/>
        <w:br w:type="column"/>
      </w:r>
      <w:bookmarkStart w:name="摘要" w:id="1"/>
      <w:bookmarkEnd w:id="1"/>
      <w:r>
        <w:rPr/>
      </w:r>
      <w:bookmarkStart w:name="_bookmark0" w:id="2"/>
      <w:bookmarkEnd w:id="2"/>
      <w:r>
        <w:rPr/>
      </w:r>
      <w:r>
        <w:rPr>
          <w:rFonts w:ascii="Microsoft JhengHei" w:eastAsia="Microsoft JhengHei" w:hint="eastAsia"/>
          <w:b/>
          <w:w w:val="95"/>
          <w:sz w:val="32"/>
        </w:rPr>
        <w:t>摘要</w:t>
      </w:r>
    </w:p>
    <w:p>
      <w:pPr>
        <w:spacing w:line="252" w:lineRule="auto" w:before="192"/>
        <w:ind w:left="143" w:right="556" w:firstLine="0"/>
        <w:jc w:val="both"/>
        <w:rPr>
          <w:sz w:val="22"/>
        </w:rPr>
      </w:pPr>
      <w:r>
        <w:rPr>
          <w:spacing w:val="-5"/>
          <w:sz w:val="22"/>
        </w:rPr>
        <w:t>以趋势策略为代表的 </w:t>
      </w:r>
      <w:r>
        <w:rPr>
          <w:sz w:val="22"/>
        </w:rPr>
        <w:t>CTA</w:t>
      </w:r>
      <w:r>
        <w:rPr>
          <w:spacing w:val="-21"/>
          <w:sz w:val="22"/>
        </w:rPr>
        <w:t> 基金在 </w:t>
      </w:r>
      <w:r>
        <w:rPr>
          <w:sz w:val="22"/>
        </w:rPr>
        <w:t>2022</w:t>
      </w:r>
      <w:r>
        <w:rPr>
          <w:spacing w:val="-31"/>
          <w:sz w:val="22"/>
        </w:rPr>
        <w:t> 年 </w:t>
      </w:r>
      <w:r>
        <w:rPr>
          <w:sz w:val="22"/>
        </w:rPr>
        <w:t>3</w:t>
      </w:r>
      <w:r>
        <w:rPr>
          <w:spacing w:val="-11"/>
          <w:sz w:val="22"/>
        </w:rPr>
        <w:t> 月以来回撤至今，我们认为 </w:t>
      </w:r>
      <w:r>
        <w:rPr>
          <w:rFonts w:ascii="Microsoft JhengHei" w:eastAsia="Microsoft JhengHei" w:hint="eastAsia"/>
          <w:b/>
          <w:sz w:val="22"/>
        </w:rPr>
        <w:t>1）交易拥</w:t>
      </w:r>
      <w:r>
        <w:rPr>
          <w:rFonts w:ascii="Microsoft JhengHei" w:eastAsia="Microsoft JhengHei" w:hint="eastAsia"/>
          <w:b/>
          <w:spacing w:val="-1"/>
          <w:sz w:val="22"/>
        </w:rPr>
        <w:t>挤加剧；2）市场有效波动降低；3）策略适用性减弱；</w:t>
      </w:r>
      <w:r>
        <w:rPr>
          <w:rFonts w:ascii="Microsoft JhengHei" w:eastAsia="Microsoft JhengHei" w:hint="eastAsia"/>
          <w:b/>
          <w:sz w:val="22"/>
        </w:rPr>
        <w:t>4）分散性收益降低</w:t>
      </w:r>
      <w:r>
        <w:rPr>
          <w:sz w:val="22"/>
        </w:rPr>
        <w:t>，这四</w:t>
      </w:r>
      <w:r>
        <w:rPr>
          <w:spacing w:val="-8"/>
          <w:sz w:val="22"/>
        </w:rPr>
        <w:t>个因素是造成 </w:t>
      </w:r>
      <w:r>
        <w:rPr>
          <w:sz w:val="22"/>
        </w:rPr>
        <w:t>CTA</w:t>
      </w:r>
      <w:r>
        <w:rPr>
          <w:spacing w:val="-8"/>
          <w:sz w:val="22"/>
        </w:rPr>
        <w:t> 表现不佳的重要原因。</w:t>
      </w:r>
    </w:p>
    <w:p>
      <w:pPr>
        <w:pStyle w:val="BodyText"/>
        <w:spacing w:before="9"/>
        <w:rPr>
          <w:sz w:val="19"/>
        </w:rPr>
      </w:pPr>
    </w:p>
    <w:p>
      <w:pPr>
        <w:pStyle w:val="BodyText"/>
        <w:spacing w:line="333" w:lineRule="auto"/>
        <w:ind w:left="143" w:right="514"/>
        <w:jc w:val="both"/>
      </w:pPr>
      <w:r>
        <w:rPr>
          <w:spacing w:val="-24"/>
        </w:rPr>
        <w:t>从 </w:t>
      </w:r>
      <w:r>
        <w:rPr/>
        <w:t>2023</w:t>
      </w:r>
      <w:r>
        <w:rPr>
          <w:spacing w:val="-23"/>
        </w:rPr>
        <w:t> 年前 </w:t>
      </w:r>
      <w:r>
        <w:rPr/>
        <w:t>3</w:t>
      </w:r>
      <w:r>
        <w:rPr>
          <w:spacing w:val="-9"/>
        </w:rPr>
        <w:t> 月表现来看，四个因素都有一定程度的缓解，我们认为 </w:t>
      </w:r>
      <w:r>
        <w:rPr/>
        <w:t>CTA</w:t>
      </w:r>
      <w:r>
        <w:rPr>
          <w:spacing w:val="-12"/>
        </w:rPr>
        <w:t> 仍具有</w:t>
      </w:r>
      <w:r>
        <w:rPr/>
        <w:t>长期配置的价值。</w:t>
      </w:r>
    </w:p>
    <w:p>
      <w:pPr>
        <w:pStyle w:val="Heading1"/>
        <w:spacing w:line="586" w:lineRule="exact"/>
        <w:ind w:left="111"/>
      </w:pPr>
      <w:bookmarkStart w:name="核心观点" w:id="3"/>
      <w:bookmarkEnd w:id="3"/>
      <w:r>
        <w:rPr>
          <w:b w:val="0"/>
        </w:rPr>
      </w:r>
      <w:bookmarkStart w:name="_bookmark1" w:id="4"/>
      <w:bookmarkEnd w:id="4"/>
      <w:r>
        <w:rPr>
          <w:b w:val="0"/>
        </w:rPr>
      </w:r>
      <w:r>
        <w:rPr>
          <w:w w:val="95"/>
        </w:rPr>
        <w:t>核心观点</w:t>
      </w:r>
    </w:p>
    <w:p>
      <w:pPr>
        <w:pStyle w:val="BodyText"/>
        <w:spacing w:line="331" w:lineRule="auto" w:before="265"/>
        <w:ind w:left="143" w:right="497"/>
        <w:jc w:val="both"/>
      </w:pPr>
      <w:r>
        <w:rPr>
          <w:spacing w:val="-11"/>
        </w:rPr>
        <w:t>在经历了 </w:t>
      </w:r>
      <w:r>
        <w:rPr/>
        <w:t>2019、2020</w:t>
      </w:r>
      <w:r>
        <w:rPr>
          <w:spacing w:val="-24"/>
        </w:rPr>
        <w:t> 以及 </w:t>
      </w:r>
      <w:r>
        <w:rPr/>
        <w:t>2021</w:t>
      </w:r>
      <w:r>
        <w:rPr>
          <w:spacing w:val="-11"/>
        </w:rPr>
        <w:t> 三年的狂飙突进后，国内 </w:t>
      </w:r>
      <w:r>
        <w:rPr/>
        <w:t>CTA</w:t>
      </w:r>
      <w:r>
        <w:rPr>
          <w:spacing w:val="-33"/>
        </w:rPr>
        <w:t> 从 </w:t>
      </w:r>
      <w:r>
        <w:rPr/>
        <w:t>2022</w:t>
      </w:r>
      <w:r>
        <w:rPr>
          <w:spacing w:val="-31"/>
        </w:rPr>
        <w:t> 年 </w:t>
      </w:r>
      <w:r>
        <w:rPr/>
        <w:t>3</w:t>
      </w:r>
      <w:r>
        <w:rPr>
          <w:spacing w:val="-13"/>
        </w:rPr>
        <w:t> 月回撤</w:t>
      </w:r>
      <w:r>
        <w:rPr>
          <w:spacing w:val="-1"/>
        </w:rPr>
        <w:t>至今已有一年时间，并且统计来看，本轮回撤不管从时间维度还是深浅维度都已经</w:t>
      </w:r>
      <w:r>
        <w:rPr/>
        <w:t>超过历史最大回撤。</w:t>
      </w:r>
    </w:p>
    <w:p>
      <w:pPr>
        <w:pStyle w:val="BodyText"/>
        <w:spacing w:line="333" w:lineRule="auto" w:before="158"/>
        <w:ind w:left="143" w:right="498"/>
        <w:jc w:val="both"/>
      </w:pPr>
      <w:r>
        <w:rPr/>
        <w:t>1）CTA</w:t>
      </w:r>
      <w:r>
        <w:rPr>
          <w:spacing w:val="-8"/>
        </w:rPr>
        <w:t> 产品的过量发行以及衍生品市场自 </w:t>
      </w:r>
      <w:r>
        <w:rPr/>
        <w:t>2022</w:t>
      </w:r>
      <w:r>
        <w:rPr>
          <w:spacing w:val="-3"/>
        </w:rPr>
        <w:t> 年开始的交投热情下降是本轮</w:t>
      </w:r>
      <w:r>
        <w:rPr/>
        <w:t>CTA</w:t>
      </w:r>
      <w:r>
        <w:rPr>
          <w:spacing w:val="-107"/>
        </w:rPr>
        <w:t> </w:t>
      </w:r>
      <w:r>
        <w:rPr/>
        <w:t>回撤的第一个重要影响因素。2023</w:t>
      </w:r>
      <w:r>
        <w:rPr>
          <w:spacing w:val="-10"/>
        </w:rPr>
        <w:t> 年以来，</w:t>
      </w:r>
      <w:r>
        <w:rPr/>
        <w:t>CTA</w:t>
      </w:r>
      <w:r>
        <w:rPr>
          <w:spacing w:val="-12"/>
        </w:rPr>
        <w:t> 基金的新发数量已降至 </w:t>
      </w:r>
      <w:r>
        <w:rPr/>
        <w:t>2018</w:t>
      </w:r>
      <w:r>
        <w:rPr>
          <w:spacing w:val="-22"/>
        </w:rPr>
        <w:t> 年</w:t>
      </w:r>
    </w:p>
    <w:p>
      <w:pPr>
        <w:pStyle w:val="BodyText"/>
        <w:spacing w:line="333" w:lineRule="auto"/>
        <w:ind w:left="143" w:right="497"/>
        <w:jc w:val="both"/>
      </w:pPr>
      <w:r>
        <w:rPr/>
        <w:t>~2019</w:t>
      </w:r>
      <w:r>
        <w:rPr>
          <w:spacing w:val="-6"/>
        </w:rPr>
        <w:t> 年时的谷底阶段，从新发来看已没有更多的新进玩家。有效化解存量、开发</w:t>
      </w:r>
      <w:r>
        <w:rPr>
          <w:spacing w:val="5"/>
        </w:rPr>
        <w:t>更大底层市场是幸存的</w:t>
      </w:r>
      <w:r>
        <w:rPr/>
        <w:t>CTA</w:t>
      </w:r>
      <w:r>
        <w:rPr>
          <w:spacing w:val="-8"/>
        </w:rPr>
        <w:t> 基金突围的重要路径。</w:t>
      </w:r>
    </w:p>
    <w:p>
      <w:pPr>
        <w:pStyle w:val="BodyText"/>
        <w:spacing w:before="149"/>
        <w:ind w:left="143"/>
        <w:jc w:val="both"/>
      </w:pPr>
      <w:r>
        <w:rPr/>
        <w:t>2）2022</w:t>
      </w:r>
      <w:r>
        <w:rPr>
          <w:spacing w:val="-6"/>
        </w:rPr>
        <w:t> 年国内商品市场各重点品种的有效波动减少也是</w:t>
      </w:r>
      <w:r>
        <w:rPr/>
        <w:t>CTA</w:t>
      </w:r>
      <w:r>
        <w:rPr>
          <w:spacing w:val="-8"/>
        </w:rPr>
        <w:t> 表现较差的重要因素，</w:t>
      </w:r>
    </w:p>
    <w:p>
      <w:pPr>
        <w:pStyle w:val="BodyText"/>
        <w:spacing w:before="109"/>
        <w:ind w:left="143"/>
        <w:jc w:val="both"/>
      </w:pPr>
      <w:r>
        <w:rPr/>
        <w:t>2023</w:t>
      </w:r>
      <w:r>
        <w:rPr>
          <w:spacing w:val="-10"/>
        </w:rPr>
        <w:t> 年有效波动</w:t>
      </w:r>
      <w:r>
        <w:rPr/>
        <w:t>🎧现一定回升。</w:t>
      </w:r>
    </w:p>
    <w:p>
      <w:pPr>
        <w:pStyle w:val="BodyText"/>
        <w:spacing w:before="6"/>
        <w:rPr>
          <w:sz w:val="20"/>
        </w:rPr>
      </w:pPr>
    </w:p>
    <w:p>
      <w:pPr>
        <w:pStyle w:val="BodyText"/>
        <w:spacing w:line="331" w:lineRule="auto" w:before="1"/>
        <w:ind w:left="143" w:right="519"/>
        <w:jc w:val="both"/>
      </w:pPr>
      <w:r>
        <w:rPr/>
        <w:t>3）2022</w:t>
      </w:r>
      <w:r>
        <w:rPr>
          <w:spacing w:val="-8"/>
        </w:rPr>
        <w:t> 年趋势策略的适用性相比其他年份明显偏弱，基本没有体现</w:t>
      </w:r>
      <w:r>
        <w:rPr/>
        <w:t>🎧策略的有效</w:t>
      </w:r>
      <w:r>
        <w:rPr>
          <w:spacing w:val="-15"/>
        </w:rPr>
        <w:t>性。但 </w:t>
      </w:r>
      <w:r>
        <w:rPr/>
        <w:t>2023</w:t>
      </w:r>
      <w:r>
        <w:rPr>
          <w:spacing w:val="-8"/>
        </w:rPr>
        <w:t> 年以来，策略的适用性快速恢复，特别是在有效波动较大的品种上，</w:t>
      </w:r>
      <w:r>
        <w:rPr>
          <w:spacing w:val="-108"/>
        </w:rPr>
        <w:t> </w:t>
      </w:r>
      <w:r>
        <w:rPr/>
        <w:t>策略更为强健，管理人应抓大放小。</w:t>
      </w:r>
    </w:p>
    <w:p>
      <w:pPr>
        <w:pStyle w:val="ListParagraph"/>
        <w:numPr>
          <w:ilvl w:val="0"/>
          <w:numId w:val="1"/>
        </w:numPr>
        <w:tabs>
          <w:tab w:pos="481" w:val="left" w:leader="none"/>
        </w:tabs>
        <w:spacing w:line="331" w:lineRule="auto" w:before="160" w:after="0"/>
        <w:ind w:left="143" w:right="497" w:firstLine="0"/>
        <w:jc w:val="left"/>
        <w:rPr>
          <w:sz w:val="22"/>
        </w:rPr>
      </w:pPr>
      <w:r>
        <w:rPr>
          <w:spacing w:val="-28"/>
          <w:sz w:val="22"/>
        </w:rPr>
        <w:t>在 </w:t>
      </w:r>
      <w:r>
        <w:rPr>
          <w:spacing w:val="-1"/>
          <w:sz w:val="22"/>
        </w:rPr>
        <w:t>2022</w:t>
      </w:r>
      <w:r>
        <w:rPr>
          <w:spacing w:val="-9"/>
          <w:sz w:val="22"/>
        </w:rPr>
        <w:t> 年全球宏观大年的主导下，趋势策略在组合层面反而不如单品种，反映</w:t>
      </w:r>
      <w:r>
        <w:rPr>
          <w:spacing w:val="13"/>
          <w:sz w:val="22"/>
        </w:rPr>
        <w:t>了宏观对</w:t>
      </w:r>
      <w:r>
        <w:rPr>
          <w:sz w:val="22"/>
        </w:rPr>
        <w:t>CTA</w:t>
      </w:r>
      <w:r>
        <w:rPr>
          <w:spacing w:val="-7"/>
          <w:sz w:val="22"/>
        </w:rPr>
        <w:t> 趋势策略的扰动。</w:t>
      </w:r>
      <w:r>
        <w:rPr>
          <w:sz w:val="22"/>
        </w:rPr>
        <w:t>2023</w:t>
      </w:r>
      <w:r>
        <w:rPr>
          <w:spacing w:val="-6"/>
          <w:sz w:val="22"/>
        </w:rPr>
        <w:t> 年的趋势策略分散性收益重回正值，如果宏</w:t>
      </w:r>
      <w:r>
        <w:rPr>
          <w:spacing w:val="3"/>
          <w:sz w:val="22"/>
        </w:rPr>
        <w:t>观环境保持，那么分散化仍将给</w:t>
      </w:r>
      <w:r>
        <w:rPr>
          <w:sz w:val="22"/>
        </w:rPr>
        <w:t>CTA</w:t>
      </w:r>
      <w:r>
        <w:rPr>
          <w:spacing w:val="-8"/>
          <w:sz w:val="22"/>
        </w:rPr>
        <w:t> 基金带来一定的正面效用。</w:t>
      </w:r>
    </w:p>
    <w:p>
      <w:pPr>
        <w:spacing w:after="0" w:line="331" w:lineRule="auto"/>
        <w:jc w:val="left"/>
        <w:rPr>
          <w:sz w:val="22"/>
        </w:rPr>
        <w:sectPr>
          <w:type w:val="continuous"/>
          <w:pgSz w:w="11910" w:h="16840"/>
          <w:pgMar w:top="200" w:bottom="280" w:left="320" w:right="220"/>
          <w:cols w:num="2" w:equalWidth="0">
            <w:col w:w="2188" w:space="620"/>
            <w:col w:w="8562"/>
          </w:cols>
        </w:sectPr>
      </w:pPr>
    </w:p>
    <w:p>
      <w:pPr>
        <w:pStyle w:val="BodyText"/>
        <w:rPr>
          <w:sz w:val="20"/>
        </w:rPr>
      </w:pPr>
      <w:r>
        <w:rPr/>
        <w:pict>
          <v:group style="position:absolute;margin-left:0pt;margin-top:.000049pt;width:595.3pt;height:841.9pt;mso-position-horizontal-relative:page;mso-position-vertical-relative:page;z-index:-16411136" coordorigin="0,0" coordsize="11906,16838">
            <v:shape style="position:absolute;left:14;top:0;width:11892;height:2031" type="#_x0000_t75" stroked="false">
              <v:imagedata r:id="rId9" o:title=""/>
            </v:shape>
            <v:rect style="position:absolute;left:0;top:2023;width:3010;height:14815" filled="true" fillcolor="#e6e6e6" stroked="false">
              <v:fill type="solid"/>
            </v:rect>
            <v:shape style="position:absolute;left:410;top:276;width:1407;height:1349" type="#_x0000_t75" stroked="false">
              <v:imagedata r:id="rId10" o:title=""/>
            </v:shape>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before="66"/>
        <w:ind w:left="0" w:right="497" w:firstLine="0"/>
        <w:jc w:val="right"/>
        <w:rPr>
          <w:sz w:val="18"/>
        </w:rPr>
      </w:pPr>
      <w:r>
        <w:rPr>
          <w:sz w:val="18"/>
        </w:rPr>
        <w:t>请仔细阅读本报告最后一页的免责声明</w:t>
      </w:r>
    </w:p>
    <w:p>
      <w:pPr>
        <w:spacing w:after="0"/>
        <w:jc w:val="right"/>
        <w:rPr>
          <w:sz w:val="18"/>
        </w:rPr>
        <w:sectPr>
          <w:type w:val="continuous"/>
          <w:pgSz w:w="11910" w:h="16840"/>
          <w:pgMar w:top="200" w:bottom="280" w:left="320" w:right="220"/>
        </w:sectPr>
      </w:pPr>
    </w:p>
    <w:p>
      <w:pPr>
        <w:pStyle w:val="BodyText"/>
        <w:rPr>
          <w:sz w:val="19"/>
        </w:rPr>
      </w:pPr>
    </w:p>
    <w:p>
      <w:pPr>
        <w:spacing w:line="575" w:lineRule="exact" w:before="0"/>
        <w:ind w:left="9" w:right="110" w:firstLine="0"/>
        <w:jc w:val="center"/>
        <w:rPr>
          <w:rFonts w:ascii="Microsoft JhengHei" w:eastAsia="Microsoft JhengHei" w:hint="eastAsia"/>
          <w:b/>
          <w:sz w:val="36"/>
        </w:rPr>
      </w:pPr>
      <w:r>
        <w:rPr>
          <w:rFonts w:ascii="Microsoft JhengHei" w:eastAsia="Microsoft JhengHei" w:hint="eastAsia"/>
          <w:b/>
          <w:sz w:val="36"/>
        </w:rPr>
        <w:t>目录</w:t>
      </w:r>
    </w:p>
    <w:sdt>
      <w:sdtPr>
        <w:docPartObj>
          <w:docPartGallery w:val="Table of Contents"/>
          <w:docPartUnique/>
        </w:docPartObj>
      </w:sdtPr>
      <w:sdtEndPr/>
      <w:sdtContent>
        <w:p>
          <w:pPr>
            <w:pStyle w:val="TOC1"/>
            <w:tabs>
              <w:tab w:pos="10865" w:val="right" w:leader="dot"/>
            </w:tabs>
            <w:spacing w:before="107"/>
            <w:rPr>
              <w:rFonts w:ascii="Times New Roman" w:eastAsia="Times New Roman"/>
            </w:rPr>
          </w:pPr>
          <w:hyperlink w:history="true" w:anchor="_bookmark0">
            <w:r>
              <w:rPr>
                <w:color w:val="C00000"/>
              </w:rPr>
              <w:t>摘要</w:t>
            </w:r>
            <w:r>
              <w:rPr>
                <w:rFonts w:ascii="Times New Roman" w:eastAsia="Times New Roman"/>
                <w:color w:val="C00000"/>
              </w:rPr>
              <w:tab/>
            </w:r>
            <w:r>
              <w:rPr>
                <w:rFonts w:ascii="Times New Roman" w:eastAsia="Times New Roman"/>
                <w:color w:val="C00000"/>
              </w:rPr>
              <w:t>1</w:t>
            </w:r>
          </w:hyperlink>
        </w:p>
        <w:p>
          <w:pPr>
            <w:pStyle w:val="TOC1"/>
            <w:tabs>
              <w:tab w:pos="10865" w:val="right" w:leader="dot"/>
            </w:tabs>
            <w:spacing w:line="338" w:lineRule="exact"/>
            <w:rPr>
              <w:rFonts w:ascii="Times New Roman" w:eastAsia="Times New Roman"/>
            </w:rPr>
          </w:pPr>
          <w:hyperlink w:history="true" w:anchor="_bookmark1">
            <w:r>
              <w:rPr>
                <w:color w:val="C00000"/>
              </w:rPr>
              <w:t>核心观点</w:t>
            </w:r>
            <w:r>
              <w:rPr>
                <w:rFonts w:ascii="Times New Roman" w:eastAsia="Times New Roman"/>
                <w:color w:val="C00000"/>
              </w:rPr>
              <w:tab/>
            </w:r>
            <w:r>
              <w:rPr>
                <w:rFonts w:ascii="Times New Roman" w:eastAsia="Times New Roman"/>
                <w:color w:val="C00000"/>
              </w:rPr>
              <w:t>1</w:t>
            </w:r>
          </w:hyperlink>
        </w:p>
        <w:p>
          <w:pPr>
            <w:pStyle w:val="TOC1"/>
            <w:tabs>
              <w:tab w:pos="10865" w:val="right" w:leader="dot"/>
            </w:tabs>
            <w:rPr>
              <w:rFonts w:ascii="Times New Roman" w:eastAsia="Times New Roman"/>
            </w:rPr>
          </w:pPr>
          <w:hyperlink w:history="true" w:anchor="_bookmark2">
            <w:r>
              <w:rPr>
                <w:color w:val="C00000"/>
              </w:rPr>
              <w:t>CTA</w:t>
            </w:r>
            <w:r>
              <w:rPr>
                <w:color w:val="C00000"/>
                <w:spacing w:val="-3"/>
              </w:rPr>
              <w:t> </w:t>
            </w:r>
            <w:r>
              <w:rPr>
                <w:color w:val="C00000"/>
              </w:rPr>
              <w:t>如何突围</w:t>
            </w:r>
            <w:r>
              <w:rPr>
                <w:rFonts w:ascii="Times New Roman" w:eastAsia="Times New Roman"/>
                <w:color w:val="C00000"/>
              </w:rPr>
              <w:tab/>
            </w:r>
            <w:r>
              <w:rPr>
                <w:rFonts w:ascii="Times New Roman" w:eastAsia="Times New Roman"/>
                <w:color w:val="C00000"/>
              </w:rPr>
              <w:t>4</w:t>
            </w:r>
          </w:hyperlink>
        </w:p>
        <w:p>
          <w:pPr>
            <w:pStyle w:val="TOC2"/>
            <w:numPr>
              <w:ilvl w:val="1"/>
              <w:numId w:val="1"/>
            </w:numPr>
            <w:tabs>
              <w:tab w:pos="1089" w:val="left" w:leader="none"/>
              <w:tab w:pos="10865" w:val="right" w:leader="dot"/>
            </w:tabs>
            <w:spacing w:line="240" w:lineRule="auto" w:before="45" w:after="0"/>
            <w:ind w:left="1088" w:right="0" w:hanging="269"/>
            <w:jc w:val="left"/>
          </w:pPr>
          <w:hyperlink w:history="true" w:anchor="_bookmark3">
            <w:r>
              <w:rPr/>
              <w:t>CTA</w:t>
            </w:r>
            <w:r>
              <w:rPr>
                <w:spacing w:val="-4"/>
              </w:rPr>
              <w:t> </w:t>
            </w:r>
            <w:r>
              <w:rPr>
                <w:rFonts w:ascii="SimSun" w:hAnsi="SimSun" w:eastAsia="SimSun" w:hint="eastAsia"/>
              </w:rPr>
              <w:t>基金近一年表现较差</w:t>
            </w:r>
            <w:r>
              <w:rPr/>
              <w:tab/>
              <w:t>4</w:t>
            </w:r>
          </w:hyperlink>
        </w:p>
        <w:p>
          <w:pPr>
            <w:pStyle w:val="TOC2"/>
            <w:numPr>
              <w:ilvl w:val="1"/>
              <w:numId w:val="1"/>
            </w:numPr>
            <w:tabs>
              <w:tab w:pos="1089" w:val="left" w:leader="none"/>
              <w:tab w:pos="10865" w:val="right" w:leader="dot"/>
            </w:tabs>
            <w:spacing w:line="240" w:lineRule="auto" w:before="84" w:after="0"/>
            <w:ind w:left="1088" w:right="0" w:hanging="269"/>
            <w:jc w:val="left"/>
          </w:pPr>
          <w:hyperlink w:history="true" w:anchor="_bookmark7">
            <w:r>
              <w:rPr>
                <w:rFonts w:ascii="SimSun" w:hAnsi="SimSun" w:eastAsia="SimSun" w:hint="eastAsia"/>
              </w:rPr>
              <w:t>全球</w:t>
            </w:r>
            <w:r>
              <w:rPr>
                <w:rFonts w:ascii="SimSun" w:hAnsi="SimSun" w:eastAsia="SimSun" w:hint="eastAsia"/>
                <w:spacing w:val="-46"/>
              </w:rPr>
              <w:t> </w:t>
            </w:r>
            <w:r>
              <w:rPr/>
              <w:t>CTA</w:t>
            </w:r>
            <w:r>
              <w:rPr>
                <w:spacing w:val="-3"/>
              </w:rPr>
              <w:t> </w:t>
            </w:r>
            <w:r>
              <w:rPr>
                <w:rFonts w:ascii="SimSun" w:hAnsi="SimSun" w:eastAsia="SimSun" w:hint="eastAsia"/>
                <w:spacing w:val="43"/>
              </w:rPr>
              <w:t>的</w:t>
            </w:r>
            <w:r>
              <w:rPr/>
              <w:t>lost</w:t>
            </w:r>
            <w:r>
              <w:rPr>
                <w:spacing w:val="1"/>
              </w:rPr>
              <w:t> </w:t>
            </w:r>
            <w:r>
              <w:rPr/>
              <w:t>decade</w:t>
              <w:tab/>
              <w:t>5</w:t>
            </w:r>
          </w:hyperlink>
        </w:p>
        <w:p>
          <w:pPr>
            <w:pStyle w:val="TOC2"/>
            <w:numPr>
              <w:ilvl w:val="1"/>
              <w:numId w:val="1"/>
            </w:numPr>
            <w:tabs>
              <w:tab w:pos="1089" w:val="left" w:leader="none"/>
              <w:tab w:pos="10865" w:val="right" w:leader="dot"/>
            </w:tabs>
            <w:spacing w:line="240" w:lineRule="auto" w:before="81" w:after="0"/>
            <w:ind w:left="1088" w:right="0" w:hanging="269"/>
            <w:jc w:val="left"/>
          </w:pPr>
          <w:hyperlink w:history="true" w:anchor="_bookmark9">
            <w:r>
              <w:rPr>
                <w:rFonts w:ascii="SimSun" w:hAnsi="SimSun" w:eastAsia="SimSun" w:hint="eastAsia"/>
              </w:rPr>
              <w:t>交易拥挤</w:t>
            </w:r>
            <w:r>
              <w:rPr/>
              <w:tab/>
              <w:t>6</w:t>
            </w:r>
          </w:hyperlink>
        </w:p>
        <w:p>
          <w:pPr>
            <w:pStyle w:val="TOC3"/>
            <w:numPr>
              <w:ilvl w:val="0"/>
              <w:numId w:val="2"/>
            </w:numPr>
            <w:tabs>
              <w:tab w:pos="1591" w:val="left" w:leader="none"/>
              <w:tab w:pos="10865" w:val="right" w:leader="dot"/>
            </w:tabs>
            <w:spacing w:line="240" w:lineRule="auto" w:before="74" w:after="0"/>
            <w:ind w:left="1590" w:right="0" w:hanging="351"/>
            <w:jc w:val="left"/>
            <w:rPr>
              <w:rFonts w:ascii="Times New Roman" w:eastAsia="Times New Roman"/>
            </w:rPr>
          </w:pPr>
          <w:hyperlink w:history="true" w:anchor="_bookmark11">
            <w:r>
              <w:rPr>
                <w:rFonts w:ascii="Times New Roman" w:eastAsia="Times New Roman"/>
              </w:rPr>
              <w:t>CTA</w:t>
            </w:r>
            <w:r>
              <w:rPr>
                <w:rFonts w:ascii="Times New Roman" w:eastAsia="Times New Roman"/>
                <w:spacing w:val="-6"/>
              </w:rPr>
              <w:t> </w:t>
            </w:r>
            <w:r>
              <w:rPr/>
              <w:t>基金规模</w:t>
            </w:r>
            <w:r>
              <w:rPr>
                <w:rFonts w:ascii="Times New Roman" w:eastAsia="Times New Roman"/>
              </w:rPr>
              <w:tab/>
              <w:t>7</w:t>
            </w:r>
          </w:hyperlink>
        </w:p>
        <w:p>
          <w:pPr>
            <w:pStyle w:val="TOC3"/>
            <w:numPr>
              <w:ilvl w:val="0"/>
              <w:numId w:val="2"/>
            </w:numPr>
            <w:tabs>
              <w:tab w:pos="1591" w:val="left" w:leader="none"/>
              <w:tab w:pos="10865" w:val="right" w:leader="dot"/>
            </w:tabs>
            <w:spacing w:line="240" w:lineRule="auto" w:before="82" w:after="0"/>
            <w:ind w:left="1590" w:right="0" w:hanging="351"/>
            <w:jc w:val="left"/>
            <w:rPr>
              <w:rFonts w:ascii="Times New Roman" w:eastAsia="Times New Roman"/>
            </w:rPr>
          </w:pPr>
          <w:hyperlink w:history="true" w:anchor="_bookmark14">
            <w:r>
              <w:rPr>
                <w:rFonts w:ascii="Times New Roman" w:eastAsia="Times New Roman"/>
              </w:rPr>
              <w:t>CTA</w:t>
            </w:r>
            <w:r>
              <w:rPr>
                <w:rFonts w:ascii="Times New Roman" w:eastAsia="Times New Roman"/>
                <w:spacing w:val="-6"/>
              </w:rPr>
              <w:t> </w:t>
            </w:r>
            <w:r>
              <w:rPr/>
              <w:t>基金规模</w:t>
            </w:r>
            <w:r>
              <w:rPr>
                <w:spacing w:val="1"/>
              </w:rPr>
              <w:t> </w:t>
            </w:r>
            <w:r>
              <w:rPr>
                <w:rFonts w:ascii="Times New Roman" w:eastAsia="Times New Roman"/>
              </w:rPr>
              <w:t>vs</w:t>
            </w:r>
            <w:r>
              <w:rPr>
                <w:rFonts w:ascii="Times New Roman" w:eastAsia="Times New Roman"/>
                <w:spacing w:val="52"/>
              </w:rPr>
              <w:t> </w:t>
            </w:r>
            <w:r>
              <w:rPr/>
              <w:t>衍生品市场规模</w:t>
            </w:r>
            <w:r>
              <w:rPr>
                <w:rFonts w:ascii="Times New Roman" w:eastAsia="Times New Roman"/>
              </w:rPr>
              <w:tab/>
              <w:t>8</w:t>
            </w:r>
          </w:hyperlink>
        </w:p>
        <w:p>
          <w:pPr>
            <w:pStyle w:val="TOC2"/>
            <w:numPr>
              <w:ilvl w:val="1"/>
              <w:numId w:val="1"/>
            </w:numPr>
            <w:tabs>
              <w:tab w:pos="1089" w:val="left" w:leader="none"/>
              <w:tab w:pos="10867" w:val="right" w:leader="dot"/>
            </w:tabs>
            <w:spacing w:line="240" w:lineRule="auto" w:before="90" w:after="0"/>
            <w:ind w:left="1088" w:right="0" w:hanging="269"/>
            <w:jc w:val="left"/>
          </w:pPr>
          <w:hyperlink w:history="true" w:anchor="_bookmark17">
            <w:r>
              <w:rPr>
                <w:rFonts w:ascii="SimSun" w:hAnsi="SimSun" w:eastAsia="SimSun" w:hint="eastAsia"/>
              </w:rPr>
              <w:t>市场有效波动</w:t>
            </w:r>
            <w:r>
              <w:rPr/>
              <w:tab/>
              <w:t>10</w:t>
            </w:r>
          </w:hyperlink>
        </w:p>
        <w:p>
          <w:pPr>
            <w:pStyle w:val="TOC2"/>
            <w:numPr>
              <w:ilvl w:val="1"/>
              <w:numId w:val="1"/>
            </w:numPr>
            <w:tabs>
              <w:tab w:pos="1089" w:val="left" w:leader="none"/>
              <w:tab w:pos="10867" w:val="right" w:leader="dot"/>
            </w:tabs>
            <w:spacing w:line="240" w:lineRule="auto" w:before="81" w:after="0"/>
            <w:ind w:left="1088" w:right="0" w:hanging="269"/>
            <w:jc w:val="left"/>
          </w:pPr>
          <w:hyperlink w:history="true" w:anchor="_bookmark22">
            <w:r>
              <w:rPr>
                <w:rFonts w:ascii="SimSun" w:hAnsi="SimSun" w:eastAsia="SimSun" w:hint="eastAsia"/>
              </w:rPr>
              <w:t>策略适用性</w:t>
            </w:r>
            <w:r>
              <w:rPr/>
              <w:tab/>
              <w:t>12</w:t>
            </w:r>
          </w:hyperlink>
        </w:p>
        <w:p>
          <w:pPr>
            <w:pStyle w:val="TOC2"/>
            <w:numPr>
              <w:ilvl w:val="1"/>
              <w:numId w:val="1"/>
            </w:numPr>
            <w:tabs>
              <w:tab w:pos="1089" w:val="left" w:leader="none"/>
              <w:tab w:pos="10867" w:val="right" w:leader="dot"/>
            </w:tabs>
            <w:spacing w:line="240" w:lineRule="auto" w:before="82" w:after="0"/>
            <w:ind w:left="1088" w:right="0" w:hanging="269"/>
            <w:jc w:val="left"/>
          </w:pPr>
          <w:hyperlink w:history="true" w:anchor="_bookmark24">
            <w:r>
              <w:rPr>
                <w:rFonts w:ascii="SimSun" w:hAnsi="SimSun" w:eastAsia="SimSun" w:hint="eastAsia"/>
              </w:rPr>
              <w:t>分散性收益</w:t>
            </w:r>
            <w:r>
              <w:rPr/>
              <w:tab/>
              <w:t>13</w:t>
            </w:r>
          </w:hyperlink>
        </w:p>
        <w:p>
          <w:pPr>
            <w:pStyle w:val="TOC2"/>
            <w:numPr>
              <w:ilvl w:val="1"/>
              <w:numId w:val="1"/>
            </w:numPr>
            <w:tabs>
              <w:tab w:pos="1089" w:val="left" w:leader="none"/>
              <w:tab w:pos="10867" w:val="right" w:leader="dot"/>
            </w:tabs>
            <w:spacing w:line="240" w:lineRule="auto" w:before="81" w:after="0"/>
            <w:ind w:left="1088" w:right="0" w:hanging="269"/>
            <w:jc w:val="left"/>
          </w:pPr>
          <w:hyperlink w:history="true" w:anchor="_bookmark27">
            <w:r>
              <w:rPr>
                <w:rFonts w:ascii="SimSun" w:hAnsi="SimSun" w:eastAsia="SimSun" w:hint="eastAsia"/>
              </w:rPr>
              <w:t>总结</w:t>
            </w:r>
            <w:r>
              <w:rPr/>
              <w:tab/>
              <w:t>15</w:t>
            </w:r>
          </w:hyperlink>
        </w:p>
      </w:sdtContent>
    </w:sdt>
    <w:p>
      <w:pPr>
        <w:spacing w:after="0" w:line="240" w:lineRule="auto"/>
        <w:jc w:val="left"/>
        <w:sectPr>
          <w:headerReference w:type="default" r:id="rId11"/>
          <w:pgSz w:w="11910" w:h="16840"/>
          <w:pgMar w:header="948" w:footer="0" w:top="1460" w:bottom="280" w:left="320" w:right="220"/>
        </w:sectPr>
      </w:pPr>
    </w:p>
    <w:p>
      <w:pPr>
        <w:spacing w:before="156"/>
        <w:ind w:left="9" w:right="110" w:firstLine="0"/>
        <w:jc w:val="center"/>
        <w:rPr>
          <w:rFonts w:ascii="Microsoft JhengHei" w:eastAsia="Microsoft JhengHei" w:hint="eastAsia"/>
          <w:b/>
          <w:sz w:val="36"/>
        </w:rPr>
      </w:pPr>
      <w:r>
        <w:rPr>
          <w:rFonts w:ascii="Microsoft JhengHei" w:eastAsia="Microsoft JhengHei" w:hint="eastAsia"/>
          <w:b/>
          <w:sz w:val="36"/>
        </w:rPr>
        <w:t>图表</w:t>
      </w:r>
    </w:p>
    <w:p>
      <w:pPr>
        <w:tabs>
          <w:tab w:pos="10765" w:val="left" w:leader="dot"/>
        </w:tabs>
        <w:spacing w:before="18"/>
        <w:ind w:left="400" w:right="0" w:firstLine="0"/>
        <w:jc w:val="left"/>
        <w:rPr>
          <w:rFonts w:ascii="Times New Roman" w:eastAsia="Times New Roman"/>
          <w:sz w:val="20"/>
        </w:rPr>
      </w:pPr>
      <w:hyperlink w:history="true" w:anchor="_bookmark4">
        <w:r>
          <w:rPr>
            <w:sz w:val="20"/>
          </w:rPr>
          <w:t>图</w:t>
        </w:r>
        <w:r>
          <w:rPr>
            <w:spacing w:val="-12"/>
            <w:sz w:val="20"/>
          </w:rPr>
          <w:t> </w:t>
        </w:r>
        <w:r>
          <w:rPr>
            <w:rFonts w:ascii="Times New Roman" w:eastAsia="Times New Roman"/>
            <w:sz w:val="20"/>
          </w:rPr>
          <w:t>1</w:t>
        </w:r>
        <w:r>
          <w:rPr>
            <w:rFonts w:ascii="Times New Roman" w:eastAsia="Times New Roman"/>
            <w:spacing w:val="3"/>
            <w:sz w:val="20"/>
          </w:rPr>
          <w:t> </w:t>
        </w:r>
        <w:r>
          <w:rPr>
            <w:w w:val="80"/>
            <w:sz w:val="20"/>
          </w:rPr>
          <w:t>:</w:t>
        </w:r>
        <w:r>
          <w:rPr>
            <w:spacing w:val="6"/>
            <w:w w:val="80"/>
            <w:sz w:val="20"/>
          </w:rPr>
          <w:t> </w:t>
        </w:r>
        <w:r>
          <w:rPr>
            <w:sz w:val="20"/>
          </w:rPr>
          <w:t>国内</w:t>
        </w:r>
        <w:r>
          <w:rPr>
            <w:spacing w:val="-43"/>
            <w:sz w:val="20"/>
          </w:rPr>
          <w:t> </w:t>
        </w:r>
        <w:r>
          <w:rPr>
            <w:sz w:val="20"/>
          </w:rPr>
          <w:t>CTA</w:t>
        </w:r>
        <w:r>
          <w:rPr>
            <w:spacing w:val="-42"/>
            <w:sz w:val="20"/>
          </w:rPr>
          <w:t> </w:t>
        </w:r>
        <w:r>
          <w:rPr>
            <w:sz w:val="20"/>
          </w:rPr>
          <w:t>基金近一年表现不佳丨单位：指数点</w:t>
        </w:r>
        <w:r>
          <w:rPr>
            <w:spacing w:val="-14"/>
            <w:sz w:val="20"/>
          </w:rPr>
          <w:t> </w:t>
        </w:r>
        <w:r>
          <w:rPr>
            <w:sz w:val="20"/>
          </w:rPr>
          <w:t>&amp;</w:t>
        </w:r>
        <w:r>
          <w:rPr>
            <w:spacing w:val="-37"/>
            <w:sz w:val="20"/>
          </w:rPr>
          <w:t> </w:t>
        </w:r>
        <w:r>
          <w:rPr>
            <w:sz w:val="20"/>
          </w:rPr>
          <w:t>%</w:t>
        </w:r>
        <w:r>
          <w:rPr>
            <w:rFonts w:ascii="Times New Roman" w:eastAsia="Times New Roman"/>
            <w:sz w:val="20"/>
          </w:rPr>
          <w:tab/>
        </w:r>
        <w:r>
          <w:rPr>
            <w:rFonts w:ascii="Times New Roman" w:eastAsia="Times New Roman"/>
            <w:w w:val="105"/>
            <w:sz w:val="20"/>
          </w:rPr>
          <w:t>4</w:t>
        </w:r>
      </w:hyperlink>
    </w:p>
    <w:p>
      <w:pPr>
        <w:tabs>
          <w:tab w:pos="10765" w:val="left" w:leader="dot"/>
        </w:tabs>
        <w:spacing w:before="82"/>
        <w:ind w:left="400" w:right="0" w:firstLine="0"/>
        <w:jc w:val="left"/>
        <w:rPr>
          <w:rFonts w:ascii="Times New Roman" w:eastAsia="Times New Roman"/>
          <w:sz w:val="20"/>
        </w:rPr>
      </w:pPr>
      <w:hyperlink w:history="true" w:anchor="_bookmark6">
        <w:r>
          <w:rPr>
            <w:w w:val="95"/>
            <w:sz w:val="20"/>
          </w:rPr>
          <w:t>图</w:t>
        </w:r>
        <w:r>
          <w:rPr>
            <w:spacing w:val="29"/>
            <w:w w:val="95"/>
            <w:sz w:val="20"/>
          </w:rPr>
          <w:t> </w:t>
        </w:r>
        <w:r>
          <w:rPr>
            <w:rFonts w:ascii="Times New Roman" w:eastAsia="Times New Roman"/>
            <w:w w:val="95"/>
            <w:sz w:val="20"/>
          </w:rPr>
          <w:t>2</w:t>
        </w:r>
        <w:r>
          <w:rPr>
            <w:rFonts w:ascii="Times New Roman" w:eastAsia="Times New Roman"/>
            <w:spacing w:val="28"/>
            <w:w w:val="95"/>
            <w:sz w:val="20"/>
          </w:rPr>
          <w:t> </w:t>
        </w:r>
        <w:r>
          <w:rPr>
            <w:w w:val="80"/>
            <w:sz w:val="20"/>
          </w:rPr>
          <w:t>:</w:t>
        </w:r>
        <w:r>
          <w:rPr>
            <w:spacing w:val="3"/>
            <w:w w:val="80"/>
            <w:sz w:val="20"/>
          </w:rPr>
          <w:t> </w:t>
        </w:r>
        <w:r>
          <w:rPr>
            <w:w w:val="95"/>
            <w:sz w:val="20"/>
          </w:rPr>
          <w:t>CTA</w:t>
        </w:r>
        <w:r>
          <w:rPr>
            <w:spacing w:val="-13"/>
            <w:w w:val="95"/>
            <w:sz w:val="20"/>
          </w:rPr>
          <w:t> </w:t>
        </w:r>
        <w:r>
          <w:rPr>
            <w:w w:val="95"/>
            <w:sz w:val="20"/>
          </w:rPr>
          <w:t>基金相比其他资产回撤突🎧丨单位：%</w:t>
        </w:r>
        <w:r>
          <w:rPr>
            <w:rFonts w:ascii="Times New Roman" w:eastAsia="Times New Roman"/>
            <w:w w:val="95"/>
            <w:sz w:val="20"/>
          </w:rPr>
          <w:tab/>
        </w:r>
        <w:r>
          <w:rPr>
            <w:rFonts w:ascii="Times New Roman" w:eastAsia="Times New Roman"/>
            <w:w w:val="105"/>
            <w:sz w:val="20"/>
          </w:rPr>
          <w:t>5</w:t>
        </w:r>
      </w:hyperlink>
    </w:p>
    <w:p>
      <w:pPr>
        <w:tabs>
          <w:tab w:pos="10765" w:val="left" w:leader="dot"/>
        </w:tabs>
        <w:spacing w:before="82"/>
        <w:ind w:left="400" w:right="0" w:firstLine="0"/>
        <w:jc w:val="left"/>
        <w:rPr>
          <w:rFonts w:ascii="Times New Roman" w:eastAsia="Times New Roman"/>
          <w:sz w:val="20"/>
        </w:rPr>
      </w:pPr>
      <w:hyperlink w:history="true" w:anchor="_bookmark8">
        <w:r>
          <w:rPr>
            <w:sz w:val="20"/>
          </w:rPr>
          <w:t>图</w:t>
        </w:r>
        <w:r>
          <w:rPr>
            <w:spacing w:val="2"/>
            <w:sz w:val="20"/>
          </w:rPr>
          <w:t> </w:t>
        </w:r>
        <w:r>
          <w:rPr>
            <w:rFonts w:ascii="Times New Roman" w:eastAsia="Times New Roman"/>
            <w:sz w:val="20"/>
          </w:rPr>
          <w:t>3</w:t>
        </w:r>
        <w:r>
          <w:rPr>
            <w:rFonts w:ascii="Times New Roman" w:eastAsia="Times New Roman"/>
            <w:spacing w:val="11"/>
            <w:sz w:val="20"/>
          </w:rPr>
          <w:t> </w:t>
        </w:r>
        <w:r>
          <w:rPr>
            <w:w w:val="85"/>
            <w:sz w:val="20"/>
          </w:rPr>
          <w:t>:</w:t>
        </w:r>
        <w:r>
          <w:rPr>
            <w:spacing w:val="14"/>
            <w:w w:val="85"/>
            <w:sz w:val="20"/>
          </w:rPr>
          <w:t> </w:t>
        </w:r>
        <w:r>
          <w:rPr>
            <w:sz w:val="20"/>
          </w:rPr>
          <w:t>全球</w:t>
        </w:r>
        <w:r>
          <w:rPr>
            <w:spacing w:val="-33"/>
            <w:sz w:val="20"/>
          </w:rPr>
          <w:t> </w:t>
        </w:r>
        <w:r>
          <w:rPr>
            <w:sz w:val="20"/>
          </w:rPr>
          <w:t>CTA</w:t>
        </w:r>
        <w:r>
          <w:rPr>
            <w:spacing w:val="-34"/>
            <w:sz w:val="20"/>
          </w:rPr>
          <w:t> </w:t>
        </w:r>
        <w:r>
          <w:rPr>
            <w:sz w:val="20"/>
          </w:rPr>
          <w:t>指数</w:t>
        </w:r>
        <w:r>
          <w:rPr>
            <w:spacing w:val="48"/>
            <w:sz w:val="20"/>
          </w:rPr>
          <w:t>的</w:t>
        </w:r>
        <w:r>
          <w:rPr>
            <w:sz w:val="16"/>
          </w:rPr>
          <w:t>LOST</w:t>
        </w:r>
        <w:r>
          <w:rPr>
            <w:spacing w:val="-13"/>
            <w:sz w:val="16"/>
          </w:rPr>
          <w:t> </w:t>
        </w:r>
        <w:r>
          <w:rPr>
            <w:sz w:val="16"/>
          </w:rPr>
          <w:t>DECADE</w:t>
        </w:r>
        <w:r>
          <w:rPr>
            <w:spacing w:val="-28"/>
            <w:sz w:val="16"/>
          </w:rPr>
          <w:t> </w:t>
        </w:r>
        <w:r>
          <w:rPr>
            <w:sz w:val="20"/>
          </w:rPr>
          <w:t>丨单位：%</w:t>
        </w:r>
        <w:r>
          <w:rPr>
            <w:rFonts w:ascii="Times New Roman" w:eastAsia="Times New Roman"/>
            <w:sz w:val="20"/>
          </w:rPr>
          <w:tab/>
        </w:r>
        <w:r>
          <w:rPr>
            <w:rFonts w:ascii="Times New Roman" w:eastAsia="Times New Roman"/>
            <w:w w:val="110"/>
            <w:sz w:val="20"/>
          </w:rPr>
          <w:t>6</w:t>
        </w:r>
      </w:hyperlink>
    </w:p>
    <w:p>
      <w:pPr>
        <w:tabs>
          <w:tab w:pos="10765" w:val="left" w:leader="dot"/>
        </w:tabs>
        <w:spacing w:before="82"/>
        <w:ind w:left="400" w:right="0" w:firstLine="0"/>
        <w:jc w:val="left"/>
        <w:rPr>
          <w:rFonts w:ascii="Times New Roman" w:eastAsia="Times New Roman"/>
          <w:sz w:val="20"/>
        </w:rPr>
      </w:pPr>
      <w:hyperlink w:history="true" w:anchor="_bookmark12">
        <w:r>
          <w:rPr>
            <w:sz w:val="20"/>
          </w:rPr>
          <w:t>图</w:t>
        </w:r>
        <w:r>
          <w:rPr>
            <w:spacing w:val="-19"/>
            <w:sz w:val="20"/>
          </w:rPr>
          <w:t> </w:t>
        </w:r>
        <w:r>
          <w:rPr>
            <w:rFonts w:ascii="Times New Roman" w:eastAsia="Times New Roman"/>
            <w:sz w:val="20"/>
          </w:rPr>
          <w:t>4 </w:t>
        </w:r>
        <w:r>
          <w:rPr>
            <w:w w:val="80"/>
            <w:sz w:val="20"/>
          </w:rPr>
          <w:t>:</w:t>
        </w:r>
        <w:r>
          <w:rPr>
            <w:spacing w:val="-1"/>
            <w:w w:val="80"/>
            <w:sz w:val="20"/>
          </w:rPr>
          <w:t> </w:t>
        </w:r>
        <w:r>
          <w:rPr>
            <w:sz w:val="20"/>
          </w:rPr>
          <w:t>全球</w:t>
        </w:r>
        <w:r>
          <w:rPr>
            <w:spacing w:val="-47"/>
            <w:sz w:val="20"/>
          </w:rPr>
          <w:t> </w:t>
        </w:r>
        <w:r>
          <w:rPr>
            <w:sz w:val="20"/>
          </w:rPr>
          <w:t>CTA</w:t>
        </w:r>
        <w:r>
          <w:rPr>
            <w:spacing w:val="-46"/>
            <w:sz w:val="20"/>
          </w:rPr>
          <w:t> </w:t>
        </w:r>
        <w:r>
          <w:rPr>
            <w:sz w:val="20"/>
          </w:rPr>
          <w:t>基金规模丨单位：十亿美元</w:t>
        </w:r>
        <w:r>
          <w:rPr>
            <w:rFonts w:ascii="Times New Roman" w:eastAsia="Times New Roman"/>
            <w:sz w:val="20"/>
          </w:rPr>
          <w:tab/>
        </w:r>
        <w:r>
          <w:rPr>
            <w:rFonts w:ascii="Times New Roman" w:eastAsia="Times New Roman"/>
            <w:w w:val="105"/>
            <w:sz w:val="20"/>
          </w:rPr>
          <w:t>7</w:t>
        </w:r>
      </w:hyperlink>
    </w:p>
    <w:p>
      <w:pPr>
        <w:tabs>
          <w:tab w:pos="10765" w:val="left" w:leader="dot"/>
        </w:tabs>
        <w:spacing w:before="85"/>
        <w:ind w:left="400" w:right="0" w:firstLine="0"/>
        <w:jc w:val="left"/>
        <w:rPr>
          <w:rFonts w:ascii="Times New Roman" w:eastAsia="Times New Roman"/>
          <w:sz w:val="20"/>
        </w:rPr>
      </w:pPr>
      <w:hyperlink w:history="true" w:anchor="_bookmark13">
        <w:r>
          <w:rPr>
            <w:sz w:val="20"/>
          </w:rPr>
          <w:t>图</w:t>
        </w:r>
        <w:r>
          <w:rPr>
            <w:spacing w:val="-11"/>
            <w:sz w:val="20"/>
          </w:rPr>
          <w:t> </w:t>
        </w:r>
        <w:r>
          <w:rPr>
            <w:rFonts w:ascii="Times New Roman" w:eastAsia="Times New Roman"/>
            <w:sz w:val="20"/>
          </w:rPr>
          <w:t>5</w:t>
        </w:r>
        <w:r>
          <w:rPr>
            <w:rFonts w:ascii="Times New Roman" w:eastAsia="Times New Roman"/>
            <w:spacing w:val="4"/>
            <w:sz w:val="20"/>
          </w:rPr>
          <w:t> </w:t>
        </w:r>
        <w:r>
          <w:rPr>
            <w:w w:val="80"/>
            <w:sz w:val="20"/>
          </w:rPr>
          <w:t>:</w:t>
        </w:r>
        <w:r>
          <w:rPr>
            <w:spacing w:val="-21"/>
            <w:w w:val="80"/>
            <w:sz w:val="20"/>
          </w:rPr>
          <w:t> </w:t>
        </w:r>
        <w:r>
          <w:rPr>
            <w:sz w:val="20"/>
          </w:rPr>
          <w:t>CTA</w:t>
        </w:r>
        <w:r>
          <w:rPr>
            <w:spacing w:val="-41"/>
            <w:sz w:val="20"/>
          </w:rPr>
          <w:t> </w:t>
        </w:r>
        <w:r>
          <w:rPr>
            <w:sz w:val="20"/>
          </w:rPr>
          <w:t>基金发行数量与表现丨单位：点</w:t>
        </w:r>
        <w:r>
          <w:rPr>
            <w:spacing w:val="-11"/>
            <w:sz w:val="20"/>
          </w:rPr>
          <w:t> </w:t>
        </w:r>
        <w:r>
          <w:rPr>
            <w:sz w:val="20"/>
          </w:rPr>
          <w:t>&amp;</w:t>
        </w:r>
        <w:r>
          <w:rPr>
            <w:spacing w:val="-10"/>
            <w:sz w:val="20"/>
          </w:rPr>
          <w:t> </w:t>
        </w:r>
        <w:r>
          <w:rPr>
            <w:sz w:val="20"/>
          </w:rPr>
          <w:t>只</w:t>
        </w:r>
        <w:r>
          <w:rPr>
            <w:rFonts w:ascii="Times New Roman" w:eastAsia="Times New Roman"/>
            <w:sz w:val="20"/>
          </w:rPr>
          <w:tab/>
        </w:r>
        <w:r>
          <w:rPr>
            <w:rFonts w:ascii="Times New Roman" w:eastAsia="Times New Roman"/>
            <w:w w:val="105"/>
            <w:sz w:val="20"/>
          </w:rPr>
          <w:t>8</w:t>
        </w:r>
      </w:hyperlink>
    </w:p>
    <w:p>
      <w:pPr>
        <w:tabs>
          <w:tab w:pos="10765" w:val="left" w:leader="dot"/>
        </w:tabs>
        <w:spacing w:before="82"/>
        <w:ind w:left="400" w:right="0" w:firstLine="0"/>
        <w:jc w:val="left"/>
        <w:rPr>
          <w:rFonts w:ascii="Times New Roman" w:eastAsia="Times New Roman"/>
          <w:sz w:val="20"/>
        </w:rPr>
      </w:pPr>
      <w:hyperlink w:history="true" w:anchor="_bookmark15">
        <w:r>
          <w:rPr>
            <w:sz w:val="20"/>
          </w:rPr>
          <w:t>图</w:t>
        </w:r>
        <w:r>
          <w:rPr>
            <w:spacing w:val="-13"/>
            <w:sz w:val="20"/>
          </w:rPr>
          <w:t> </w:t>
        </w:r>
        <w:r>
          <w:rPr>
            <w:rFonts w:ascii="Times New Roman" w:eastAsia="Times New Roman"/>
            <w:sz w:val="20"/>
          </w:rPr>
          <w:t>6</w:t>
        </w:r>
        <w:r>
          <w:rPr>
            <w:rFonts w:ascii="Times New Roman" w:eastAsia="Times New Roman"/>
            <w:spacing w:val="4"/>
            <w:sz w:val="20"/>
          </w:rPr>
          <w:t> </w:t>
        </w:r>
        <w:r>
          <w:rPr>
            <w:w w:val="80"/>
            <w:sz w:val="20"/>
          </w:rPr>
          <w:t>:</w:t>
        </w:r>
        <w:r>
          <w:rPr>
            <w:spacing w:val="4"/>
            <w:w w:val="80"/>
            <w:sz w:val="20"/>
          </w:rPr>
          <w:t> </w:t>
        </w:r>
        <w:r>
          <w:rPr>
            <w:sz w:val="20"/>
          </w:rPr>
          <w:t>全球</w:t>
        </w:r>
        <w:r>
          <w:rPr>
            <w:spacing w:val="-42"/>
            <w:sz w:val="20"/>
          </w:rPr>
          <w:t> </w:t>
        </w:r>
        <w:r>
          <w:rPr>
            <w:sz w:val="20"/>
          </w:rPr>
          <w:t>CTA</w:t>
        </w:r>
        <w:r>
          <w:rPr>
            <w:spacing w:val="-43"/>
            <w:sz w:val="20"/>
          </w:rPr>
          <w:t> </w:t>
        </w:r>
        <w:r>
          <w:rPr>
            <w:sz w:val="20"/>
          </w:rPr>
          <w:t>基金规模与衍生品市场规模丨单位：亿手</w:t>
        </w:r>
        <w:r>
          <w:rPr>
            <w:spacing w:val="-14"/>
            <w:sz w:val="20"/>
          </w:rPr>
          <w:t> </w:t>
        </w:r>
        <w:r>
          <w:rPr>
            <w:sz w:val="20"/>
          </w:rPr>
          <w:t>&amp;</w:t>
        </w:r>
        <w:r>
          <w:rPr>
            <w:spacing w:val="-12"/>
            <w:sz w:val="20"/>
          </w:rPr>
          <w:t> </w:t>
        </w:r>
        <w:r>
          <w:rPr>
            <w:sz w:val="20"/>
          </w:rPr>
          <w:t>十亿美元</w:t>
        </w:r>
        <w:r>
          <w:rPr>
            <w:rFonts w:ascii="Times New Roman" w:eastAsia="Times New Roman"/>
            <w:sz w:val="20"/>
          </w:rPr>
          <w:tab/>
        </w:r>
        <w:r>
          <w:rPr>
            <w:rFonts w:ascii="Times New Roman" w:eastAsia="Times New Roman"/>
            <w:w w:val="105"/>
            <w:sz w:val="20"/>
          </w:rPr>
          <w:t>8</w:t>
        </w:r>
      </w:hyperlink>
    </w:p>
    <w:p>
      <w:pPr>
        <w:tabs>
          <w:tab w:pos="10765" w:val="left" w:leader="dot"/>
        </w:tabs>
        <w:spacing w:before="82"/>
        <w:ind w:left="400" w:right="0" w:firstLine="0"/>
        <w:jc w:val="left"/>
        <w:rPr>
          <w:rFonts w:ascii="Times New Roman" w:eastAsia="Times New Roman"/>
          <w:sz w:val="20"/>
        </w:rPr>
      </w:pPr>
      <w:hyperlink w:history="true" w:anchor="_bookmark16">
        <w:r>
          <w:rPr>
            <w:sz w:val="20"/>
          </w:rPr>
          <w:t>图</w:t>
        </w:r>
        <w:r>
          <w:rPr>
            <w:spacing w:val="-13"/>
            <w:sz w:val="20"/>
          </w:rPr>
          <w:t> </w:t>
        </w:r>
        <w:r>
          <w:rPr>
            <w:rFonts w:ascii="Times New Roman" w:eastAsia="Times New Roman"/>
            <w:sz w:val="20"/>
          </w:rPr>
          <w:t>7</w:t>
        </w:r>
        <w:r>
          <w:rPr>
            <w:rFonts w:ascii="Times New Roman" w:eastAsia="Times New Roman"/>
            <w:spacing w:val="3"/>
            <w:sz w:val="20"/>
          </w:rPr>
          <w:t> </w:t>
        </w:r>
        <w:r>
          <w:rPr>
            <w:w w:val="80"/>
            <w:sz w:val="20"/>
          </w:rPr>
          <w:t>:</w:t>
        </w:r>
        <w:r>
          <w:rPr>
            <w:spacing w:val="5"/>
            <w:w w:val="80"/>
            <w:sz w:val="20"/>
          </w:rPr>
          <w:t> </w:t>
        </w:r>
        <w:r>
          <w:rPr>
            <w:sz w:val="20"/>
          </w:rPr>
          <w:t>国内</w:t>
        </w:r>
        <w:r>
          <w:rPr>
            <w:spacing w:val="-43"/>
            <w:sz w:val="20"/>
          </w:rPr>
          <w:t> </w:t>
        </w:r>
        <w:r>
          <w:rPr>
            <w:sz w:val="20"/>
          </w:rPr>
          <w:t>CTA</w:t>
        </w:r>
        <w:r>
          <w:rPr>
            <w:spacing w:val="-43"/>
            <w:sz w:val="20"/>
          </w:rPr>
          <w:t> </w:t>
        </w:r>
        <w:r>
          <w:rPr>
            <w:sz w:val="20"/>
          </w:rPr>
          <w:t>基金发行数量与衍生品市场规模丨单位：百万手</w:t>
        </w:r>
        <w:r>
          <w:rPr>
            <w:spacing w:val="-12"/>
            <w:sz w:val="20"/>
          </w:rPr>
          <w:t> </w:t>
        </w:r>
        <w:r>
          <w:rPr>
            <w:sz w:val="20"/>
          </w:rPr>
          <w:t>&amp;</w:t>
        </w:r>
        <w:r>
          <w:rPr>
            <w:spacing w:val="-13"/>
            <w:sz w:val="20"/>
          </w:rPr>
          <w:t> </w:t>
        </w:r>
        <w:r>
          <w:rPr>
            <w:sz w:val="20"/>
          </w:rPr>
          <w:t>只</w:t>
        </w:r>
        <w:r>
          <w:rPr>
            <w:rFonts w:ascii="Times New Roman" w:eastAsia="Times New Roman"/>
            <w:sz w:val="20"/>
          </w:rPr>
          <w:tab/>
        </w:r>
        <w:r>
          <w:rPr>
            <w:rFonts w:ascii="Times New Roman" w:eastAsia="Times New Roman"/>
            <w:w w:val="105"/>
            <w:sz w:val="20"/>
          </w:rPr>
          <w:t>9</w:t>
        </w:r>
      </w:hyperlink>
    </w:p>
    <w:p>
      <w:pPr>
        <w:tabs>
          <w:tab w:pos="10664" w:val="left" w:leader="dot"/>
        </w:tabs>
        <w:spacing w:before="82"/>
        <w:ind w:left="400" w:right="0" w:firstLine="0"/>
        <w:jc w:val="left"/>
        <w:rPr>
          <w:rFonts w:ascii="Times New Roman" w:eastAsia="Times New Roman"/>
          <w:sz w:val="20"/>
        </w:rPr>
      </w:pPr>
      <w:hyperlink w:history="true" w:anchor="_bookmark18">
        <w:r>
          <w:rPr>
            <w:w w:val="95"/>
            <w:sz w:val="20"/>
          </w:rPr>
          <w:t>图</w:t>
        </w:r>
        <w:r>
          <w:rPr>
            <w:spacing w:val="48"/>
            <w:w w:val="95"/>
            <w:sz w:val="20"/>
          </w:rPr>
          <w:t> </w:t>
        </w:r>
        <w:r>
          <w:rPr>
            <w:rFonts w:ascii="Times New Roman" w:eastAsia="Times New Roman"/>
            <w:w w:val="95"/>
            <w:sz w:val="20"/>
          </w:rPr>
          <w:t>8</w:t>
        </w:r>
        <w:r>
          <w:rPr>
            <w:rFonts w:ascii="Times New Roman" w:eastAsia="Times New Roman"/>
            <w:spacing w:val="40"/>
            <w:w w:val="95"/>
            <w:sz w:val="20"/>
          </w:rPr>
          <w:t> </w:t>
        </w:r>
        <w:r>
          <w:rPr>
            <w:w w:val="80"/>
            <w:sz w:val="20"/>
          </w:rPr>
          <w:t>:</w:t>
        </w:r>
        <w:r>
          <w:rPr>
            <w:spacing w:val="58"/>
            <w:w w:val="80"/>
            <w:sz w:val="20"/>
          </w:rPr>
          <w:t> </w:t>
        </w:r>
        <w:r>
          <w:rPr>
            <w:w w:val="95"/>
            <w:sz w:val="20"/>
          </w:rPr>
          <w:t>底层资产有效波动与趋势策略夏普存在明显的正相关关系丨单位：无</w:t>
        </w:r>
        <w:r>
          <w:rPr>
            <w:rFonts w:ascii="Times New Roman" w:eastAsia="Times New Roman"/>
            <w:w w:val="95"/>
            <w:sz w:val="20"/>
          </w:rPr>
          <w:tab/>
        </w:r>
        <w:r>
          <w:rPr>
            <w:rFonts w:ascii="Times New Roman" w:eastAsia="Times New Roman"/>
            <w:sz w:val="20"/>
          </w:rPr>
          <w:t>10</w:t>
        </w:r>
      </w:hyperlink>
    </w:p>
    <w:p>
      <w:pPr>
        <w:tabs>
          <w:tab w:pos="10671" w:val="left" w:leader="dot"/>
        </w:tabs>
        <w:spacing w:before="83"/>
        <w:ind w:left="400" w:right="0" w:firstLine="0"/>
        <w:jc w:val="left"/>
        <w:rPr>
          <w:rFonts w:ascii="Times New Roman" w:eastAsia="Times New Roman"/>
          <w:sz w:val="20"/>
        </w:rPr>
      </w:pPr>
      <w:hyperlink w:history="true" w:anchor="_bookmark20">
        <w:r>
          <w:rPr>
            <w:w w:val="95"/>
            <w:sz w:val="20"/>
          </w:rPr>
          <w:t>图</w:t>
        </w:r>
        <w:r>
          <w:rPr>
            <w:spacing w:val="21"/>
            <w:w w:val="95"/>
            <w:sz w:val="20"/>
          </w:rPr>
          <w:t> </w:t>
        </w:r>
        <w:r>
          <w:rPr>
            <w:rFonts w:ascii="Times New Roman" w:eastAsia="Times New Roman"/>
            <w:w w:val="95"/>
            <w:sz w:val="20"/>
          </w:rPr>
          <w:t>9</w:t>
        </w:r>
        <w:r>
          <w:rPr>
            <w:rFonts w:ascii="Times New Roman" w:eastAsia="Times New Roman"/>
            <w:spacing w:val="23"/>
            <w:w w:val="95"/>
            <w:sz w:val="20"/>
          </w:rPr>
          <w:t> </w:t>
        </w:r>
        <w:r>
          <w:rPr>
            <w:w w:val="80"/>
            <w:sz w:val="20"/>
          </w:rPr>
          <w:t>:</w:t>
        </w:r>
        <w:r>
          <w:rPr>
            <w:spacing w:val="32"/>
            <w:w w:val="80"/>
            <w:sz w:val="20"/>
          </w:rPr>
          <w:t> </w:t>
        </w:r>
        <w:r>
          <w:rPr>
            <w:w w:val="95"/>
            <w:sz w:val="20"/>
          </w:rPr>
          <w:t>按年度的有效波动与策略夏普丨单位：无</w:t>
        </w:r>
        <w:r>
          <w:rPr>
            <w:rFonts w:ascii="Times New Roman" w:eastAsia="Times New Roman"/>
            <w:w w:val="95"/>
            <w:sz w:val="20"/>
          </w:rPr>
          <w:tab/>
        </w:r>
        <w:r>
          <w:rPr>
            <w:rFonts w:ascii="Times New Roman" w:eastAsia="Times New Roman"/>
            <w:sz w:val="20"/>
          </w:rPr>
          <w:t>11</w:t>
        </w:r>
      </w:hyperlink>
    </w:p>
    <w:p>
      <w:pPr>
        <w:tabs>
          <w:tab w:pos="10664" w:val="left" w:leader="dot"/>
        </w:tabs>
        <w:spacing w:before="82"/>
        <w:ind w:left="400" w:right="0" w:firstLine="0"/>
        <w:jc w:val="left"/>
        <w:rPr>
          <w:rFonts w:ascii="Times New Roman" w:eastAsia="Times New Roman"/>
          <w:sz w:val="20"/>
        </w:rPr>
      </w:pPr>
      <w:hyperlink w:history="true" w:anchor="_bookmark23">
        <w:r>
          <w:rPr>
            <w:w w:val="95"/>
            <w:sz w:val="20"/>
          </w:rPr>
          <w:t>图</w:t>
        </w:r>
        <w:r>
          <w:rPr>
            <w:spacing w:val="29"/>
            <w:w w:val="95"/>
            <w:sz w:val="20"/>
          </w:rPr>
          <w:t> </w:t>
        </w:r>
        <w:r>
          <w:rPr>
            <w:rFonts w:ascii="Times New Roman" w:eastAsia="Times New Roman"/>
            <w:w w:val="95"/>
            <w:sz w:val="20"/>
          </w:rPr>
          <w:t>10</w:t>
        </w:r>
        <w:r>
          <w:rPr>
            <w:rFonts w:ascii="Times New Roman" w:eastAsia="Times New Roman"/>
            <w:spacing w:val="28"/>
            <w:w w:val="95"/>
            <w:sz w:val="20"/>
          </w:rPr>
          <w:t> </w:t>
        </w:r>
        <w:r>
          <w:rPr>
            <w:w w:val="80"/>
            <w:sz w:val="20"/>
          </w:rPr>
          <w:t>:</w:t>
        </w:r>
        <w:r>
          <w:rPr>
            <w:spacing w:val="40"/>
            <w:w w:val="80"/>
            <w:sz w:val="20"/>
          </w:rPr>
          <w:t> </w:t>
        </w:r>
        <w:r>
          <w:rPr>
            <w:w w:val="95"/>
            <w:sz w:val="20"/>
          </w:rPr>
          <w:t>国内各品种有效波动与趋势策略夏普丨单位：无</w:t>
        </w:r>
        <w:r>
          <w:rPr>
            <w:rFonts w:ascii="Times New Roman" w:eastAsia="Times New Roman"/>
            <w:w w:val="95"/>
            <w:sz w:val="20"/>
          </w:rPr>
          <w:tab/>
        </w:r>
        <w:r>
          <w:rPr>
            <w:rFonts w:ascii="Times New Roman" w:eastAsia="Times New Roman"/>
            <w:sz w:val="20"/>
          </w:rPr>
          <w:t>13</w:t>
        </w:r>
      </w:hyperlink>
    </w:p>
    <w:p>
      <w:pPr>
        <w:tabs>
          <w:tab w:pos="10664" w:val="left" w:leader="dot"/>
        </w:tabs>
        <w:spacing w:before="82"/>
        <w:ind w:left="400" w:right="0" w:firstLine="0"/>
        <w:jc w:val="left"/>
        <w:rPr>
          <w:rFonts w:ascii="Times New Roman" w:eastAsia="Times New Roman"/>
          <w:sz w:val="20"/>
        </w:rPr>
      </w:pPr>
      <w:hyperlink w:history="true" w:anchor="_bookmark25">
        <w:r>
          <w:rPr>
            <w:sz w:val="20"/>
          </w:rPr>
          <w:t>图</w:t>
        </w:r>
        <w:r>
          <w:rPr>
            <w:spacing w:val="-19"/>
            <w:sz w:val="20"/>
          </w:rPr>
          <w:t> </w:t>
        </w:r>
        <w:r>
          <w:rPr>
            <w:rFonts w:ascii="Times New Roman" w:eastAsia="Times New Roman"/>
            <w:sz w:val="20"/>
          </w:rPr>
          <w:t>11</w:t>
        </w:r>
        <w:r>
          <w:rPr>
            <w:rFonts w:ascii="Times New Roman" w:eastAsia="Times New Roman"/>
            <w:spacing w:val="-6"/>
            <w:sz w:val="20"/>
          </w:rPr>
          <w:t> </w:t>
        </w:r>
        <w:r>
          <w:rPr>
            <w:w w:val="80"/>
            <w:sz w:val="20"/>
          </w:rPr>
          <w:t>:</w:t>
        </w:r>
        <w:r>
          <w:rPr>
            <w:spacing w:val="1"/>
            <w:w w:val="80"/>
            <w:sz w:val="20"/>
          </w:rPr>
          <w:t> </w:t>
        </w:r>
        <w:r>
          <w:rPr>
            <w:sz w:val="20"/>
          </w:rPr>
          <w:t>全球</w:t>
        </w:r>
        <w:r>
          <w:rPr>
            <w:spacing w:val="-47"/>
            <w:sz w:val="20"/>
          </w:rPr>
          <w:t> </w:t>
        </w:r>
        <w:r>
          <w:rPr>
            <w:sz w:val="20"/>
          </w:rPr>
          <w:t>CTA</w:t>
        </w:r>
        <w:r>
          <w:rPr>
            <w:spacing w:val="-48"/>
            <w:sz w:val="20"/>
          </w:rPr>
          <w:t> </w:t>
        </w:r>
        <w:r>
          <w:rPr>
            <w:sz w:val="20"/>
          </w:rPr>
          <w:t>市场的分散化乘数丨单位：无</w:t>
        </w:r>
        <w:r>
          <w:rPr>
            <w:rFonts w:ascii="Times New Roman" w:eastAsia="Times New Roman"/>
            <w:sz w:val="20"/>
          </w:rPr>
          <w:tab/>
        </w:r>
        <w:r>
          <w:rPr>
            <w:rFonts w:ascii="Times New Roman" w:eastAsia="Times New Roman"/>
            <w:w w:val="105"/>
            <w:sz w:val="20"/>
          </w:rPr>
          <w:t>14</w:t>
        </w:r>
      </w:hyperlink>
    </w:p>
    <w:p>
      <w:pPr>
        <w:tabs>
          <w:tab w:pos="10664" w:val="left" w:leader="dot"/>
        </w:tabs>
        <w:spacing w:before="82"/>
        <w:ind w:left="400" w:right="0" w:firstLine="0"/>
        <w:jc w:val="left"/>
        <w:rPr>
          <w:rFonts w:ascii="Times New Roman" w:eastAsia="Times New Roman"/>
          <w:sz w:val="20"/>
        </w:rPr>
      </w:pPr>
      <w:hyperlink w:history="true" w:anchor="_bookmark26">
        <w:r>
          <w:rPr>
            <w:sz w:val="20"/>
          </w:rPr>
          <w:t>图</w:t>
        </w:r>
        <w:r>
          <w:rPr>
            <w:spacing w:val="-18"/>
            <w:sz w:val="20"/>
          </w:rPr>
          <w:t> </w:t>
        </w:r>
        <w:r>
          <w:rPr>
            <w:rFonts w:ascii="Times New Roman" w:eastAsia="Times New Roman"/>
            <w:sz w:val="20"/>
          </w:rPr>
          <w:t>12</w:t>
        </w:r>
        <w:r>
          <w:rPr>
            <w:rFonts w:ascii="Times New Roman" w:eastAsia="Times New Roman"/>
            <w:spacing w:val="-1"/>
            <w:sz w:val="20"/>
          </w:rPr>
          <w:t> </w:t>
        </w:r>
        <w:r>
          <w:rPr>
            <w:w w:val="80"/>
            <w:sz w:val="20"/>
          </w:rPr>
          <w:t>: </w:t>
        </w:r>
        <w:r>
          <w:rPr>
            <w:sz w:val="20"/>
          </w:rPr>
          <w:t>国内</w:t>
        </w:r>
        <w:r>
          <w:rPr>
            <w:spacing w:val="-47"/>
            <w:sz w:val="20"/>
          </w:rPr>
          <w:t> </w:t>
        </w:r>
        <w:r>
          <w:rPr>
            <w:sz w:val="20"/>
          </w:rPr>
          <w:t>CTA</w:t>
        </w:r>
        <w:r>
          <w:rPr>
            <w:spacing w:val="-48"/>
            <w:sz w:val="20"/>
          </w:rPr>
          <w:t> </w:t>
        </w:r>
        <w:r>
          <w:rPr>
            <w:sz w:val="20"/>
          </w:rPr>
          <w:t>市场的分散化收益丨单位：无</w:t>
        </w:r>
        <w:r>
          <w:rPr>
            <w:rFonts w:ascii="Times New Roman" w:eastAsia="Times New Roman"/>
            <w:sz w:val="20"/>
          </w:rPr>
          <w:tab/>
        </w:r>
        <w:r>
          <w:rPr>
            <w:rFonts w:ascii="Times New Roman" w:eastAsia="Times New Roman"/>
            <w:w w:val="105"/>
            <w:sz w:val="20"/>
          </w:rPr>
          <w:t>15</w:t>
        </w:r>
      </w:hyperlink>
    </w:p>
    <w:p>
      <w:pPr>
        <w:pStyle w:val="BodyText"/>
        <w:rPr>
          <w:rFonts w:ascii="Times New Roman"/>
        </w:rPr>
      </w:pPr>
    </w:p>
    <w:p>
      <w:pPr>
        <w:tabs>
          <w:tab w:pos="10765" w:val="left" w:leader="dot"/>
        </w:tabs>
        <w:spacing w:before="170"/>
        <w:ind w:left="400" w:right="0" w:firstLine="0"/>
        <w:jc w:val="left"/>
        <w:rPr>
          <w:rFonts w:ascii="Times New Roman" w:eastAsia="Times New Roman"/>
          <w:sz w:val="20"/>
        </w:rPr>
      </w:pPr>
      <w:hyperlink w:history="true" w:anchor="_bookmark5">
        <w:r>
          <w:rPr>
            <w:w w:val="95"/>
            <w:sz w:val="20"/>
          </w:rPr>
          <w:t>表</w:t>
        </w:r>
        <w:r>
          <w:rPr>
            <w:spacing w:val="52"/>
            <w:w w:val="95"/>
            <w:sz w:val="20"/>
          </w:rPr>
          <w:t> </w:t>
        </w:r>
        <w:r>
          <w:rPr>
            <w:rFonts w:ascii="Times New Roman" w:eastAsia="Times New Roman"/>
            <w:w w:val="95"/>
            <w:sz w:val="20"/>
          </w:rPr>
          <w:t>1</w:t>
        </w:r>
        <w:r>
          <w:rPr>
            <w:rFonts w:ascii="Times New Roman" w:eastAsia="Times New Roman"/>
            <w:spacing w:val="42"/>
            <w:w w:val="95"/>
            <w:sz w:val="20"/>
          </w:rPr>
          <w:t> </w:t>
        </w:r>
        <w:r>
          <w:rPr>
            <w:w w:val="80"/>
            <w:sz w:val="20"/>
          </w:rPr>
          <w:t>:</w:t>
        </w:r>
        <w:r>
          <w:rPr>
            <w:spacing w:val="19"/>
            <w:w w:val="80"/>
            <w:sz w:val="20"/>
          </w:rPr>
          <w:t> </w:t>
        </w:r>
        <w:r>
          <w:rPr>
            <w:w w:val="95"/>
            <w:sz w:val="20"/>
          </w:rPr>
          <w:t>CTA</w:t>
        </w:r>
        <w:r>
          <w:rPr>
            <w:spacing w:val="2"/>
            <w:w w:val="95"/>
            <w:sz w:val="20"/>
          </w:rPr>
          <w:t> </w:t>
        </w:r>
        <w:r>
          <w:rPr>
            <w:w w:val="95"/>
            <w:sz w:val="20"/>
          </w:rPr>
          <w:t>基金指数历史回撤情况（按回撤持续时间降序排序）丨单位：%</w:t>
        </w:r>
        <w:r>
          <w:rPr>
            <w:rFonts w:ascii="Times New Roman" w:eastAsia="Times New Roman"/>
            <w:w w:val="95"/>
            <w:sz w:val="20"/>
          </w:rPr>
          <w:tab/>
        </w:r>
        <w:r>
          <w:rPr>
            <w:rFonts w:ascii="Times New Roman" w:eastAsia="Times New Roman"/>
            <w:w w:val="105"/>
            <w:sz w:val="20"/>
          </w:rPr>
          <w:t>4</w:t>
        </w:r>
      </w:hyperlink>
    </w:p>
    <w:p>
      <w:pPr>
        <w:tabs>
          <w:tab w:pos="10671" w:val="left" w:leader="dot"/>
        </w:tabs>
        <w:spacing w:before="80"/>
        <w:ind w:left="400" w:right="0" w:firstLine="0"/>
        <w:jc w:val="left"/>
        <w:rPr>
          <w:rFonts w:ascii="Times New Roman" w:eastAsia="Times New Roman"/>
          <w:sz w:val="20"/>
        </w:rPr>
      </w:pPr>
      <w:hyperlink w:history="true" w:anchor="_bookmark21">
        <w:r>
          <w:rPr>
            <w:sz w:val="20"/>
          </w:rPr>
          <w:t>表</w:t>
        </w:r>
        <w:r>
          <w:rPr>
            <w:spacing w:val="-21"/>
            <w:sz w:val="20"/>
          </w:rPr>
          <w:t> </w:t>
        </w:r>
        <w:r>
          <w:rPr>
            <w:rFonts w:ascii="Times New Roman" w:eastAsia="Times New Roman"/>
            <w:sz w:val="20"/>
          </w:rPr>
          <w:t>2</w:t>
        </w:r>
        <w:r>
          <w:rPr>
            <w:rFonts w:ascii="Times New Roman" w:eastAsia="Times New Roman"/>
            <w:spacing w:val="-2"/>
            <w:sz w:val="20"/>
          </w:rPr>
          <w:t> </w:t>
        </w:r>
        <w:r>
          <w:rPr>
            <w:rFonts w:ascii="Times New Roman" w:eastAsia="Times New Roman"/>
            <w:sz w:val="20"/>
          </w:rPr>
          <w:t>:</w:t>
        </w:r>
        <w:r>
          <w:rPr>
            <w:rFonts w:ascii="Times New Roman" w:eastAsia="Times New Roman"/>
            <w:spacing w:val="27"/>
            <w:sz w:val="20"/>
          </w:rPr>
          <w:t> </w:t>
        </w:r>
        <w:r>
          <w:rPr>
            <w:sz w:val="20"/>
          </w:rPr>
          <w:t>重要品种有效波动丨单位：无</w:t>
        </w:r>
        <w:r>
          <w:rPr>
            <w:rFonts w:ascii="Times New Roman" w:eastAsia="Times New Roman"/>
            <w:sz w:val="20"/>
          </w:rPr>
          <w:tab/>
          <w:t>11</w:t>
        </w:r>
      </w:hyperlink>
    </w:p>
    <w:p>
      <w:pPr>
        <w:spacing w:after="0"/>
        <w:jc w:val="left"/>
        <w:rPr>
          <w:rFonts w:ascii="Times New Roman" w:eastAsia="Times New Roman"/>
          <w:sz w:val="20"/>
        </w:rPr>
        <w:sectPr>
          <w:pgSz w:w="11910" w:h="16840"/>
          <w:pgMar w:header="948" w:footer="0" w:top="1460" w:bottom="280" w:left="320" w:right="220"/>
        </w:sectPr>
      </w:pPr>
    </w:p>
    <w:p>
      <w:pPr>
        <w:pStyle w:val="BodyText"/>
        <w:spacing w:before="8"/>
        <w:rPr>
          <w:rFonts w:ascii="Times New Roman"/>
          <w:sz w:val="14"/>
        </w:rPr>
      </w:pPr>
    </w:p>
    <w:p>
      <w:pPr>
        <w:pStyle w:val="Heading1"/>
        <w:spacing w:line="521" w:lineRule="exact"/>
        <w:ind w:left="2920"/>
        <w:jc w:val="both"/>
      </w:pPr>
      <w:bookmarkStart w:name="CTA如何突围" w:id="5"/>
      <w:bookmarkEnd w:id="5"/>
      <w:r>
        <w:rPr>
          <w:b w:val="0"/>
        </w:rPr>
      </w:r>
      <w:bookmarkStart w:name="_bookmark2" w:id="6"/>
      <w:bookmarkEnd w:id="6"/>
      <w:r>
        <w:rPr>
          <w:b w:val="0"/>
        </w:rPr>
      </w:r>
      <w:r>
        <w:rPr>
          <w:w w:val="95"/>
        </w:rPr>
        <w:t>CTA</w:t>
      </w:r>
      <w:r>
        <w:rPr>
          <w:spacing w:val="9"/>
          <w:w w:val="95"/>
        </w:rPr>
        <w:t> 如何突围</w:t>
      </w:r>
    </w:p>
    <w:p>
      <w:pPr>
        <w:pStyle w:val="Heading2"/>
        <w:numPr>
          <w:ilvl w:val="2"/>
          <w:numId w:val="1"/>
        </w:numPr>
        <w:tabs>
          <w:tab w:pos="3340" w:val="left" w:leader="none"/>
        </w:tabs>
        <w:spacing w:line="240" w:lineRule="auto" w:before="197" w:after="0"/>
        <w:ind w:left="3340" w:right="0" w:hanging="389"/>
        <w:jc w:val="left"/>
      </w:pPr>
      <w:bookmarkStart w:name="■CTA基金近一年表现较差" w:id="7"/>
      <w:bookmarkEnd w:id="7"/>
      <w:r>
        <w:rPr>
          <w:b w:val="0"/>
        </w:rPr>
      </w:r>
      <w:bookmarkStart w:name="_bookmark3" w:id="8"/>
      <w:bookmarkEnd w:id="8"/>
      <w:r>
        <w:rPr>
          <w:b w:val="0"/>
        </w:rPr>
      </w:r>
      <w:bookmarkStart w:name="_bookmark3" w:id="9"/>
      <w:bookmarkEnd w:id="9"/>
      <w:r>
        <w:rPr>
          <w:color w:val="C00000"/>
          <w:w w:val="95"/>
        </w:rPr>
        <w:t>C</w:t>
      </w:r>
      <w:r>
        <w:rPr>
          <w:color w:val="C00000"/>
          <w:w w:val="95"/>
        </w:rPr>
        <w:t>TA</w:t>
      </w:r>
      <w:r>
        <w:rPr>
          <w:color w:val="C00000"/>
          <w:spacing w:val="84"/>
        </w:rPr>
        <w:t> </w:t>
      </w:r>
      <w:r>
        <w:rPr>
          <w:color w:val="C00000"/>
          <w:w w:val="95"/>
        </w:rPr>
        <w:t>基金近一年表现较差</w:t>
      </w:r>
    </w:p>
    <w:p>
      <w:pPr>
        <w:pStyle w:val="BodyText"/>
        <w:spacing w:line="331" w:lineRule="auto" w:before="208"/>
        <w:ind w:left="2951" w:right="497"/>
        <w:jc w:val="both"/>
      </w:pPr>
      <w:r>
        <w:rPr>
          <w:spacing w:val="-11"/>
        </w:rPr>
        <w:t>在经历了 </w:t>
      </w:r>
      <w:r>
        <w:rPr/>
        <w:t>2019、2020</w:t>
      </w:r>
      <w:r>
        <w:rPr>
          <w:spacing w:val="-24"/>
        </w:rPr>
        <w:t> 以及 </w:t>
      </w:r>
      <w:r>
        <w:rPr/>
        <w:t>2021</w:t>
      </w:r>
      <w:r>
        <w:rPr>
          <w:spacing w:val="-11"/>
        </w:rPr>
        <w:t> 三年的狂飙突进后，国内 </w:t>
      </w:r>
      <w:r>
        <w:rPr/>
        <w:t>CTA</w:t>
      </w:r>
      <w:r>
        <w:rPr>
          <w:spacing w:val="-33"/>
        </w:rPr>
        <w:t> 从 </w:t>
      </w:r>
      <w:r>
        <w:rPr/>
        <w:t>2022</w:t>
      </w:r>
      <w:r>
        <w:rPr>
          <w:spacing w:val="-31"/>
        </w:rPr>
        <w:t> 年 </w:t>
      </w:r>
      <w:r>
        <w:rPr/>
        <w:t>3</w:t>
      </w:r>
      <w:r>
        <w:rPr>
          <w:spacing w:val="-13"/>
        </w:rPr>
        <w:t> 月回撤</w:t>
      </w:r>
      <w:r>
        <w:rPr>
          <w:spacing w:val="-1"/>
        </w:rPr>
        <w:t>至今已有一年时间，并且统计来看，本轮回撤不管从时间维度还是深浅维度都已经</w:t>
      </w:r>
      <w:r>
        <w:rPr/>
        <w:t>超过历史最大回撤。</w:t>
      </w:r>
    </w:p>
    <w:p>
      <w:pPr>
        <w:spacing w:before="50"/>
        <w:ind w:left="4340" w:right="0" w:firstLine="0"/>
        <w:jc w:val="left"/>
        <w:rPr>
          <w:rFonts w:ascii="Microsoft JhengHei" w:eastAsia="Microsoft JhengHei" w:hint="eastAsia"/>
          <w:b/>
          <w:sz w:val="20"/>
        </w:rPr>
      </w:pPr>
      <w:r>
        <w:rPr/>
        <w:drawing>
          <wp:anchor distT="0" distB="0" distL="0" distR="0" allowOverlap="1" layoutInCell="1" locked="0" behindDoc="0" simplePos="0" relativeHeight="1">
            <wp:simplePos x="0" y="0"/>
            <wp:positionH relativeFrom="page">
              <wp:posOffset>2050292</wp:posOffset>
            </wp:positionH>
            <wp:positionV relativeFrom="paragraph">
              <wp:posOffset>337494</wp:posOffset>
            </wp:positionV>
            <wp:extent cx="5024240" cy="2980944"/>
            <wp:effectExtent l="0" t="0" r="0" b="0"/>
            <wp:wrapTopAndBottom/>
            <wp:docPr id="3" name="image4.jpeg"/>
            <wp:cNvGraphicFramePr>
              <a:graphicFrameLocks noChangeAspect="1"/>
            </wp:cNvGraphicFramePr>
            <a:graphic>
              <a:graphicData uri="http://schemas.openxmlformats.org/drawingml/2006/picture">
                <pic:pic>
                  <pic:nvPicPr>
                    <pic:cNvPr id="4" name="image4.jpeg"/>
                    <pic:cNvPicPr/>
                  </pic:nvPicPr>
                  <pic:blipFill>
                    <a:blip r:embed="rId12" cstate="print"/>
                    <a:stretch>
                      <a:fillRect/>
                    </a:stretch>
                  </pic:blipFill>
                  <pic:spPr>
                    <a:xfrm>
                      <a:off x="0" y="0"/>
                      <a:ext cx="5024240" cy="2980944"/>
                    </a:xfrm>
                    <a:prstGeom prst="rect">
                      <a:avLst/>
                    </a:prstGeom>
                  </pic:spPr>
                </pic:pic>
              </a:graphicData>
            </a:graphic>
          </wp:anchor>
        </w:drawing>
      </w:r>
      <w:r>
        <w:rPr/>
        <w:pict>
          <v:shape style="position:absolute;margin-left:153.699997pt;margin-top:268.660797pt;width:411pt;height:.1pt;mso-position-horizontal-relative:page;mso-position-vertical-relative:paragraph;z-index:-15727616;mso-wrap-distance-left:0;mso-wrap-distance-right:0" coordorigin="3074,5373" coordsize="8220,0" path="m3074,5373l11294,5373e" filled="false" stroked="true" strokeweight=".96pt" strokecolor="#c06363">
            <v:path arrowok="t"/>
            <v:stroke dashstyle="solid"/>
            <w10:wrap type="topAndBottom"/>
          </v:shape>
        </w:pict>
      </w:r>
      <w:r>
        <w:rPr/>
        <w:pict>
          <v:line style="position:absolute;mso-position-horizontal-relative:page;mso-position-vertical-relative:paragraph;z-index:15730176" from="153.699997pt,20.160786pt" to="564.699997pt,20.160786pt" stroked="true" strokeweight=".96pt" strokecolor="#c06363">
            <v:stroke dashstyle="solid"/>
            <w10:wrap type="none"/>
          </v:line>
        </w:pict>
      </w:r>
      <w:r>
        <w:rPr>
          <w:rFonts w:ascii="Microsoft JhengHei" w:eastAsia="Microsoft JhengHei" w:hint="eastAsia"/>
          <w:b/>
          <w:spacing w:val="12"/>
          <w:w w:val="95"/>
          <w:sz w:val="20"/>
        </w:rPr>
        <w:t>图 </w:t>
      </w:r>
      <w:bookmarkStart w:name="_bookmark4" w:id="10"/>
      <w:bookmarkEnd w:id="10"/>
      <w:r>
        <w:rPr>
          <w:rFonts w:ascii="Microsoft JhengHei" w:eastAsia="Microsoft JhengHei" w:hint="eastAsia"/>
          <w:b/>
          <w:w w:val="95"/>
          <w:sz w:val="20"/>
        </w:rPr>
        <w:t>1</w:t>
      </w:r>
      <w:r>
        <w:rPr>
          <w:rFonts w:ascii="Microsoft JhengHei" w:eastAsia="Microsoft JhengHei" w:hint="eastAsia"/>
          <w:b/>
          <w:w w:val="95"/>
          <w:sz w:val="20"/>
        </w:rPr>
        <w:t>:</w:t>
      </w:r>
      <w:r>
        <w:rPr>
          <w:rFonts w:ascii="Microsoft JhengHei" w:eastAsia="Microsoft JhengHei" w:hint="eastAsia"/>
          <w:b/>
          <w:spacing w:val="67"/>
          <w:sz w:val="20"/>
        </w:rPr>
        <w:t> </w:t>
      </w:r>
      <w:r>
        <w:rPr>
          <w:rFonts w:ascii="Microsoft JhengHei" w:eastAsia="Microsoft JhengHei" w:hint="eastAsia"/>
          <w:b/>
          <w:spacing w:val="4"/>
          <w:w w:val="95"/>
          <w:sz w:val="20"/>
        </w:rPr>
        <w:t>国内 </w:t>
      </w:r>
      <w:r>
        <w:rPr>
          <w:rFonts w:ascii="Microsoft JhengHei" w:eastAsia="Microsoft JhengHei" w:hint="eastAsia"/>
          <w:b/>
          <w:w w:val="95"/>
          <w:sz w:val="20"/>
        </w:rPr>
        <w:t>CTA 基金近一年表现不佳丨单位：指数点</w:t>
      </w:r>
      <w:r>
        <w:rPr>
          <w:rFonts w:ascii="Microsoft JhengHei" w:eastAsia="Microsoft JhengHei" w:hint="eastAsia"/>
          <w:b/>
          <w:spacing w:val="69"/>
          <w:sz w:val="20"/>
        </w:rPr>
        <w:t> </w:t>
      </w:r>
      <w:r>
        <w:rPr>
          <w:rFonts w:ascii="Microsoft JhengHei" w:eastAsia="Microsoft JhengHei" w:hint="eastAsia"/>
          <w:b/>
          <w:w w:val="95"/>
          <w:sz w:val="20"/>
        </w:rPr>
        <w:t>&amp;</w:t>
      </w:r>
      <w:r>
        <w:rPr>
          <w:rFonts w:ascii="Microsoft JhengHei" w:eastAsia="Microsoft JhengHei" w:hint="eastAsia"/>
          <w:b/>
          <w:spacing w:val="8"/>
          <w:w w:val="95"/>
          <w:sz w:val="20"/>
        </w:rPr>
        <w:t> %</w:t>
      </w:r>
    </w:p>
    <w:p>
      <w:pPr>
        <w:pStyle w:val="BodyText"/>
        <w:spacing w:before="14"/>
        <w:rPr>
          <w:rFonts w:ascii="Microsoft JhengHei"/>
          <w:b/>
          <w:sz w:val="3"/>
        </w:rPr>
      </w:pPr>
    </w:p>
    <w:p>
      <w:pPr>
        <w:spacing w:before="14"/>
        <w:ind w:left="2862" w:right="0" w:firstLine="0"/>
        <w:jc w:val="left"/>
        <w:rPr>
          <w:sz w:val="16"/>
        </w:rPr>
      </w:pPr>
      <w:r>
        <w:rPr>
          <w:spacing w:val="-3"/>
          <w:w w:val="100"/>
          <w:sz w:val="16"/>
        </w:rPr>
        <w:t>数据来源：</w:t>
      </w:r>
      <w:r>
        <w:rPr>
          <w:w w:val="140"/>
          <w:sz w:val="16"/>
        </w:rPr>
        <w:t>w</w:t>
      </w:r>
      <w:r>
        <w:rPr>
          <w:w w:val="45"/>
          <w:sz w:val="16"/>
        </w:rPr>
        <w:t>i</w:t>
      </w:r>
      <w:r>
        <w:rPr>
          <w:w w:val="110"/>
          <w:sz w:val="16"/>
        </w:rPr>
        <w:t>n</w:t>
      </w:r>
      <w:r>
        <w:rPr>
          <w:spacing w:val="-4"/>
          <w:w w:val="115"/>
          <w:sz w:val="16"/>
        </w:rPr>
        <w:t>d</w:t>
      </w:r>
      <w:r>
        <w:rPr>
          <w:spacing w:val="-3"/>
          <w:w w:val="100"/>
          <w:sz w:val="16"/>
        </w:rPr>
        <w:t>，华泰期货研究院</w:t>
      </w:r>
    </w:p>
    <w:p>
      <w:pPr>
        <w:pStyle w:val="BodyText"/>
        <w:rPr>
          <w:sz w:val="20"/>
        </w:rPr>
      </w:pPr>
    </w:p>
    <w:p>
      <w:pPr>
        <w:pStyle w:val="BodyText"/>
        <w:spacing w:before="9"/>
        <w:rPr>
          <w:sz w:val="14"/>
        </w:rPr>
      </w:pPr>
    </w:p>
    <w:p>
      <w:pPr>
        <w:spacing w:line="364" w:lineRule="exact" w:before="0"/>
        <w:ind w:left="9" w:right="107" w:firstLine="0"/>
        <w:jc w:val="center"/>
        <w:rPr>
          <w:rFonts w:ascii="Microsoft JhengHei" w:eastAsia="Microsoft JhengHei" w:hint="eastAsia"/>
          <w:b/>
          <w:sz w:val="20"/>
        </w:rPr>
      </w:pPr>
      <w:r>
        <w:rPr>
          <w:rFonts w:ascii="Microsoft JhengHei" w:eastAsia="Microsoft JhengHei" w:hint="eastAsia"/>
          <w:b/>
          <w:w w:val="95"/>
          <w:sz w:val="20"/>
        </w:rPr>
        <w:t>表</w:t>
      </w:r>
      <w:r>
        <w:rPr>
          <w:rFonts w:ascii="Microsoft JhengHei" w:eastAsia="Microsoft JhengHei" w:hint="eastAsia"/>
          <w:b/>
          <w:spacing w:val="119"/>
          <w:sz w:val="20"/>
        </w:rPr>
        <w:t> </w:t>
      </w:r>
      <w:r>
        <w:rPr>
          <w:rFonts w:ascii="Microsoft JhengHei" w:eastAsia="Microsoft JhengHei" w:hint="eastAsia"/>
          <w:b/>
          <w:w w:val="95"/>
          <w:sz w:val="20"/>
        </w:rPr>
        <w:t>1</w:t>
      </w:r>
      <w:bookmarkStart w:name="_bookmark5" w:id="11"/>
      <w:bookmarkEnd w:id="11"/>
      <w:r>
        <w:rPr>
          <w:rFonts w:ascii="Microsoft JhengHei" w:eastAsia="Microsoft JhengHei" w:hint="eastAsia"/>
          <w:b/>
          <w:spacing w:val="22"/>
          <w:w w:val="95"/>
          <w:sz w:val="20"/>
        </w:rPr>
        <w:t>: </w:t>
      </w:r>
      <w:r>
        <w:rPr>
          <w:rFonts w:ascii="Microsoft JhengHei" w:eastAsia="Microsoft JhengHei" w:hint="eastAsia"/>
          <w:b/>
          <w:w w:val="95"/>
          <w:sz w:val="20"/>
        </w:rPr>
        <w:t>CTA 基金指数历史回撤情况（按回撤持续时间降序排序）丨单位：%</w:t>
      </w:r>
    </w:p>
    <w:p>
      <w:pPr>
        <w:pStyle w:val="BodyText"/>
        <w:rPr>
          <w:rFonts w:ascii="Microsoft JhengHei"/>
          <w:b/>
          <w:sz w:val="17"/>
        </w:rPr>
      </w:pPr>
    </w:p>
    <w:tbl>
      <w:tblPr>
        <w:tblW w:w="0" w:type="auto"/>
        <w:jc w:val="left"/>
        <w:tblInd w:w="2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35"/>
        <w:gridCol w:w="2440"/>
        <w:gridCol w:w="2759"/>
        <w:gridCol w:w="2446"/>
      </w:tblGrid>
      <w:tr>
        <w:trPr>
          <w:trHeight w:val="385" w:hRule="atLeast"/>
        </w:trPr>
        <w:tc>
          <w:tcPr>
            <w:tcW w:w="3035" w:type="dxa"/>
            <w:tcBorders>
              <w:bottom w:val="single" w:sz="12" w:space="0" w:color="DB0011"/>
            </w:tcBorders>
          </w:tcPr>
          <w:p>
            <w:pPr>
              <w:pStyle w:val="TableParagraph"/>
              <w:spacing w:line="263" w:lineRule="exact" w:before="0"/>
              <w:ind w:left="1050" w:right="892"/>
              <w:rPr>
                <w:rFonts w:ascii="Microsoft JhengHei" w:eastAsia="Microsoft JhengHei" w:hint="eastAsia"/>
                <w:b/>
                <w:sz w:val="20"/>
              </w:rPr>
            </w:pPr>
            <w:r>
              <w:rPr>
                <w:rFonts w:ascii="Microsoft JhengHei" w:eastAsia="Microsoft JhengHei" w:hint="eastAsia"/>
                <w:b/>
                <w:sz w:val="20"/>
              </w:rPr>
              <w:t>开始日期</w:t>
            </w:r>
          </w:p>
        </w:tc>
        <w:tc>
          <w:tcPr>
            <w:tcW w:w="2440" w:type="dxa"/>
            <w:tcBorders>
              <w:bottom w:val="single" w:sz="12" w:space="0" w:color="DB0011"/>
            </w:tcBorders>
          </w:tcPr>
          <w:p>
            <w:pPr>
              <w:pStyle w:val="TableParagraph"/>
              <w:spacing w:line="263" w:lineRule="exact" w:before="0"/>
              <w:ind w:right="599"/>
              <w:jc w:val="right"/>
              <w:rPr>
                <w:rFonts w:ascii="Microsoft JhengHei" w:eastAsia="Microsoft JhengHei" w:hint="eastAsia"/>
                <w:b/>
                <w:sz w:val="20"/>
              </w:rPr>
            </w:pPr>
            <w:r>
              <w:rPr>
                <w:rFonts w:ascii="Microsoft JhengHei" w:eastAsia="Microsoft JhengHei" w:hint="eastAsia"/>
                <w:b/>
                <w:sz w:val="20"/>
              </w:rPr>
              <w:t>结束日期</w:t>
            </w:r>
          </w:p>
        </w:tc>
        <w:tc>
          <w:tcPr>
            <w:tcW w:w="2759" w:type="dxa"/>
            <w:tcBorders>
              <w:bottom w:val="single" w:sz="12" w:space="0" w:color="DB0011"/>
            </w:tcBorders>
          </w:tcPr>
          <w:p>
            <w:pPr>
              <w:pStyle w:val="TableParagraph"/>
              <w:spacing w:line="263" w:lineRule="exact" w:before="0"/>
              <w:ind w:left="461" w:right="458"/>
              <w:rPr>
                <w:rFonts w:ascii="Microsoft JhengHei" w:eastAsia="Microsoft JhengHei" w:hint="eastAsia"/>
                <w:b/>
                <w:sz w:val="20"/>
              </w:rPr>
            </w:pPr>
            <w:r>
              <w:rPr>
                <w:rFonts w:ascii="Microsoft JhengHei" w:eastAsia="Microsoft JhengHei" w:hint="eastAsia"/>
                <w:b/>
                <w:sz w:val="20"/>
              </w:rPr>
              <w:t>持续时间（交易日）</w:t>
            </w:r>
          </w:p>
        </w:tc>
        <w:tc>
          <w:tcPr>
            <w:tcW w:w="2446" w:type="dxa"/>
            <w:tcBorders>
              <w:bottom w:val="single" w:sz="12" w:space="0" w:color="DB0011"/>
            </w:tcBorders>
          </w:tcPr>
          <w:p>
            <w:pPr>
              <w:pStyle w:val="TableParagraph"/>
              <w:spacing w:line="263" w:lineRule="exact" w:before="0"/>
              <w:ind w:left="463" w:right="742"/>
              <w:rPr>
                <w:rFonts w:ascii="Microsoft JhengHei" w:eastAsia="Microsoft JhengHei" w:hint="eastAsia"/>
                <w:b/>
                <w:sz w:val="20"/>
              </w:rPr>
            </w:pPr>
            <w:r>
              <w:rPr>
                <w:rFonts w:ascii="Microsoft JhengHei" w:eastAsia="Microsoft JhengHei" w:hint="eastAsia"/>
                <w:b/>
                <w:sz w:val="20"/>
              </w:rPr>
              <w:t>期间最大回撤</w:t>
            </w:r>
          </w:p>
        </w:tc>
      </w:tr>
      <w:tr>
        <w:trPr>
          <w:trHeight w:val="457" w:hRule="atLeast"/>
        </w:trPr>
        <w:tc>
          <w:tcPr>
            <w:tcW w:w="3035" w:type="dxa"/>
            <w:tcBorders>
              <w:top w:val="single" w:sz="12" w:space="0" w:color="DB0011"/>
            </w:tcBorders>
            <w:shd w:val="clear" w:color="auto" w:fill="F1F1F1"/>
          </w:tcPr>
          <w:p>
            <w:pPr>
              <w:pStyle w:val="TableParagraph"/>
              <w:spacing w:before="8"/>
              <w:ind w:left="1050" w:right="891"/>
              <w:rPr>
                <w:rFonts w:ascii="Microsoft JhengHei"/>
                <w:b/>
                <w:sz w:val="21"/>
              </w:rPr>
            </w:pPr>
            <w:r>
              <w:rPr>
                <w:rFonts w:ascii="Microsoft JhengHei"/>
                <w:b/>
                <w:color w:val="C00000"/>
                <w:sz w:val="21"/>
              </w:rPr>
              <w:t>2022/3/9</w:t>
            </w:r>
          </w:p>
        </w:tc>
        <w:tc>
          <w:tcPr>
            <w:tcW w:w="2440" w:type="dxa"/>
            <w:tcBorders>
              <w:top w:val="single" w:sz="12" w:space="0" w:color="DB0011"/>
            </w:tcBorders>
            <w:shd w:val="clear" w:color="auto" w:fill="F1F1F1"/>
          </w:tcPr>
          <w:p>
            <w:pPr>
              <w:pStyle w:val="TableParagraph"/>
              <w:spacing w:before="8"/>
              <w:ind w:left="1231"/>
              <w:jc w:val="left"/>
              <w:rPr>
                <w:rFonts w:ascii="Microsoft JhengHei" w:eastAsia="Microsoft JhengHei" w:hint="eastAsia"/>
                <w:b/>
                <w:sz w:val="21"/>
              </w:rPr>
            </w:pPr>
            <w:r>
              <w:rPr>
                <w:rFonts w:ascii="Microsoft JhengHei" w:eastAsia="Microsoft JhengHei" w:hint="eastAsia"/>
                <w:b/>
                <w:color w:val="C00000"/>
                <w:sz w:val="21"/>
              </w:rPr>
              <w:t>至今</w:t>
            </w:r>
          </w:p>
        </w:tc>
        <w:tc>
          <w:tcPr>
            <w:tcW w:w="2759" w:type="dxa"/>
            <w:tcBorders>
              <w:top w:val="single" w:sz="12" w:space="0" w:color="DB0011"/>
            </w:tcBorders>
            <w:shd w:val="clear" w:color="auto" w:fill="F1F1F1"/>
          </w:tcPr>
          <w:p>
            <w:pPr>
              <w:pStyle w:val="TableParagraph"/>
              <w:spacing w:before="8"/>
              <w:ind w:left="460" w:right="458"/>
              <w:rPr>
                <w:rFonts w:ascii="Microsoft JhengHei"/>
                <w:b/>
                <w:sz w:val="21"/>
              </w:rPr>
            </w:pPr>
            <w:r>
              <w:rPr>
                <w:rFonts w:ascii="Microsoft JhengHei"/>
                <w:b/>
                <w:color w:val="C00000"/>
                <w:sz w:val="21"/>
              </w:rPr>
              <w:t>250+</w:t>
            </w:r>
          </w:p>
        </w:tc>
        <w:tc>
          <w:tcPr>
            <w:tcW w:w="2446" w:type="dxa"/>
            <w:tcBorders>
              <w:top w:val="single" w:sz="12" w:space="0" w:color="DB0011"/>
            </w:tcBorders>
            <w:shd w:val="clear" w:color="auto" w:fill="F1F1F1"/>
          </w:tcPr>
          <w:p>
            <w:pPr>
              <w:pStyle w:val="TableParagraph"/>
              <w:spacing w:before="8"/>
              <w:ind w:left="462" w:right="742"/>
              <w:rPr>
                <w:rFonts w:ascii="Microsoft JhengHei"/>
                <w:b/>
                <w:sz w:val="21"/>
              </w:rPr>
            </w:pPr>
            <w:r>
              <w:rPr>
                <w:rFonts w:ascii="Microsoft JhengHei"/>
                <w:b/>
                <w:color w:val="C00000"/>
                <w:spacing w:val="1"/>
                <w:w w:val="114"/>
                <w:sz w:val="21"/>
              </w:rPr>
              <w:t>-</w:t>
            </w:r>
            <w:r>
              <w:rPr>
                <w:rFonts w:ascii="Microsoft JhengHei"/>
                <w:b/>
                <w:color w:val="C00000"/>
                <w:spacing w:val="-1"/>
                <w:w w:val="92"/>
                <w:sz w:val="21"/>
              </w:rPr>
              <w:t>6</w:t>
            </w:r>
            <w:r>
              <w:rPr>
                <w:rFonts w:ascii="Microsoft JhengHei"/>
                <w:b/>
                <w:color w:val="C00000"/>
                <w:spacing w:val="-1"/>
                <w:w w:val="94"/>
                <w:sz w:val="21"/>
              </w:rPr>
              <w:t>.</w:t>
            </w:r>
            <w:r>
              <w:rPr>
                <w:rFonts w:ascii="Microsoft JhengHei"/>
                <w:b/>
                <w:color w:val="C00000"/>
                <w:spacing w:val="-1"/>
                <w:w w:val="92"/>
                <w:sz w:val="21"/>
              </w:rPr>
              <w:t>5</w:t>
            </w:r>
            <w:r>
              <w:rPr>
                <w:rFonts w:ascii="Microsoft JhengHei"/>
                <w:b/>
                <w:color w:val="C00000"/>
                <w:spacing w:val="1"/>
                <w:w w:val="55"/>
                <w:sz w:val="21"/>
              </w:rPr>
              <w:t>%</w:t>
            </w:r>
            <w:r>
              <w:rPr>
                <w:rFonts w:ascii="Microsoft JhengHei"/>
                <w:b/>
                <w:color w:val="C00000"/>
                <w:w w:val="92"/>
                <w:sz w:val="21"/>
              </w:rPr>
              <w:t>+</w:t>
            </w:r>
          </w:p>
        </w:tc>
      </w:tr>
      <w:tr>
        <w:trPr>
          <w:trHeight w:val="449" w:hRule="atLeast"/>
        </w:trPr>
        <w:tc>
          <w:tcPr>
            <w:tcW w:w="3035" w:type="dxa"/>
          </w:tcPr>
          <w:p>
            <w:pPr>
              <w:pStyle w:val="TableParagraph"/>
              <w:spacing w:before="74"/>
              <w:ind w:left="1050" w:right="895"/>
              <w:rPr>
                <w:rFonts w:ascii="SimSun"/>
                <w:sz w:val="21"/>
              </w:rPr>
            </w:pPr>
            <w:r>
              <w:rPr>
                <w:rFonts w:ascii="SimSun"/>
                <w:sz w:val="21"/>
              </w:rPr>
              <w:t>2016/11/11</w:t>
            </w:r>
          </w:p>
        </w:tc>
        <w:tc>
          <w:tcPr>
            <w:tcW w:w="2440" w:type="dxa"/>
          </w:tcPr>
          <w:p>
            <w:pPr>
              <w:pStyle w:val="TableParagraph"/>
              <w:spacing w:before="74"/>
              <w:ind w:right="587"/>
              <w:jc w:val="right"/>
              <w:rPr>
                <w:rFonts w:ascii="SimSun"/>
                <w:sz w:val="21"/>
              </w:rPr>
            </w:pPr>
            <w:r>
              <w:rPr>
                <w:rFonts w:ascii="SimSun"/>
                <w:sz w:val="21"/>
              </w:rPr>
              <w:t>2017/8/4</w:t>
            </w:r>
          </w:p>
        </w:tc>
        <w:tc>
          <w:tcPr>
            <w:tcW w:w="2759" w:type="dxa"/>
          </w:tcPr>
          <w:p>
            <w:pPr>
              <w:pStyle w:val="TableParagraph"/>
              <w:spacing w:before="4"/>
              <w:ind w:left="460" w:right="458"/>
              <w:rPr>
                <w:rFonts w:ascii="Microsoft JhengHei"/>
                <w:b/>
                <w:sz w:val="21"/>
              </w:rPr>
            </w:pPr>
            <w:r>
              <w:rPr>
                <w:rFonts w:ascii="Microsoft JhengHei"/>
                <w:b/>
                <w:color w:val="C00000"/>
                <w:sz w:val="21"/>
              </w:rPr>
              <w:t>179</w:t>
            </w:r>
          </w:p>
        </w:tc>
        <w:tc>
          <w:tcPr>
            <w:tcW w:w="2446" w:type="dxa"/>
          </w:tcPr>
          <w:p>
            <w:pPr>
              <w:pStyle w:val="TableParagraph"/>
              <w:spacing w:before="74"/>
              <w:ind w:left="463" w:right="740"/>
              <w:rPr>
                <w:rFonts w:ascii="SimSun"/>
                <w:sz w:val="21"/>
              </w:rPr>
            </w:pPr>
            <w:r>
              <w:rPr>
                <w:rFonts w:ascii="SimSun"/>
                <w:spacing w:val="1"/>
                <w:w w:val="99"/>
                <w:sz w:val="21"/>
              </w:rPr>
              <w:t>-</w:t>
            </w:r>
            <w:r>
              <w:rPr>
                <w:rFonts w:ascii="SimSun"/>
                <w:w w:val="104"/>
                <w:sz w:val="21"/>
              </w:rPr>
              <w:t>3</w:t>
            </w:r>
            <w:r>
              <w:rPr>
                <w:rFonts w:ascii="SimSun"/>
                <w:spacing w:val="-1"/>
                <w:w w:val="43"/>
                <w:sz w:val="21"/>
              </w:rPr>
              <w:t>.</w:t>
            </w:r>
            <w:r>
              <w:rPr>
                <w:rFonts w:ascii="SimSun"/>
                <w:w w:val="104"/>
                <w:sz w:val="21"/>
              </w:rPr>
              <w:t>81</w:t>
            </w:r>
            <w:r>
              <w:rPr>
                <w:rFonts w:ascii="SimSun"/>
                <w:w w:val="99"/>
                <w:sz w:val="21"/>
              </w:rPr>
              <w:t>%</w:t>
            </w:r>
          </w:p>
        </w:tc>
      </w:tr>
      <w:tr>
        <w:trPr>
          <w:trHeight w:val="459" w:hRule="atLeast"/>
        </w:trPr>
        <w:tc>
          <w:tcPr>
            <w:tcW w:w="3035" w:type="dxa"/>
            <w:shd w:val="clear" w:color="auto" w:fill="F1F1F1"/>
          </w:tcPr>
          <w:p>
            <w:pPr>
              <w:pStyle w:val="TableParagraph"/>
              <w:spacing w:before="81"/>
              <w:ind w:left="1050" w:right="895"/>
              <w:rPr>
                <w:rFonts w:ascii="SimSun"/>
                <w:sz w:val="21"/>
              </w:rPr>
            </w:pPr>
            <w:r>
              <w:rPr>
                <w:rFonts w:ascii="SimSun"/>
                <w:sz w:val="21"/>
              </w:rPr>
              <w:t>2017/12/5</w:t>
            </w:r>
          </w:p>
        </w:tc>
        <w:tc>
          <w:tcPr>
            <w:tcW w:w="2440" w:type="dxa"/>
            <w:shd w:val="clear" w:color="auto" w:fill="F1F1F1"/>
          </w:tcPr>
          <w:p>
            <w:pPr>
              <w:pStyle w:val="TableParagraph"/>
              <w:spacing w:before="81"/>
              <w:ind w:right="587"/>
              <w:jc w:val="right"/>
              <w:rPr>
                <w:rFonts w:ascii="SimSun"/>
                <w:sz w:val="21"/>
              </w:rPr>
            </w:pPr>
            <w:r>
              <w:rPr>
                <w:rFonts w:ascii="SimSun"/>
                <w:sz w:val="21"/>
              </w:rPr>
              <w:t>2018/8/3</w:t>
            </w:r>
          </w:p>
        </w:tc>
        <w:tc>
          <w:tcPr>
            <w:tcW w:w="2759" w:type="dxa"/>
            <w:shd w:val="clear" w:color="auto" w:fill="F1F1F1"/>
          </w:tcPr>
          <w:p>
            <w:pPr>
              <w:pStyle w:val="TableParagraph"/>
              <w:spacing w:before="81"/>
              <w:ind w:left="461" w:right="458"/>
              <w:rPr>
                <w:rFonts w:ascii="SimSun"/>
                <w:sz w:val="21"/>
              </w:rPr>
            </w:pPr>
            <w:r>
              <w:rPr>
                <w:rFonts w:ascii="SimSun"/>
                <w:w w:val="105"/>
                <w:sz w:val="21"/>
              </w:rPr>
              <w:t>162</w:t>
            </w:r>
          </w:p>
        </w:tc>
        <w:tc>
          <w:tcPr>
            <w:tcW w:w="2446" w:type="dxa"/>
            <w:shd w:val="clear" w:color="auto" w:fill="F1F1F1"/>
          </w:tcPr>
          <w:p>
            <w:pPr>
              <w:pStyle w:val="TableParagraph"/>
              <w:spacing w:before="81"/>
              <w:ind w:left="463" w:right="740"/>
              <w:rPr>
                <w:rFonts w:ascii="SimSun"/>
                <w:sz w:val="21"/>
              </w:rPr>
            </w:pPr>
            <w:r>
              <w:rPr>
                <w:rFonts w:ascii="SimSun"/>
                <w:spacing w:val="1"/>
                <w:w w:val="99"/>
                <w:sz w:val="21"/>
              </w:rPr>
              <w:t>-</w:t>
            </w:r>
            <w:r>
              <w:rPr>
                <w:rFonts w:ascii="SimSun"/>
                <w:w w:val="104"/>
                <w:sz w:val="21"/>
              </w:rPr>
              <w:t>3</w:t>
            </w:r>
            <w:r>
              <w:rPr>
                <w:rFonts w:ascii="SimSun"/>
                <w:spacing w:val="-1"/>
                <w:w w:val="43"/>
                <w:sz w:val="21"/>
              </w:rPr>
              <w:t>.</w:t>
            </w:r>
            <w:r>
              <w:rPr>
                <w:rFonts w:ascii="SimSun"/>
                <w:w w:val="104"/>
                <w:sz w:val="21"/>
              </w:rPr>
              <w:t>32</w:t>
            </w:r>
            <w:r>
              <w:rPr>
                <w:rFonts w:ascii="SimSun"/>
                <w:w w:val="99"/>
                <w:sz w:val="21"/>
              </w:rPr>
              <w:t>%</w:t>
            </w:r>
          </w:p>
        </w:tc>
      </w:tr>
      <w:tr>
        <w:trPr>
          <w:trHeight w:val="448" w:hRule="atLeast"/>
        </w:trPr>
        <w:tc>
          <w:tcPr>
            <w:tcW w:w="3035" w:type="dxa"/>
          </w:tcPr>
          <w:p>
            <w:pPr>
              <w:pStyle w:val="TableParagraph"/>
              <w:spacing w:before="75"/>
              <w:ind w:left="1050" w:right="895"/>
              <w:rPr>
                <w:rFonts w:ascii="SimSun"/>
                <w:sz w:val="21"/>
              </w:rPr>
            </w:pPr>
            <w:r>
              <w:rPr>
                <w:rFonts w:ascii="SimSun"/>
                <w:sz w:val="21"/>
              </w:rPr>
              <w:t>2015/12/31</w:t>
            </w:r>
          </w:p>
        </w:tc>
        <w:tc>
          <w:tcPr>
            <w:tcW w:w="2440" w:type="dxa"/>
          </w:tcPr>
          <w:p>
            <w:pPr>
              <w:pStyle w:val="TableParagraph"/>
              <w:spacing w:before="75"/>
              <w:ind w:right="532"/>
              <w:jc w:val="right"/>
              <w:rPr>
                <w:rFonts w:ascii="SimSun"/>
                <w:sz w:val="21"/>
              </w:rPr>
            </w:pPr>
            <w:r>
              <w:rPr>
                <w:rFonts w:ascii="SimSun"/>
                <w:sz w:val="21"/>
              </w:rPr>
              <w:t>2016/5/20</w:t>
            </w:r>
          </w:p>
        </w:tc>
        <w:tc>
          <w:tcPr>
            <w:tcW w:w="2759" w:type="dxa"/>
          </w:tcPr>
          <w:p>
            <w:pPr>
              <w:pStyle w:val="TableParagraph"/>
              <w:spacing w:before="75"/>
              <w:ind w:left="461" w:right="458"/>
              <w:rPr>
                <w:rFonts w:ascii="SimSun"/>
                <w:sz w:val="21"/>
              </w:rPr>
            </w:pPr>
            <w:r>
              <w:rPr>
                <w:rFonts w:ascii="SimSun"/>
                <w:w w:val="105"/>
                <w:sz w:val="21"/>
              </w:rPr>
              <w:t>93</w:t>
            </w:r>
          </w:p>
        </w:tc>
        <w:tc>
          <w:tcPr>
            <w:tcW w:w="2446" w:type="dxa"/>
          </w:tcPr>
          <w:p>
            <w:pPr>
              <w:pStyle w:val="TableParagraph"/>
              <w:spacing w:before="75"/>
              <w:ind w:left="463" w:right="740"/>
              <w:rPr>
                <w:rFonts w:ascii="SimSun"/>
                <w:sz w:val="21"/>
              </w:rPr>
            </w:pPr>
            <w:r>
              <w:rPr>
                <w:rFonts w:ascii="SimSun"/>
                <w:spacing w:val="1"/>
                <w:w w:val="99"/>
                <w:sz w:val="21"/>
              </w:rPr>
              <w:t>-</w:t>
            </w:r>
            <w:r>
              <w:rPr>
                <w:rFonts w:ascii="SimSun"/>
                <w:w w:val="104"/>
                <w:sz w:val="21"/>
              </w:rPr>
              <w:t>4</w:t>
            </w:r>
            <w:r>
              <w:rPr>
                <w:rFonts w:ascii="SimSun"/>
                <w:spacing w:val="-1"/>
                <w:w w:val="43"/>
                <w:sz w:val="21"/>
              </w:rPr>
              <w:t>.</w:t>
            </w:r>
            <w:r>
              <w:rPr>
                <w:rFonts w:ascii="SimSun"/>
                <w:w w:val="104"/>
                <w:sz w:val="21"/>
              </w:rPr>
              <w:t>17</w:t>
            </w:r>
            <w:r>
              <w:rPr>
                <w:rFonts w:ascii="SimSun"/>
                <w:w w:val="99"/>
                <w:sz w:val="21"/>
              </w:rPr>
              <w:t>%</w:t>
            </w:r>
          </w:p>
        </w:tc>
      </w:tr>
      <w:tr>
        <w:trPr>
          <w:trHeight w:val="459" w:hRule="atLeast"/>
        </w:trPr>
        <w:tc>
          <w:tcPr>
            <w:tcW w:w="3035" w:type="dxa"/>
            <w:shd w:val="clear" w:color="auto" w:fill="F0F0F0"/>
          </w:tcPr>
          <w:p>
            <w:pPr>
              <w:pStyle w:val="TableParagraph"/>
              <w:spacing w:before="80"/>
              <w:ind w:left="1050" w:right="895"/>
              <w:rPr>
                <w:rFonts w:ascii="SimSun"/>
                <w:sz w:val="21"/>
              </w:rPr>
            </w:pPr>
            <w:r>
              <w:rPr>
                <w:rFonts w:ascii="SimSun"/>
                <w:sz w:val="21"/>
              </w:rPr>
              <w:t>2021/10/19</w:t>
            </w:r>
          </w:p>
        </w:tc>
        <w:tc>
          <w:tcPr>
            <w:tcW w:w="2440" w:type="dxa"/>
            <w:shd w:val="clear" w:color="auto" w:fill="F0F0F0"/>
          </w:tcPr>
          <w:p>
            <w:pPr>
              <w:pStyle w:val="TableParagraph"/>
              <w:spacing w:before="80"/>
              <w:ind w:right="587"/>
              <w:jc w:val="right"/>
              <w:rPr>
                <w:rFonts w:ascii="SimSun"/>
                <w:sz w:val="21"/>
              </w:rPr>
            </w:pPr>
            <w:r>
              <w:rPr>
                <w:rFonts w:ascii="SimSun"/>
                <w:sz w:val="21"/>
              </w:rPr>
              <w:t>2022/3/2</w:t>
            </w:r>
          </w:p>
        </w:tc>
        <w:tc>
          <w:tcPr>
            <w:tcW w:w="2759" w:type="dxa"/>
            <w:shd w:val="clear" w:color="auto" w:fill="F0F0F0"/>
          </w:tcPr>
          <w:p>
            <w:pPr>
              <w:pStyle w:val="TableParagraph"/>
              <w:spacing w:before="80"/>
              <w:ind w:left="461" w:right="458"/>
              <w:rPr>
                <w:rFonts w:ascii="SimSun"/>
                <w:sz w:val="21"/>
              </w:rPr>
            </w:pPr>
            <w:r>
              <w:rPr>
                <w:rFonts w:ascii="SimSun"/>
                <w:w w:val="105"/>
                <w:sz w:val="21"/>
              </w:rPr>
              <w:t>90</w:t>
            </w:r>
          </w:p>
        </w:tc>
        <w:tc>
          <w:tcPr>
            <w:tcW w:w="2446" w:type="dxa"/>
            <w:shd w:val="clear" w:color="auto" w:fill="F0F0F0"/>
          </w:tcPr>
          <w:p>
            <w:pPr>
              <w:pStyle w:val="TableParagraph"/>
              <w:spacing w:before="80"/>
              <w:ind w:left="463" w:right="740"/>
              <w:rPr>
                <w:rFonts w:ascii="SimSun"/>
                <w:sz w:val="21"/>
              </w:rPr>
            </w:pPr>
            <w:r>
              <w:rPr>
                <w:rFonts w:ascii="SimSun"/>
                <w:spacing w:val="1"/>
                <w:w w:val="99"/>
                <w:sz w:val="21"/>
              </w:rPr>
              <w:t>-</w:t>
            </w:r>
            <w:r>
              <w:rPr>
                <w:rFonts w:ascii="SimSun"/>
                <w:w w:val="104"/>
                <w:sz w:val="21"/>
              </w:rPr>
              <w:t>4</w:t>
            </w:r>
            <w:r>
              <w:rPr>
                <w:rFonts w:ascii="SimSun"/>
                <w:spacing w:val="-1"/>
                <w:w w:val="43"/>
                <w:sz w:val="21"/>
              </w:rPr>
              <w:t>.</w:t>
            </w:r>
            <w:r>
              <w:rPr>
                <w:rFonts w:ascii="SimSun"/>
                <w:w w:val="104"/>
                <w:sz w:val="21"/>
              </w:rPr>
              <w:t>11</w:t>
            </w:r>
            <w:r>
              <w:rPr>
                <w:rFonts w:ascii="SimSun"/>
                <w:w w:val="99"/>
                <w:sz w:val="21"/>
              </w:rPr>
              <w:t>%</w:t>
            </w:r>
          </w:p>
        </w:tc>
      </w:tr>
      <w:tr>
        <w:trPr>
          <w:trHeight w:val="448" w:hRule="atLeast"/>
        </w:trPr>
        <w:tc>
          <w:tcPr>
            <w:tcW w:w="3035" w:type="dxa"/>
          </w:tcPr>
          <w:p>
            <w:pPr>
              <w:pStyle w:val="TableParagraph"/>
              <w:spacing w:before="74"/>
              <w:ind w:left="1050" w:right="895"/>
              <w:rPr>
                <w:rFonts w:ascii="SimSun"/>
                <w:sz w:val="21"/>
              </w:rPr>
            </w:pPr>
            <w:r>
              <w:rPr>
                <w:rFonts w:ascii="SimSun"/>
                <w:sz w:val="21"/>
              </w:rPr>
              <w:t>2021/5/12</w:t>
            </w:r>
          </w:p>
        </w:tc>
        <w:tc>
          <w:tcPr>
            <w:tcW w:w="2440" w:type="dxa"/>
          </w:tcPr>
          <w:p>
            <w:pPr>
              <w:pStyle w:val="TableParagraph"/>
              <w:spacing w:before="74"/>
              <w:ind w:right="587"/>
              <w:jc w:val="right"/>
              <w:rPr>
                <w:rFonts w:ascii="SimSun"/>
                <w:sz w:val="21"/>
              </w:rPr>
            </w:pPr>
            <w:r>
              <w:rPr>
                <w:rFonts w:ascii="SimSun"/>
                <w:sz w:val="21"/>
              </w:rPr>
              <w:t>2021/9/8</w:t>
            </w:r>
          </w:p>
        </w:tc>
        <w:tc>
          <w:tcPr>
            <w:tcW w:w="2759" w:type="dxa"/>
          </w:tcPr>
          <w:p>
            <w:pPr>
              <w:pStyle w:val="TableParagraph"/>
              <w:spacing w:before="74"/>
              <w:ind w:left="461" w:right="458"/>
              <w:rPr>
                <w:rFonts w:ascii="SimSun"/>
                <w:sz w:val="21"/>
              </w:rPr>
            </w:pPr>
            <w:r>
              <w:rPr>
                <w:rFonts w:ascii="SimSun"/>
                <w:w w:val="105"/>
                <w:sz w:val="21"/>
              </w:rPr>
              <w:t>84</w:t>
            </w:r>
          </w:p>
        </w:tc>
        <w:tc>
          <w:tcPr>
            <w:tcW w:w="2446" w:type="dxa"/>
          </w:tcPr>
          <w:p>
            <w:pPr>
              <w:pStyle w:val="TableParagraph"/>
              <w:spacing w:before="5"/>
              <w:ind w:left="462" w:right="742"/>
              <w:rPr>
                <w:rFonts w:ascii="Microsoft JhengHei"/>
                <w:b/>
                <w:sz w:val="21"/>
              </w:rPr>
            </w:pPr>
            <w:r>
              <w:rPr>
                <w:rFonts w:ascii="Microsoft JhengHei"/>
                <w:b/>
                <w:color w:val="C00000"/>
                <w:spacing w:val="1"/>
                <w:w w:val="114"/>
                <w:sz w:val="21"/>
              </w:rPr>
              <w:t>-</w:t>
            </w:r>
            <w:r>
              <w:rPr>
                <w:rFonts w:ascii="Microsoft JhengHei"/>
                <w:b/>
                <w:color w:val="C00000"/>
                <w:spacing w:val="-1"/>
                <w:w w:val="92"/>
                <w:sz w:val="21"/>
              </w:rPr>
              <w:t>5</w:t>
            </w:r>
            <w:r>
              <w:rPr>
                <w:rFonts w:ascii="Microsoft JhengHei"/>
                <w:b/>
                <w:color w:val="C00000"/>
                <w:spacing w:val="-1"/>
                <w:w w:val="94"/>
                <w:sz w:val="21"/>
              </w:rPr>
              <w:t>.</w:t>
            </w:r>
            <w:r>
              <w:rPr>
                <w:rFonts w:ascii="Microsoft JhengHei"/>
                <w:b/>
                <w:color w:val="C00000"/>
                <w:spacing w:val="1"/>
                <w:w w:val="92"/>
                <w:sz w:val="21"/>
              </w:rPr>
              <w:t>5</w:t>
            </w:r>
            <w:r>
              <w:rPr>
                <w:rFonts w:ascii="Microsoft JhengHei"/>
                <w:b/>
                <w:color w:val="C00000"/>
                <w:spacing w:val="-1"/>
                <w:w w:val="92"/>
                <w:sz w:val="21"/>
              </w:rPr>
              <w:t>9</w:t>
            </w:r>
            <w:r>
              <w:rPr>
                <w:rFonts w:ascii="Microsoft JhengHei"/>
                <w:b/>
                <w:color w:val="C00000"/>
                <w:w w:val="55"/>
                <w:sz w:val="21"/>
              </w:rPr>
              <w:t>%</w:t>
            </w:r>
          </w:p>
        </w:tc>
      </w:tr>
      <w:tr>
        <w:trPr>
          <w:trHeight w:val="459" w:hRule="atLeast"/>
        </w:trPr>
        <w:tc>
          <w:tcPr>
            <w:tcW w:w="3035" w:type="dxa"/>
            <w:shd w:val="clear" w:color="auto" w:fill="F0F0F0"/>
          </w:tcPr>
          <w:p>
            <w:pPr>
              <w:pStyle w:val="TableParagraph"/>
              <w:spacing w:before="79"/>
              <w:ind w:left="1050" w:right="895"/>
              <w:rPr>
                <w:rFonts w:ascii="SimSun"/>
                <w:sz w:val="21"/>
              </w:rPr>
            </w:pPr>
            <w:r>
              <w:rPr>
                <w:rFonts w:ascii="SimSun"/>
                <w:sz w:val="21"/>
              </w:rPr>
              <w:t>2016/7/4</w:t>
            </w:r>
          </w:p>
        </w:tc>
        <w:tc>
          <w:tcPr>
            <w:tcW w:w="2440" w:type="dxa"/>
            <w:shd w:val="clear" w:color="auto" w:fill="F0F0F0"/>
          </w:tcPr>
          <w:p>
            <w:pPr>
              <w:pStyle w:val="TableParagraph"/>
              <w:spacing w:before="79"/>
              <w:ind w:right="476"/>
              <w:jc w:val="right"/>
              <w:rPr>
                <w:rFonts w:ascii="SimSun"/>
                <w:sz w:val="21"/>
              </w:rPr>
            </w:pPr>
            <w:r>
              <w:rPr>
                <w:rFonts w:ascii="SimSun"/>
                <w:sz w:val="21"/>
              </w:rPr>
              <w:t>2016/10/24</w:t>
            </w:r>
          </w:p>
        </w:tc>
        <w:tc>
          <w:tcPr>
            <w:tcW w:w="2759" w:type="dxa"/>
            <w:shd w:val="clear" w:color="auto" w:fill="F0F0F0"/>
          </w:tcPr>
          <w:p>
            <w:pPr>
              <w:pStyle w:val="TableParagraph"/>
              <w:spacing w:before="79"/>
              <w:ind w:left="461" w:right="458"/>
              <w:rPr>
                <w:rFonts w:ascii="SimSun"/>
                <w:sz w:val="21"/>
              </w:rPr>
            </w:pPr>
            <w:r>
              <w:rPr>
                <w:rFonts w:ascii="SimSun"/>
                <w:w w:val="105"/>
                <w:sz w:val="21"/>
              </w:rPr>
              <w:t>73</w:t>
            </w:r>
          </w:p>
        </w:tc>
        <w:tc>
          <w:tcPr>
            <w:tcW w:w="2446" w:type="dxa"/>
            <w:shd w:val="clear" w:color="auto" w:fill="F0F0F0"/>
          </w:tcPr>
          <w:p>
            <w:pPr>
              <w:pStyle w:val="TableParagraph"/>
              <w:spacing w:before="79"/>
              <w:ind w:left="463" w:right="740"/>
              <w:rPr>
                <w:rFonts w:ascii="SimSun"/>
                <w:sz w:val="21"/>
              </w:rPr>
            </w:pPr>
            <w:r>
              <w:rPr>
                <w:rFonts w:ascii="SimSun"/>
                <w:spacing w:val="1"/>
                <w:w w:val="99"/>
                <w:sz w:val="21"/>
              </w:rPr>
              <w:t>-</w:t>
            </w:r>
            <w:r>
              <w:rPr>
                <w:rFonts w:ascii="SimSun"/>
                <w:w w:val="104"/>
                <w:sz w:val="21"/>
              </w:rPr>
              <w:t>2</w:t>
            </w:r>
            <w:r>
              <w:rPr>
                <w:rFonts w:ascii="SimSun"/>
                <w:spacing w:val="-1"/>
                <w:w w:val="43"/>
                <w:sz w:val="21"/>
              </w:rPr>
              <w:t>.</w:t>
            </w:r>
            <w:r>
              <w:rPr>
                <w:rFonts w:ascii="SimSun"/>
                <w:w w:val="104"/>
                <w:sz w:val="21"/>
              </w:rPr>
              <w:t>84</w:t>
            </w:r>
            <w:r>
              <w:rPr>
                <w:rFonts w:ascii="SimSun"/>
                <w:w w:val="99"/>
                <w:sz w:val="21"/>
              </w:rPr>
              <w:t>%</w:t>
            </w:r>
          </w:p>
        </w:tc>
      </w:tr>
      <w:tr>
        <w:trPr>
          <w:trHeight w:val="448" w:hRule="atLeast"/>
        </w:trPr>
        <w:tc>
          <w:tcPr>
            <w:tcW w:w="3035" w:type="dxa"/>
          </w:tcPr>
          <w:p>
            <w:pPr>
              <w:pStyle w:val="TableParagraph"/>
              <w:spacing w:before="74"/>
              <w:ind w:left="1050" w:right="895"/>
              <w:rPr>
                <w:rFonts w:ascii="SimSun"/>
                <w:sz w:val="21"/>
              </w:rPr>
            </w:pPr>
            <w:r>
              <w:rPr>
                <w:rFonts w:ascii="SimSun"/>
                <w:sz w:val="21"/>
              </w:rPr>
              <w:t>2018/8/20</w:t>
            </w:r>
          </w:p>
        </w:tc>
        <w:tc>
          <w:tcPr>
            <w:tcW w:w="2440" w:type="dxa"/>
          </w:tcPr>
          <w:p>
            <w:pPr>
              <w:pStyle w:val="TableParagraph"/>
              <w:spacing w:before="74"/>
              <w:ind w:right="476"/>
              <w:jc w:val="right"/>
              <w:rPr>
                <w:rFonts w:ascii="SimSun"/>
                <w:sz w:val="21"/>
              </w:rPr>
            </w:pPr>
            <w:r>
              <w:rPr>
                <w:rFonts w:ascii="SimSun"/>
                <w:sz w:val="21"/>
              </w:rPr>
              <w:t>2018/11/20</w:t>
            </w:r>
          </w:p>
        </w:tc>
        <w:tc>
          <w:tcPr>
            <w:tcW w:w="2759" w:type="dxa"/>
          </w:tcPr>
          <w:p>
            <w:pPr>
              <w:pStyle w:val="TableParagraph"/>
              <w:spacing w:before="74"/>
              <w:ind w:left="461" w:right="458"/>
              <w:rPr>
                <w:rFonts w:ascii="SimSun"/>
                <w:sz w:val="21"/>
              </w:rPr>
            </w:pPr>
            <w:r>
              <w:rPr>
                <w:rFonts w:ascii="SimSun"/>
                <w:w w:val="105"/>
                <w:sz w:val="21"/>
              </w:rPr>
              <w:t>60</w:t>
            </w:r>
          </w:p>
        </w:tc>
        <w:tc>
          <w:tcPr>
            <w:tcW w:w="2446" w:type="dxa"/>
          </w:tcPr>
          <w:p>
            <w:pPr>
              <w:pStyle w:val="TableParagraph"/>
              <w:spacing w:before="74"/>
              <w:ind w:left="463" w:right="740"/>
              <w:rPr>
                <w:rFonts w:ascii="SimSun"/>
                <w:sz w:val="21"/>
              </w:rPr>
            </w:pPr>
            <w:r>
              <w:rPr>
                <w:rFonts w:ascii="SimSun"/>
                <w:spacing w:val="1"/>
                <w:w w:val="99"/>
                <w:sz w:val="21"/>
              </w:rPr>
              <w:t>-</w:t>
            </w:r>
            <w:r>
              <w:rPr>
                <w:rFonts w:ascii="SimSun"/>
                <w:w w:val="104"/>
                <w:sz w:val="21"/>
              </w:rPr>
              <w:t>1</w:t>
            </w:r>
            <w:r>
              <w:rPr>
                <w:rFonts w:ascii="SimSun"/>
                <w:spacing w:val="-1"/>
                <w:w w:val="43"/>
                <w:sz w:val="21"/>
              </w:rPr>
              <w:t>.</w:t>
            </w:r>
            <w:r>
              <w:rPr>
                <w:rFonts w:ascii="SimSun"/>
                <w:w w:val="104"/>
                <w:sz w:val="21"/>
              </w:rPr>
              <w:t>76</w:t>
            </w:r>
            <w:r>
              <w:rPr>
                <w:rFonts w:ascii="SimSun"/>
                <w:w w:val="99"/>
                <w:sz w:val="21"/>
              </w:rPr>
              <w:t>%</w:t>
            </w:r>
          </w:p>
        </w:tc>
      </w:tr>
      <w:tr>
        <w:trPr>
          <w:trHeight w:val="459" w:hRule="atLeast"/>
        </w:trPr>
        <w:tc>
          <w:tcPr>
            <w:tcW w:w="3035" w:type="dxa"/>
            <w:shd w:val="clear" w:color="auto" w:fill="F0F0F0"/>
          </w:tcPr>
          <w:p>
            <w:pPr>
              <w:pStyle w:val="TableParagraph"/>
              <w:spacing w:before="81"/>
              <w:ind w:left="1050" w:right="895"/>
              <w:rPr>
                <w:rFonts w:ascii="SimSun"/>
                <w:sz w:val="21"/>
              </w:rPr>
            </w:pPr>
            <w:r>
              <w:rPr>
                <w:rFonts w:ascii="SimSun"/>
                <w:sz w:val="21"/>
              </w:rPr>
              <w:t>2017/9/4</w:t>
            </w:r>
          </w:p>
        </w:tc>
        <w:tc>
          <w:tcPr>
            <w:tcW w:w="2440" w:type="dxa"/>
            <w:shd w:val="clear" w:color="auto" w:fill="F0F0F0"/>
          </w:tcPr>
          <w:p>
            <w:pPr>
              <w:pStyle w:val="TableParagraph"/>
              <w:spacing w:before="81"/>
              <w:ind w:right="532"/>
              <w:jc w:val="right"/>
              <w:rPr>
                <w:rFonts w:ascii="SimSun"/>
                <w:sz w:val="21"/>
              </w:rPr>
            </w:pPr>
            <w:r>
              <w:rPr>
                <w:rFonts w:ascii="SimSun"/>
                <w:sz w:val="21"/>
              </w:rPr>
              <w:t>2017/12/1</w:t>
            </w:r>
          </w:p>
        </w:tc>
        <w:tc>
          <w:tcPr>
            <w:tcW w:w="2759" w:type="dxa"/>
            <w:shd w:val="clear" w:color="auto" w:fill="F0F0F0"/>
          </w:tcPr>
          <w:p>
            <w:pPr>
              <w:pStyle w:val="TableParagraph"/>
              <w:spacing w:before="81"/>
              <w:ind w:left="461" w:right="458"/>
              <w:rPr>
                <w:rFonts w:ascii="SimSun"/>
                <w:sz w:val="21"/>
              </w:rPr>
            </w:pPr>
            <w:r>
              <w:rPr>
                <w:rFonts w:ascii="SimSun"/>
                <w:w w:val="105"/>
                <w:sz w:val="21"/>
              </w:rPr>
              <w:t>59</w:t>
            </w:r>
          </w:p>
        </w:tc>
        <w:tc>
          <w:tcPr>
            <w:tcW w:w="2446" w:type="dxa"/>
            <w:shd w:val="clear" w:color="auto" w:fill="F0F0F0"/>
          </w:tcPr>
          <w:p>
            <w:pPr>
              <w:pStyle w:val="TableParagraph"/>
              <w:spacing w:before="81"/>
              <w:ind w:left="463" w:right="740"/>
              <w:rPr>
                <w:rFonts w:ascii="SimSun"/>
                <w:sz w:val="21"/>
              </w:rPr>
            </w:pPr>
            <w:r>
              <w:rPr>
                <w:rFonts w:ascii="SimSun"/>
                <w:spacing w:val="1"/>
                <w:w w:val="99"/>
                <w:sz w:val="21"/>
              </w:rPr>
              <w:t>-</w:t>
            </w:r>
            <w:r>
              <w:rPr>
                <w:rFonts w:ascii="SimSun"/>
                <w:w w:val="104"/>
                <w:sz w:val="21"/>
              </w:rPr>
              <w:t>1</w:t>
            </w:r>
            <w:r>
              <w:rPr>
                <w:rFonts w:ascii="SimSun"/>
                <w:spacing w:val="-1"/>
                <w:w w:val="43"/>
                <w:sz w:val="21"/>
              </w:rPr>
              <w:t>.</w:t>
            </w:r>
            <w:r>
              <w:rPr>
                <w:rFonts w:ascii="SimSun"/>
                <w:w w:val="104"/>
                <w:sz w:val="21"/>
              </w:rPr>
              <w:t>62</w:t>
            </w:r>
            <w:r>
              <w:rPr>
                <w:rFonts w:ascii="SimSun"/>
                <w:w w:val="99"/>
                <w:sz w:val="21"/>
              </w:rPr>
              <w:t>%</w:t>
            </w:r>
          </w:p>
        </w:tc>
      </w:tr>
    </w:tbl>
    <w:p>
      <w:pPr>
        <w:spacing w:after="0"/>
        <w:rPr>
          <w:rFonts w:ascii="SimSun"/>
          <w:sz w:val="21"/>
        </w:rPr>
        <w:sectPr>
          <w:pgSz w:w="11910" w:h="16840"/>
          <w:pgMar w:header="948" w:footer="0" w:top="1460" w:bottom="280" w:left="320" w:right="220"/>
        </w:sectPr>
      </w:pPr>
    </w:p>
    <w:p>
      <w:pPr>
        <w:pStyle w:val="BodyText"/>
        <w:spacing w:before="18"/>
        <w:rPr>
          <w:rFonts w:ascii="Microsoft JhengHei"/>
          <w:b/>
          <w:sz w:val="12"/>
        </w:rPr>
      </w:pPr>
    </w:p>
    <w:p>
      <w:pPr>
        <w:tabs>
          <w:tab w:pos="2779" w:val="left" w:leader="none"/>
          <w:tab w:pos="5570" w:val="left" w:leader="none"/>
          <w:tab w:pos="7847" w:val="left" w:leader="none"/>
        </w:tabs>
        <w:spacing w:before="59"/>
        <w:ind w:left="9" w:right="0" w:firstLine="0"/>
        <w:jc w:val="center"/>
        <w:rPr>
          <w:sz w:val="21"/>
        </w:rPr>
      </w:pPr>
      <w:r>
        <w:rPr>
          <w:w w:val="104"/>
          <w:sz w:val="21"/>
        </w:rPr>
        <w:t>2019</w:t>
      </w:r>
      <w:r>
        <w:rPr>
          <w:w w:val="75"/>
          <w:sz w:val="21"/>
        </w:rPr>
        <w:t>/</w:t>
      </w:r>
      <w:r>
        <w:rPr>
          <w:w w:val="104"/>
          <w:sz w:val="21"/>
        </w:rPr>
        <w:t>9</w:t>
      </w:r>
      <w:r>
        <w:rPr>
          <w:w w:val="75"/>
          <w:sz w:val="21"/>
        </w:rPr>
        <w:t>/</w:t>
      </w:r>
      <w:r>
        <w:rPr>
          <w:w w:val="104"/>
          <w:sz w:val="21"/>
        </w:rPr>
        <w:t>5</w:t>
      </w:r>
      <w:r>
        <w:rPr>
          <w:sz w:val="21"/>
        </w:rPr>
        <w:tab/>
      </w:r>
      <w:r>
        <w:rPr>
          <w:w w:val="104"/>
          <w:sz w:val="21"/>
        </w:rPr>
        <w:t>2019</w:t>
      </w:r>
      <w:r>
        <w:rPr>
          <w:w w:val="75"/>
          <w:sz w:val="21"/>
        </w:rPr>
        <w:t>/</w:t>
      </w:r>
      <w:r>
        <w:rPr>
          <w:w w:val="104"/>
          <w:sz w:val="21"/>
        </w:rPr>
        <w:t>11</w:t>
      </w:r>
      <w:r>
        <w:rPr>
          <w:w w:val="75"/>
          <w:sz w:val="21"/>
        </w:rPr>
        <w:t>/</w:t>
      </w:r>
      <w:r>
        <w:rPr>
          <w:w w:val="104"/>
          <w:sz w:val="21"/>
        </w:rPr>
        <w:t>19</w:t>
      </w:r>
      <w:r>
        <w:rPr>
          <w:sz w:val="21"/>
        </w:rPr>
        <w:tab/>
      </w:r>
      <w:r>
        <w:rPr>
          <w:w w:val="104"/>
          <w:sz w:val="21"/>
        </w:rPr>
        <w:t>47</w:t>
      </w:r>
      <w:r>
        <w:rPr>
          <w:sz w:val="21"/>
        </w:rPr>
        <w:tab/>
      </w:r>
      <w:r>
        <w:rPr>
          <w:spacing w:val="1"/>
          <w:w w:val="99"/>
          <w:sz w:val="21"/>
        </w:rPr>
        <w:t>-</w:t>
      </w:r>
      <w:r>
        <w:rPr>
          <w:w w:val="104"/>
          <w:sz w:val="21"/>
        </w:rPr>
        <w:t>1</w:t>
      </w:r>
      <w:r>
        <w:rPr>
          <w:spacing w:val="-1"/>
          <w:w w:val="43"/>
          <w:sz w:val="21"/>
        </w:rPr>
        <w:t>.</w:t>
      </w:r>
      <w:r>
        <w:rPr>
          <w:w w:val="104"/>
          <w:sz w:val="21"/>
        </w:rPr>
        <w:t>01</w:t>
      </w:r>
      <w:r>
        <w:rPr>
          <w:w w:val="99"/>
          <w:sz w:val="21"/>
        </w:rPr>
        <w:t>%</w:t>
      </w:r>
    </w:p>
    <w:p>
      <w:pPr>
        <w:pStyle w:val="BodyText"/>
        <w:rPr>
          <w:sz w:val="20"/>
        </w:rPr>
      </w:pPr>
    </w:p>
    <w:p>
      <w:pPr>
        <w:spacing w:before="0"/>
        <w:ind w:left="400" w:right="0" w:firstLine="0"/>
        <w:jc w:val="left"/>
        <w:rPr>
          <w:sz w:val="16"/>
        </w:rPr>
      </w:pPr>
      <w:r>
        <w:rPr>
          <w:spacing w:val="-3"/>
          <w:w w:val="100"/>
          <w:sz w:val="16"/>
        </w:rPr>
        <w:t>数据来源：</w:t>
      </w:r>
      <w:r>
        <w:rPr>
          <w:spacing w:val="-1"/>
          <w:w w:val="184"/>
          <w:sz w:val="16"/>
        </w:rPr>
        <w:t>W</w:t>
      </w:r>
      <w:r>
        <w:rPr>
          <w:w w:val="45"/>
          <w:sz w:val="16"/>
        </w:rPr>
        <w:t>i</w:t>
      </w:r>
      <w:r>
        <w:rPr>
          <w:w w:val="110"/>
          <w:sz w:val="16"/>
        </w:rPr>
        <w:t>n</w:t>
      </w:r>
      <w:r>
        <w:rPr>
          <w:w w:val="115"/>
          <w:sz w:val="16"/>
        </w:rPr>
        <w:t>d</w:t>
      </w:r>
      <w:r>
        <w:rPr>
          <w:spacing w:val="-3"/>
          <w:sz w:val="16"/>
        </w:rPr>
        <w:t> </w:t>
      </w:r>
      <w:r>
        <w:rPr>
          <w:spacing w:val="-3"/>
          <w:w w:val="100"/>
          <w:sz w:val="16"/>
        </w:rPr>
        <w:t>华泰期货研究院</w:t>
      </w:r>
    </w:p>
    <w:p>
      <w:pPr>
        <w:pStyle w:val="BodyText"/>
        <w:spacing w:before="9"/>
        <w:rPr>
          <w:sz w:val="20"/>
        </w:rPr>
      </w:pPr>
    </w:p>
    <w:p>
      <w:pPr>
        <w:pStyle w:val="BodyText"/>
        <w:spacing w:line="333" w:lineRule="auto"/>
        <w:ind w:left="2951" w:right="388"/>
      </w:pPr>
      <w:r>
        <w:rPr>
          <w:spacing w:val="-15"/>
        </w:rPr>
        <w:t>特别在 </w:t>
      </w:r>
      <w:r>
        <w:rPr/>
        <w:t>2022</w:t>
      </w:r>
      <w:r>
        <w:rPr>
          <w:spacing w:val="-8"/>
        </w:rPr>
        <w:t> 年四季度以来，随着股票市场的逐步企稳以及商品市场的逐步反弹，</w:t>
      </w:r>
      <w:r>
        <w:rPr>
          <w:spacing w:val="1"/>
        </w:rPr>
        <w:t> </w:t>
      </w:r>
      <w:r>
        <w:rPr>
          <w:spacing w:val="-1"/>
          <w:w w:val="124"/>
        </w:rPr>
        <w:t>C</w:t>
      </w:r>
      <w:r>
        <w:rPr>
          <w:w w:val="103"/>
        </w:rPr>
        <w:t>T</w:t>
      </w:r>
      <w:r>
        <w:rPr>
          <w:w w:val="127"/>
        </w:rPr>
        <w:t>A</w:t>
      </w:r>
      <w:r>
        <w:rPr>
          <w:spacing w:val="-59"/>
        </w:rPr>
        <w:t> </w:t>
      </w:r>
      <w:r>
        <w:rPr>
          <w:spacing w:val="-3"/>
          <w:w w:val="100"/>
        </w:rPr>
        <w:t>的持续下跌显得尤为突</w:t>
      </w:r>
      <w:r>
        <w:rPr>
          <w:spacing w:val="-1"/>
          <w:w w:val="100"/>
        </w:rPr>
        <w:t>🎧</w:t>
      </w:r>
      <w:r>
        <w:rPr>
          <w:spacing w:val="-16"/>
          <w:w w:val="100"/>
        </w:rPr>
        <w:t>，使得市场对于</w:t>
      </w:r>
      <w:r>
        <w:rPr>
          <w:spacing w:val="-55"/>
        </w:rPr>
        <w:t> </w:t>
      </w:r>
      <w:r>
        <w:rPr>
          <w:spacing w:val="-1"/>
          <w:w w:val="124"/>
        </w:rPr>
        <w:t>C</w:t>
      </w:r>
      <w:r>
        <w:rPr>
          <w:w w:val="103"/>
        </w:rPr>
        <w:t>T</w:t>
      </w:r>
      <w:r>
        <w:rPr>
          <w:w w:val="127"/>
        </w:rPr>
        <w:t>A</w:t>
      </w:r>
      <w:r>
        <w:rPr>
          <w:spacing w:val="-59"/>
        </w:rPr>
        <w:t> </w:t>
      </w:r>
      <w:r>
        <w:rPr>
          <w:spacing w:val="-11"/>
          <w:w w:val="100"/>
        </w:rPr>
        <w:t>的投资耐心快速下降。在此期间，</w:t>
      </w:r>
      <w:r>
        <w:rPr>
          <w:spacing w:val="26"/>
        </w:rPr>
        <w:t>有关</w:t>
      </w:r>
      <w:r>
        <w:rPr/>
        <w:t>CTA</w:t>
      </w:r>
      <w:r>
        <w:rPr>
          <w:spacing w:val="-5"/>
        </w:rPr>
        <w:t> 的讨论层</w:t>
      </w:r>
      <w:r>
        <w:rPr/>
        <w:t>🎧</w:t>
      </w:r>
      <w:r>
        <w:rPr>
          <w:spacing w:val="6"/>
        </w:rPr>
        <w:t>不穷，投资者对于</w:t>
      </w:r>
      <w:r>
        <w:rPr/>
        <w:t>CTA</w:t>
      </w:r>
      <w:r>
        <w:rPr>
          <w:spacing w:val="-5"/>
        </w:rPr>
        <w:t> 基金的态度也几经反转。但与此同时，</w:t>
      </w:r>
      <w:r>
        <w:rPr>
          <w:spacing w:val="-107"/>
        </w:rPr>
        <w:t> </w:t>
      </w:r>
      <w:r>
        <w:rPr>
          <w:spacing w:val="-5"/>
        </w:rPr>
        <w:t>市场对于本轮 </w:t>
      </w:r>
      <w:r>
        <w:rPr/>
        <w:t>CTA</w:t>
      </w:r>
      <w:r>
        <w:rPr>
          <w:spacing w:val="-2"/>
        </w:rPr>
        <w:t> 的回撤并没有深入讨论，对</w:t>
      </w:r>
      <w:r>
        <w:rPr/>
        <w:t>CTA</w:t>
      </w:r>
      <w:r>
        <w:rPr>
          <w:spacing w:val="-6"/>
        </w:rPr>
        <w:t> 如何突围也未给</w:t>
      </w:r>
      <w:r>
        <w:rPr/>
        <w:t>🎧清晰的路径。</w:t>
      </w:r>
    </w:p>
    <w:p>
      <w:pPr>
        <w:spacing w:before="38"/>
        <w:ind w:left="4746" w:right="0" w:firstLine="0"/>
        <w:jc w:val="left"/>
        <w:rPr>
          <w:rFonts w:ascii="Microsoft JhengHei" w:eastAsia="Microsoft JhengHei" w:hint="eastAsia"/>
          <w:b/>
          <w:sz w:val="20"/>
        </w:rPr>
      </w:pPr>
      <w:r>
        <w:rPr/>
        <w:pict>
          <v:group style="position:absolute;margin-left:153.699997pt;margin-top:19.110790pt;width:411pt;height:234pt;mso-position-horizontal-relative:page;mso-position-vertical-relative:paragraph;z-index:-16408064" coordorigin="3074,382" coordsize="8220,4680">
            <v:shape style="position:absolute;left:3228;top:443;width:7609;height:4619" type="#_x0000_t75" stroked="false">
              <v:imagedata r:id="rId13" o:title=""/>
            </v:shape>
            <v:line style="position:absolute" from="3074,392" to="11294,392" stroked="true" strokeweight=".96pt" strokecolor="#c06363">
              <v:stroke dashstyle="solid"/>
            </v:line>
            <w10:wrap type="none"/>
          </v:group>
        </w:pict>
      </w:r>
      <w:r>
        <w:rPr/>
        <w:pict>
          <v:shape style="position:absolute;margin-left:471.899994pt;margin-top:71.910789pt;width:73.5pt;height:144pt;mso-position-horizontal-relative:page;mso-position-vertical-relative:paragraph;z-index:15732224" coordorigin="9438,1438" coordsize="1470,2880" path="m10765,1458l9581,1458,9592,1438,10754,1438,10765,1458xm9589,1478l9549,1478,9559,1458,9600,1458,9589,1478xm10797,1478l10757,1478,10746,1458,10787,1458,10797,1478xm9551,1498l9520,1498,9530,1478,9560,1478,9551,1498xm10826,1498l10795,1498,10786,1478,10816,1478,10826,1498xm9534,1518l9503,1518,9512,1498,9542,1498,9534,1518xm10843,1518l10812,1518,10803,1498,10834,1498,10843,1518xm9511,1538l9488,1538,9495,1518,9518,1518,9511,1538xm10858,1538l10835,1538,10828,1518,10851,1518,10858,1538xm9497,1558l9474,1558,9481,1538,9504,1538,9497,1558xm10872,1558l10849,1558,10842,1538,10865,1538,10872,1558xm9486,1578l9463,1578,9468,1558,9492,1558,9486,1578xm10883,1578l10860,1578,10854,1558,10878,1558,10883,1578xm9476,1598l9453,1598,9458,1578,9481,1578,9476,1598xm10893,1598l10870,1598,10865,1578,10888,1578,10893,1598xm9463,1638l9443,1638,9446,1618,9449,1598,9472,1598,9468,1618,9465,1618,9463,1638xm10903,1638l10883,1638,10881,1618,10878,1618,10874,1598,10897,1598,10900,1618,10903,1638xm9459,1658l9439,1658,9441,1638,9461,1638,9459,1658xm10907,1658l10887,1658,10885,1638,10905,1638,10907,1658xm9458,4078l9438,4078,9438,4058,9438,1678,9438,1658,9458,1658,9458,1678,9458,4058,9458,4078xm9458,1678l9458,1658,9459,1658,9458,1678xm10888,1678l10887,1658,10888,1658,10888,1678xm10908,4078l10888,4078,10888,4058,10888,1678,10888,1658,10908,1658,10908,1678,10908,4058,10908,4078xm9465,4118l9443,4118,9441,4098,9439,4078,9459,4078,9461,4098,9463,4098,9465,4118xm10903,4118l10881,4118,10883,4098,10885,4098,10887,4078,10907,4078,10905,4098,10903,4118xm9468,4138l9449,4138,9446,4118,9465,4118,9468,4138xm9472,4138l9468,4138,9468,4118,9472,4138xm10878,4138l10874,4138,10878,4118,10878,4138xm10897,4138l10878,4138,10881,4118,10900,4118,10897,4138xm9486,4178l9463,4178,9458,4158,9453,4138,9472,4138,9476,4158,9481,4158,9486,4178xm10883,4178l10860,4178,10865,4158,10870,4158,10874,4138,10893,4138,10888,4158,10883,4178xm9498,4198l9474,4198,9468,4178,9491,4178,9498,4198xm10872,4198l10848,4198,10855,4178,10878,4178,10872,4198xm9518,4218l9488,4218,9481,4198,9511,4198,9518,4218xm10858,4218l10828,4218,10835,4198,10865,4198,10858,4218xm9534,4238l9503,4238,9495,4218,9526,4218,9534,4238xm10843,4238l10812,4238,10820,4218,10851,4218,10843,4238xm9560,4258l9530,4258,9520,4238,9551,4238,9560,4258xm10816,4258l10786,4258,10795,4238,10826,4238,10816,4258xm9589,4278l9549,4278,9539,4258,9579,4258,9589,4278xm10797,4278l10757,4278,10767,4258,10807,4258,10797,4278xm9655,4298l9592,4298,9581,4278,9643,4278,9655,4298xm10754,4298l10691,4298,10703,4278,10765,4278,10754,4298xm10695,4318l9651,4318,9639,4298,10707,4298,10695,4318xe" filled="true" fillcolor="#00af50" stroked="false">
            <v:path arrowok="t"/>
            <v:fill type="solid"/>
            <w10:wrap type="none"/>
          </v:shape>
        </w:pict>
      </w:r>
      <w:r>
        <w:rPr>
          <w:rFonts w:ascii="Microsoft JhengHei" w:eastAsia="Microsoft JhengHei" w:hint="eastAsia"/>
          <w:b/>
          <w:w w:val="95"/>
          <w:sz w:val="20"/>
        </w:rPr>
        <w:t>图</w:t>
      </w:r>
      <w:r>
        <w:rPr>
          <w:rFonts w:ascii="Microsoft JhengHei" w:eastAsia="Microsoft JhengHei" w:hint="eastAsia"/>
          <w:b/>
          <w:spacing w:val="101"/>
          <w:sz w:val="20"/>
        </w:rPr>
        <w:t> </w:t>
      </w:r>
      <w:r>
        <w:rPr>
          <w:rFonts w:ascii="Microsoft JhengHei" w:eastAsia="Microsoft JhengHei" w:hint="eastAsia"/>
          <w:b/>
          <w:w w:val="95"/>
          <w:sz w:val="20"/>
        </w:rPr>
        <w:t>2</w:t>
      </w:r>
      <w:bookmarkStart w:name="_bookmark6" w:id="12"/>
      <w:bookmarkEnd w:id="12"/>
      <w:r>
        <w:rPr>
          <w:rFonts w:ascii="Microsoft JhengHei" w:eastAsia="Microsoft JhengHei" w:hint="eastAsia"/>
          <w:b/>
          <w:spacing w:val="17"/>
          <w:w w:val="95"/>
          <w:sz w:val="20"/>
        </w:rPr>
        <w:t>: </w:t>
      </w:r>
      <w:r>
        <w:rPr>
          <w:rFonts w:ascii="Microsoft JhengHei" w:eastAsia="Microsoft JhengHei" w:hint="eastAsia"/>
          <w:b/>
          <w:w w:val="95"/>
          <w:sz w:val="20"/>
        </w:rPr>
        <w:t>CTA 基金相比其他资产回撤突🎧丨单位：%</w:t>
      </w:r>
    </w:p>
    <w:p>
      <w:pPr>
        <w:pStyle w:val="BodyText"/>
        <w:rPr>
          <w:rFonts w:ascii="Microsoft JhengHei"/>
          <w:b/>
          <w:sz w:val="20"/>
        </w:rPr>
      </w:pPr>
    </w:p>
    <w:p>
      <w:pPr>
        <w:pStyle w:val="BodyText"/>
        <w:rPr>
          <w:rFonts w:ascii="Microsoft JhengHei"/>
          <w:b/>
          <w:sz w:val="20"/>
        </w:rPr>
      </w:pPr>
    </w:p>
    <w:p>
      <w:pPr>
        <w:pStyle w:val="BodyText"/>
        <w:spacing w:before="1"/>
        <w:rPr>
          <w:rFonts w:ascii="Microsoft JhengHei"/>
          <w:b/>
          <w:sz w:val="14"/>
        </w:rPr>
      </w:pPr>
      <w:r>
        <w:rPr/>
        <w:pict>
          <v:shape style="position:absolute;margin-left:471.899994pt;margin-top:14.871823pt;width:73.5pt;height:144pt;mso-position-horizontal-relative:page;mso-position-vertical-relative:paragraph;z-index:-15726592;mso-wrap-distance-left:0;mso-wrap-distance-right:0" type="#_x0000_t202" filled="false" stroked="false">
            <v:textbox inset="0,0,0,0">
              <w:txbxContent>
                <w:p>
                  <w:pPr>
                    <w:pStyle w:val="BodyText"/>
                    <w:rPr>
                      <w:rFonts w:ascii="Microsoft JhengHei"/>
                      <w:b/>
                    </w:rPr>
                  </w:pPr>
                </w:p>
                <w:p>
                  <w:pPr>
                    <w:pStyle w:val="BodyText"/>
                    <w:rPr>
                      <w:rFonts w:ascii="Microsoft JhengHei"/>
                      <w:b/>
                    </w:rPr>
                  </w:pPr>
                </w:p>
                <w:p>
                  <w:pPr>
                    <w:pStyle w:val="BodyText"/>
                    <w:spacing w:before="1"/>
                    <w:rPr>
                      <w:rFonts w:ascii="Microsoft JhengHei"/>
                      <w:b/>
                      <w:sz w:val="32"/>
                    </w:rPr>
                  </w:pPr>
                </w:p>
                <w:p>
                  <w:pPr>
                    <w:spacing w:before="0"/>
                    <w:ind w:left="212" w:right="0" w:firstLine="0"/>
                    <w:jc w:val="left"/>
                    <w:rPr>
                      <w:sz w:val="21"/>
                    </w:rPr>
                  </w:pPr>
                  <w:r>
                    <w:rPr>
                      <w:spacing w:val="-1"/>
                      <w:w w:val="80"/>
                      <w:sz w:val="21"/>
                    </w:rPr>
                    <w:t>s</w:t>
                  </w:r>
                  <w:r>
                    <w:rPr>
                      <w:w w:val="109"/>
                      <w:sz w:val="21"/>
                    </w:rPr>
                    <w:t>u</w:t>
                  </w:r>
                  <w:r>
                    <w:rPr>
                      <w:w w:val="58"/>
                      <w:sz w:val="21"/>
                    </w:rPr>
                    <w:t>ff</w:t>
                  </w:r>
                  <w:r>
                    <w:rPr>
                      <w:w w:val="102"/>
                      <w:sz w:val="21"/>
                    </w:rPr>
                    <w:t>e</w:t>
                  </w:r>
                  <w:r>
                    <w:rPr>
                      <w:w w:val="67"/>
                      <w:sz w:val="21"/>
                    </w:rPr>
                    <w:t>r</w:t>
                  </w:r>
                  <w:r>
                    <w:rPr>
                      <w:spacing w:val="-47"/>
                      <w:sz w:val="21"/>
                    </w:rPr>
                    <w:t> </w:t>
                  </w:r>
                  <w:r>
                    <w:rPr>
                      <w:w w:val="63"/>
                      <w:sz w:val="21"/>
                    </w:rPr>
                    <w:t>t</w:t>
                  </w:r>
                  <w:r>
                    <w:rPr>
                      <w:spacing w:val="-2"/>
                      <w:w w:val="44"/>
                      <w:sz w:val="21"/>
                    </w:rPr>
                    <w:t>i</w:t>
                  </w:r>
                  <w:r>
                    <w:rPr>
                      <w:spacing w:val="-1"/>
                      <w:w w:val="167"/>
                      <w:sz w:val="21"/>
                    </w:rPr>
                    <w:t>m</w:t>
                  </w:r>
                  <w:r>
                    <w:rPr>
                      <w:w w:val="102"/>
                      <w:sz w:val="21"/>
                    </w:rPr>
                    <w:t>e</w:t>
                  </w:r>
                </w:p>
              </w:txbxContent>
            </v:textbox>
            <w10:wrap type="topAndBottom"/>
          </v:shape>
        </w:pict>
      </w:r>
    </w:p>
    <w:p>
      <w:pPr>
        <w:pStyle w:val="BodyText"/>
        <w:rPr>
          <w:rFonts w:ascii="Microsoft JhengHei"/>
          <w:b/>
          <w:sz w:val="20"/>
        </w:rPr>
      </w:pPr>
    </w:p>
    <w:p>
      <w:pPr>
        <w:pStyle w:val="BodyText"/>
        <w:spacing w:before="8"/>
        <w:rPr>
          <w:rFonts w:ascii="Microsoft JhengHei"/>
          <w:b/>
          <w:sz w:val="23"/>
        </w:rPr>
      </w:pPr>
      <w:r>
        <w:rPr/>
        <w:pict>
          <v:shape style="position:absolute;margin-left:153.699997pt;margin-top:24.041328pt;width:411pt;height:.1pt;mso-position-horizontal-relative:page;mso-position-vertical-relative:paragraph;z-index:-15726080;mso-wrap-distance-left:0;mso-wrap-distance-right:0" coordorigin="3074,481" coordsize="8220,0" path="m3074,481l11294,481e" filled="false" stroked="true" strokeweight=".96pt" strokecolor="#c06363">
            <v:path arrowok="t"/>
            <v:stroke dashstyle="solid"/>
            <w10:wrap type="topAndBottom"/>
          </v:shape>
        </w:pict>
      </w:r>
    </w:p>
    <w:p>
      <w:pPr>
        <w:spacing w:before="13"/>
        <w:ind w:left="2862" w:right="0" w:firstLine="0"/>
        <w:jc w:val="left"/>
        <w:rPr>
          <w:sz w:val="16"/>
        </w:rPr>
      </w:pPr>
      <w:r>
        <w:rPr>
          <w:spacing w:val="-3"/>
          <w:w w:val="100"/>
          <w:sz w:val="16"/>
        </w:rPr>
        <w:t>数据来源：</w:t>
      </w:r>
      <w:r>
        <w:rPr>
          <w:w w:val="140"/>
          <w:sz w:val="16"/>
        </w:rPr>
        <w:t>w</w:t>
      </w:r>
      <w:r>
        <w:rPr>
          <w:w w:val="45"/>
          <w:sz w:val="16"/>
        </w:rPr>
        <w:t>i</w:t>
      </w:r>
      <w:r>
        <w:rPr>
          <w:w w:val="110"/>
          <w:sz w:val="16"/>
        </w:rPr>
        <w:t>n</w:t>
      </w:r>
      <w:r>
        <w:rPr>
          <w:spacing w:val="-4"/>
          <w:w w:val="115"/>
          <w:sz w:val="16"/>
        </w:rPr>
        <w:t>d</w:t>
      </w:r>
      <w:r>
        <w:rPr>
          <w:spacing w:val="-3"/>
          <w:w w:val="100"/>
          <w:sz w:val="16"/>
        </w:rPr>
        <w:t>，华泰期货研究院</w:t>
      </w:r>
    </w:p>
    <w:p>
      <w:pPr>
        <w:pStyle w:val="BodyText"/>
        <w:spacing w:before="5"/>
        <w:rPr>
          <w:sz w:val="17"/>
        </w:rPr>
      </w:pPr>
    </w:p>
    <w:p>
      <w:pPr>
        <w:pStyle w:val="BodyText"/>
        <w:spacing w:line="331" w:lineRule="auto" w:before="60"/>
        <w:ind w:left="2951" w:right="497"/>
      </w:pPr>
      <w:r>
        <w:rPr>
          <w:spacing w:val="-4"/>
        </w:rPr>
        <w:t>因此，我们试图从四个角度自下而上的全方位分析 </w:t>
      </w:r>
      <w:r>
        <w:rPr>
          <w:spacing w:val="-1"/>
        </w:rPr>
        <w:t>CTA</w:t>
      </w:r>
      <w:r>
        <w:rPr>
          <w:spacing w:val="-8"/>
        </w:rPr>
        <w:t> 基金表现不佳的原因，并以</w:t>
      </w:r>
      <w:r>
        <w:rPr>
          <w:spacing w:val="26"/>
        </w:rPr>
        <w:t>全球</w:t>
      </w:r>
      <w:r>
        <w:rPr/>
        <w:t>CTA</w:t>
      </w:r>
      <w:r>
        <w:rPr>
          <w:spacing w:val="-3"/>
        </w:rPr>
        <w:t> 的历史经验作为对比，为</w:t>
      </w:r>
      <w:r>
        <w:rPr/>
        <w:t>CTA</w:t>
      </w:r>
      <w:r>
        <w:rPr>
          <w:spacing w:val="-8"/>
        </w:rPr>
        <w:t> 基金如何突围提供一定的思考。</w:t>
      </w:r>
    </w:p>
    <w:p>
      <w:pPr>
        <w:pStyle w:val="BodyText"/>
      </w:pPr>
    </w:p>
    <w:p>
      <w:pPr>
        <w:pStyle w:val="BodyText"/>
        <w:spacing w:before="7"/>
        <w:rPr>
          <w:sz w:val="27"/>
        </w:rPr>
      </w:pPr>
    </w:p>
    <w:p>
      <w:pPr>
        <w:pStyle w:val="Heading2"/>
        <w:numPr>
          <w:ilvl w:val="2"/>
          <w:numId w:val="1"/>
        </w:numPr>
        <w:tabs>
          <w:tab w:pos="3340" w:val="left" w:leader="none"/>
        </w:tabs>
        <w:spacing w:line="240" w:lineRule="auto" w:before="0" w:after="0"/>
        <w:ind w:left="3340" w:right="0" w:hanging="389"/>
        <w:jc w:val="left"/>
      </w:pPr>
      <w:bookmarkStart w:name="■全球CTA的lost decade" w:id="13"/>
      <w:bookmarkEnd w:id="13"/>
      <w:r>
        <w:rPr>
          <w:b w:val="0"/>
        </w:rPr>
      </w:r>
      <w:bookmarkStart w:name="_bookmark7" w:id="14"/>
      <w:bookmarkEnd w:id="14"/>
      <w:r>
        <w:rPr>
          <w:b w:val="0"/>
        </w:rPr>
      </w:r>
      <w:bookmarkStart w:name="_bookmark7" w:id="15"/>
      <w:bookmarkEnd w:id="15"/>
      <w:r>
        <w:rPr>
          <w:color w:val="C00000"/>
          <w:spacing w:val="26"/>
          <w:w w:val="95"/>
        </w:rPr>
        <w:t>全球</w:t>
      </w:r>
      <w:r>
        <w:rPr>
          <w:color w:val="C00000"/>
          <w:w w:val="95"/>
        </w:rPr>
        <w:t>CTA</w:t>
      </w:r>
      <w:r>
        <w:rPr>
          <w:color w:val="C00000"/>
          <w:spacing w:val="27"/>
          <w:w w:val="95"/>
        </w:rPr>
        <w:t> 的</w:t>
      </w:r>
      <w:r>
        <w:rPr>
          <w:color w:val="C00000"/>
          <w:w w:val="95"/>
        </w:rPr>
        <w:t>lost</w:t>
      </w:r>
      <w:r>
        <w:rPr>
          <w:color w:val="C00000"/>
          <w:spacing w:val="8"/>
          <w:w w:val="95"/>
        </w:rPr>
        <w:t> </w:t>
      </w:r>
      <w:r>
        <w:rPr>
          <w:color w:val="C00000"/>
          <w:w w:val="95"/>
        </w:rPr>
        <w:t>decade</w:t>
      </w:r>
    </w:p>
    <w:p>
      <w:pPr>
        <w:pStyle w:val="BodyText"/>
        <w:spacing w:line="331" w:lineRule="auto" w:before="210"/>
        <w:ind w:left="2951" w:right="497"/>
      </w:pPr>
      <w:r>
        <w:rPr>
          <w:spacing w:val="13"/>
          <w:w w:val="95"/>
        </w:rPr>
        <w:t>尽管国内</w:t>
      </w:r>
      <w:r>
        <w:rPr>
          <w:w w:val="95"/>
        </w:rPr>
        <w:t>CTA</w:t>
      </w:r>
      <w:r>
        <w:rPr>
          <w:spacing w:val="1"/>
          <w:w w:val="95"/>
        </w:rPr>
        <w:t> 过去一年表现不佳，但对比全球 </w:t>
      </w:r>
      <w:r>
        <w:rPr>
          <w:w w:val="95"/>
        </w:rPr>
        <w:t>CTA 的回撤期仍是</w:t>
      </w:r>
      <w:r>
        <w:rPr>
          <w:w w:val="75"/>
        </w:rPr>
        <w:t>“</w:t>
      </w:r>
      <w:r>
        <w:rPr>
          <w:w w:val="95"/>
        </w:rPr>
        <w:t>小巫见大巫</w:t>
      </w:r>
      <w:r>
        <w:rPr>
          <w:w w:val="75"/>
        </w:rPr>
        <w:t>”</w:t>
      </w:r>
      <w:r>
        <w:rPr>
          <w:w w:val="95"/>
        </w:rPr>
        <w:t>。以</w:t>
      </w:r>
      <w:r>
        <w:rPr>
          <w:spacing w:val="8"/>
          <w:w w:val="100"/>
        </w:rPr>
        <w:t>全球知名的</w:t>
      </w:r>
      <w:r>
        <w:rPr>
          <w:spacing w:val="-1"/>
          <w:w w:val="103"/>
        </w:rPr>
        <w:t>S</w:t>
      </w:r>
      <w:r>
        <w:rPr>
          <w:w w:val="135"/>
        </w:rPr>
        <w:t>G</w:t>
      </w:r>
      <w:r>
        <w:rPr>
          <w:spacing w:val="-51"/>
        </w:rPr>
        <w:t> </w:t>
      </w:r>
      <w:r>
        <w:rPr>
          <w:spacing w:val="-1"/>
          <w:w w:val="124"/>
        </w:rPr>
        <w:t>C</w:t>
      </w:r>
      <w:r>
        <w:rPr>
          <w:w w:val="103"/>
        </w:rPr>
        <w:t>T</w:t>
      </w:r>
      <w:r>
        <w:rPr>
          <w:w w:val="127"/>
        </w:rPr>
        <w:t>A</w:t>
      </w:r>
      <w:r>
        <w:rPr>
          <w:spacing w:val="-57"/>
        </w:rPr>
        <w:t> </w:t>
      </w:r>
      <w:r>
        <w:rPr>
          <w:spacing w:val="-3"/>
          <w:w w:val="100"/>
        </w:rPr>
        <w:t>基金指数为例，其在</w:t>
      </w:r>
      <w:r>
        <w:rPr>
          <w:spacing w:val="-55"/>
        </w:rPr>
        <w:t> </w:t>
      </w:r>
      <w:r>
        <w:rPr>
          <w:spacing w:val="-2"/>
          <w:w w:val="105"/>
        </w:rPr>
        <w:t>201</w:t>
      </w:r>
      <w:r>
        <w:rPr>
          <w:w w:val="105"/>
        </w:rPr>
        <w:t>0</w:t>
      </w:r>
      <w:r>
        <w:rPr>
          <w:spacing w:val="-54"/>
        </w:rPr>
        <w:t> </w:t>
      </w:r>
      <w:r>
        <w:rPr>
          <w:spacing w:val="-1"/>
          <w:w w:val="100"/>
        </w:rPr>
        <w:t>年</w:t>
      </w:r>
      <w:r>
        <w:rPr>
          <w:spacing w:val="-2"/>
          <w:w w:val="134"/>
        </w:rPr>
        <w:t>~</w:t>
      </w:r>
      <w:r>
        <w:rPr>
          <w:spacing w:val="-2"/>
          <w:w w:val="105"/>
        </w:rPr>
        <w:t>201</w:t>
      </w:r>
      <w:r>
        <w:rPr>
          <w:w w:val="105"/>
        </w:rPr>
        <w:t>8</w:t>
      </w:r>
      <w:r>
        <w:rPr>
          <w:spacing w:val="-54"/>
        </w:rPr>
        <w:t> </w:t>
      </w:r>
      <w:r>
        <w:rPr>
          <w:spacing w:val="-3"/>
          <w:w w:val="100"/>
        </w:rPr>
        <w:t>年经历了一个明显的</w:t>
      </w:r>
      <w:r>
        <w:rPr>
          <w:spacing w:val="-55"/>
        </w:rPr>
        <w:t> </w:t>
      </w:r>
      <w:r>
        <w:rPr>
          <w:w w:val="44"/>
        </w:rPr>
        <w:t>l</w:t>
      </w:r>
      <w:r>
        <w:rPr>
          <w:spacing w:val="-2"/>
          <w:w w:val="115"/>
        </w:rPr>
        <w:t>o</w:t>
      </w:r>
      <w:r>
        <w:rPr>
          <w:spacing w:val="-1"/>
          <w:w w:val="81"/>
        </w:rPr>
        <w:t>s</w:t>
      </w:r>
      <w:r>
        <w:rPr>
          <w:w w:val="63"/>
        </w:rPr>
        <w:t>t </w:t>
      </w:r>
      <w:r>
        <w:rPr>
          <w:w w:val="105"/>
        </w:rPr>
        <w:t>decade。</w:t>
      </w:r>
    </w:p>
    <w:p>
      <w:pPr>
        <w:pStyle w:val="BodyText"/>
        <w:spacing w:line="331" w:lineRule="auto" w:before="158"/>
        <w:ind w:left="2951" w:right="591"/>
        <w:jc w:val="both"/>
      </w:pPr>
      <w:r>
        <w:rPr/>
        <w:t>SG</w:t>
      </w:r>
      <w:r>
        <w:rPr>
          <w:spacing w:val="-19"/>
        </w:rPr>
        <w:t> </w:t>
      </w:r>
      <w:r>
        <w:rPr/>
        <w:t>CTA</w:t>
      </w:r>
      <w:r>
        <w:rPr>
          <w:spacing w:val="-6"/>
        </w:rPr>
        <w:t> 指数由法国兴业银行编制发布，指数从对新投资持开放态度的大型管理公</w:t>
      </w:r>
      <w:r>
        <w:rPr/>
        <w:t>司中选🎧</w:t>
      </w:r>
      <w:r>
        <w:rPr>
          <w:spacing w:val="-11"/>
        </w:rPr>
        <w:t>一组 </w:t>
      </w:r>
      <w:r>
        <w:rPr/>
        <w:t>CTA</w:t>
      </w:r>
      <w:r>
        <w:rPr>
          <w:spacing w:val="-8"/>
        </w:rPr>
        <w:t> 来计算每日回报率，用于构建指数的合格 </w:t>
      </w:r>
      <w:r>
        <w:rPr/>
        <w:t>CTA</w:t>
      </w:r>
      <w:r>
        <w:rPr>
          <w:spacing w:val="-6"/>
        </w:rPr>
        <w:t> 基金池每年更新</w:t>
      </w:r>
      <w:r>
        <w:rPr/>
        <w:t>一次。</w:t>
      </w:r>
    </w:p>
    <w:p>
      <w:pPr>
        <w:spacing w:after="0" w:line="331" w:lineRule="auto"/>
        <w:jc w:val="both"/>
        <w:sectPr>
          <w:pgSz w:w="11910" w:h="16840"/>
          <w:pgMar w:header="948" w:footer="0" w:top="1460" w:bottom="280" w:left="320" w:right="220"/>
        </w:sectPr>
      </w:pPr>
    </w:p>
    <w:p>
      <w:pPr>
        <w:pStyle w:val="BodyText"/>
        <w:spacing w:before="10"/>
        <w:rPr>
          <w:sz w:val="11"/>
        </w:rPr>
      </w:pPr>
    </w:p>
    <w:p>
      <w:pPr>
        <w:spacing w:line="363" w:lineRule="exact" w:before="0"/>
        <w:ind w:left="4830" w:right="0" w:firstLine="0"/>
        <w:jc w:val="left"/>
        <w:rPr>
          <w:rFonts w:ascii="Microsoft JhengHei" w:eastAsia="Microsoft JhengHei" w:hint="eastAsia"/>
          <w:b/>
          <w:sz w:val="20"/>
        </w:rPr>
      </w:pPr>
      <w:r>
        <w:rPr/>
        <w:pict>
          <v:group style="position:absolute;margin-left:161.201691pt;margin-top:23.855207pt;width:393pt;height:238.65pt;mso-position-horizontal-relative:page;mso-position-vertical-relative:paragraph;z-index:-15724544;mso-wrap-distance-left:0;mso-wrap-distance-right:0" coordorigin="3224,477" coordsize="7860,4773">
            <v:shape style="position:absolute;left:3224;top:477;width:7847;height:4773" type="#_x0000_t75" stroked="false">
              <v:imagedata r:id="rId14" o:title=""/>
            </v:shape>
            <v:shape style="position:absolute;left:6576;top:876;width:4508;height:2431" type="#_x0000_t75" stroked="false">
              <v:imagedata r:id="rId15" o:title=""/>
            </v:shape>
            <v:shape style="position:absolute;left:7017;top:2231;width:1003;height:208" type="#_x0000_t202" filled="false" stroked="false">
              <v:textbox inset="0,0,0,0">
                <w:txbxContent>
                  <w:p>
                    <w:pPr>
                      <w:spacing w:line="207" w:lineRule="exact" w:before="0"/>
                      <w:ind w:left="0" w:right="0" w:firstLine="0"/>
                      <w:jc w:val="left"/>
                      <w:rPr>
                        <w:sz w:val="20"/>
                      </w:rPr>
                    </w:pPr>
                    <w:r>
                      <w:rPr>
                        <w:spacing w:val="1"/>
                        <w:w w:val="44"/>
                        <w:sz w:val="20"/>
                      </w:rPr>
                      <w:t>l</w:t>
                    </w:r>
                    <w:r>
                      <w:rPr>
                        <w:spacing w:val="1"/>
                        <w:w w:val="114"/>
                        <w:sz w:val="20"/>
                      </w:rPr>
                      <w:t>o</w:t>
                    </w:r>
                    <w:r>
                      <w:rPr>
                        <w:w w:val="80"/>
                        <w:sz w:val="20"/>
                      </w:rPr>
                      <w:t>s</w:t>
                    </w:r>
                    <w:r>
                      <w:rPr>
                        <w:w w:val="63"/>
                        <w:sz w:val="20"/>
                      </w:rPr>
                      <w:t>t</w:t>
                    </w:r>
                    <w:r>
                      <w:rPr>
                        <w:spacing w:val="-49"/>
                        <w:sz w:val="20"/>
                      </w:rPr>
                      <w:t> </w:t>
                    </w:r>
                    <w:r>
                      <w:rPr>
                        <w:w w:val="114"/>
                        <w:sz w:val="20"/>
                      </w:rPr>
                      <w:t>d</w:t>
                    </w:r>
                    <w:r>
                      <w:rPr>
                        <w:w w:val="102"/>
                        <w:sz w:val="20"/>
                      </w:rPr>
                      <w:t>e</w:t>
                    </w:r>
                    <w:r>
                      <w:rPr>
                        <w:spacing w:val="1"/>
                        <w:w w:val="90"/>
                        <w:sz w:val="20"/>
                      </w:rPr>
                      <w:t>c</w:t>
                    </w:r>
                    <w:r>
                      <w:rPr>
                        <w:spacing w:val="1"/>
                        <w:w w:val="99"/>
                        <w:sz w:val="20"/>
                      </w:rPr>
                      <w:t>a</w:t>
                    </w:r>
                    <w:r>
                      <w:rPr>
                        <w:spacing w:val="-2"/>
                        <w:w w:val="114"/>
                        <w:sz w:val="20"/>
                      </w:rPr>
                      <w:t>d</w:t>
                    </w:r>
                    <w:r>
                      <w:rPr>
                        <w:w w:val="102"/>
                        <w:sz w:val="20"/>
                      </w:rPr>
                      <w:t>e</w:t>
                    </w:r>
                  </w:p>
                </w:txbxContent>
              </v:textbox>
              <w10:wrap type="none"/>
            </v:shape>
            <w10:wrap type="topAndBottom"/>
          </v:group>
        </w:pict>
      </w:r>
      <w:r>
        <w:rPr/>
        <w:pict>
          <v:shape style="position:absolute;margin-left:153.699997pt;margin-top:283.943542pt;width:411pt;height:.1pt;mso-position-horizontal-relative:page;mso-position-vertical-relative:paragraph;z-index:-15724032;mso-wrap-distance-left:0;mso-wrap-distance-right:0" coordorigin="3074,5679" coordsize="8220,0" path="m3074,5679l11294,5679e" filled="false" stroked="true" strokeweight=".96pt" strokecolor="#c06363">
            <v:path arrowok="t"/>
            <v:stroke dashstyle="solid"/>
            <w10:wrap type="topAndBottom"/>
          </v:shape>
        </w:pict>
      </w:r>
      <w:r>
        <w:rPr/>
        <w:pict>
          <v:line style="position:absolute;mso-position-horizontal-relative:page;mso-position-vertical-relative:paragraph;z-index:15734272" from="153.699997pt,17.443542pt" to="564.699997pt,17.443542pt" stroked="true" strokeweight=".96pt" strokecolor="#c06363">
            <v:stroke dashstyle="solid"/>
            <w10:wrap type="none"/>
          </v:line>
        </w:pict>
      </w:r>
      <w:r>
        <w:rPr>
          <w:rFonts w:ascii="Microsoft JhengHei" w:eastAsia="Microsoft JhengHei" w:hint="eastAsia"/>
          <w:b/>
          <w:spacing w:val="2"/>
          <w:w w:val="95"/>
          <w:sz w:val="20"/>
        </w:rPr>
        <w:t>图 </w:t>
      </w:r>
      <w:r>
        <w:rPr>
          <w:rFonts w:ascii="Microsoft JhengHei" w:eastAsia="Microsoft JhengHei" w:hint="eastAsia"/>
          <w:b/>
          <w:w w:val="95"/>
          <w:sz w:val="20"/>
        </w:rPr>
        <w:t>3</w:t>
      </w:r>
      <w:bookmarkStart w:name="_bookmark8" w:id="16"/>
      <w:bookmarkEnd w:id="16"/>
      <w:r>
        <w:rPr>
          <w:rFonts w:ascii="Microsoft JhengHei" w:eastAsia="Microsoft JhengHei" w:hint="eastAsia"/>
          <w:b/>
          <w:w w:val="95"/>
          <w:sz w:val="20"/>
        </w:rPr>
        <w:t>:</w:t>
      </w:r>
      <w:r>
        <w:rPr>
          <w:rFonts w:ascii="Microsoft JhengHei" w:eastAsia="Microsoft JhengHei" w:hint="eastAsia"/>
          <w:b/>
          <w:spacing w:val="47"/>
          <w:sz w:val="20"/>
        </w:rPr>
        <w:t> </w:t>
      </w:r>
      <w:r>
        <w:rPr>
          <w:rFonts w:ascii="Microsoft JhengHei" w:eastAsia="Microsoft JhengHei" w:hint="eastAsia"/>
          <w:b/>
          <w:spacing w:val="1"/>
          <w:w w:val="95"/>
          <w:sz w:val="20"/>
        </w:rPr>
        <w:t>全球 </w:t>
      </w:r>
      <w:r>
        <w:rPr>
          <w:rFonts w:ascii="Microsoft JhengHei" w:eastAsia="Microsoft JhengHei" w:hint="eastAsia"/>
          <w:b/>
          <w:w w:val="95"/>
          <w:sz w:val="20"/>
        </w:rPr>
        <w:t>CTA</w:t>
      </w:r>
      <w:r>
        <w:rPr>
          <w:rFonts w:ascii="Microsoft JhengHei" w:eastAsia="Microsoft JhengHei" w:hint="eastAsia"/>
          <w:b/>
          <w:spacing w:val="-1"/>
          <w:w w:val="95"/>
          <w:sz w:val="20"/>
        </w:rPr>
        <w:t> 指数的 </w:t>
      </w:r>
      <w:r>
        <w:rPr>
          <w:rFonts w:ascii="Microsoft JhengHei" w:eastAsia="Microsoft JhengHei" w:hint="eastAsia"/>
          <w:b/>
          <w:w w:val="95"/>
          <w:sz w:val="20"/>
        </w:rPr>
        <w:t>lost</w:t>
      </w:r>
      <w:r>
        <w:rPr>
          <w:rFonts w:ascii="Microsoft JhengHei" w:eastAsia="Microsoft JhengHei" w:hint="eastAsia"/>
          <w:b/>
          <w:spacing w:val="3"/>
          <w:w w:val="95"/>
          <w:sz w:val="20"/>
        </w:rPr>
        <w:t> </w:t>
      </w:r>
      <w:r>
        <w:rPr>
          <w:rFonts w:ascii="Microsoft JhengHei" w:eastAsia="Microsoft JhengHei" w:hint="eastAsia"/>
          <w:b/>
          <w:w w:val="95"/>
          <w:sz w:val="20"/>
        </w:rPr>
        <w:t>decade 丨单位：%</w:t>
      </w:r>
    </w:p>
    <w:p>
      <w:pPr>
        <w:pStyle w:val="BodyText"/>
        <w:spacing w:before="2"/>
        <w:rPr>
          <w:rFonts w:ascii="Microsoft JhengHei"/>
          <w:b/>
          <w:sz w:val="19"/>
        </w:rPr>
      </w:pPr>
    </w:p>
    <w:p>
      <w:pPr>
        <w:spacing w:before="13"/>
        <w:ind w:left="2862" w:right="0" w:firstLine="0"/>
        <w:jc w:val="left"/>
        <w:rPr>
          <w:sz w:val="16"/>
        </w:rPr>
      </w:pPr>
      <w:r>
        <w:rPr>
          <w:spacing w:val="-3"/>
          <w:w w:val="100"/>
          <w:sz w:val="16"/>
        </w:rPr>
        <w:t>数据来源：</w:t>
      </w:r>
      <w:r>
        <w:rPr>
          <w:spacing w:val="-2"/>
          <w:w w:val="103"/>
          <w:sz w:val="16"/>
        </w:rPr>
        <w:t>S</w:t>
      </w:r>
      <w:r>
        <w:rPr>
          <w:spacing w:val="-1"/>
          <w:w w:val="136"/>
          <w:sz w:val="16"/>
        </w:rPr>
        <w:t>G</w:t>
      </w:r>
      <w:r>
        <w:rPr>
          <w:spacing w:val="-1"/>
          <w:w w:val="100"/>
          <w:sz w:val="16"/>
        </w:rPr>
        <w:t>，</w:t>
      </w:r>
      <w:r>
        <w:rPr>
          <w:w w:val="140"/>
          <w:sz w:val="16"/>
        </w:rPr>
        <w:t>w</w:t>
      </w:r>
      <w:r>
        <w:rPr>
          <w:w w:val="45"/>
          <w:sz w:val="16"/>
        </w:rPr>
        <w:t>i</w:t>
      </w:r>
      <w:r>
        <w:rPr>
          <w:w w:val="110"/>
          <w:sz w:val="16"/>
        </w:rPr>
        <w:t>n</w:t>
      </w:r>
      <w:r>
        <w:rPr>
          <w:spacing w:val="-2"/>
          <w:w w:val="115"/>
          <w:sz w:val="16"/>
        </w:rPr>
        <w:t>d</w:t>
      </w:r>
      <w:r>
        <w:rPr>
          <w:spacing w:val="-3"/>
          <w:w w:val="100"/>
          <w:sz w:val="16"/>
        </w:rPr>
        <w:t>，华泰期货研究院</w:t>
      </w:r>
    </w:p>
    <w:p>
      <w:pPr>
        <w:pStyle w:val="BodyText"/>
        <w:spacing w:before="6"/>
        <w:rPr>
          <w:sz w:val="17"/>
        </w:rPr>
      </w:pPr>
    </w:p>
    <w:p>
      <w:pPr>
        <w:pStyle w:val="BodyText"/>
        <w:spacing w:line="331" w:lineRule="auto" w:before="59"/>
        <w:ind w:left="2951" w:right="498"/>
        <w:jc w:val="both"/>
      </w:pPr>
      <w:r>
        <w:rPr>
          <w:spacing w:val="-6"/>
        </w:rPr>
        <w:t>从全历史来看，指数表现十分优秀，能够获得 </w:t>
      </w:r>
      <w:r>
        <w:rPr>
          <w:spacing w:val="-2"/>
        </w:rPr>
        <w:t>6%左右的年化收益且波动较小。但在</w:t>
      </w:r>
      <w:r>
        <w:rPr>
          <w:spacing w:val="-2"/>
          <w:w w:val="105"/>
        </w:rPr>
        <w:t>201</w:t>
      </w:r>
      <w:r>
        <w:rPr>
          <w:w w:val="105"/>
        </w:rPr>
        <w:t>0</w:t>
      </w:r>
      <w:r>
        <w:rPr>
          <w:spacing w:val="-54"/>
        </w:rPr>
        <w:t> </w:t>
      </w:r>
      <w:r>
        <w:rPr>
          <w:spacing w:val="-3"/>
          <w:w w:val="100"/>
        </w:rPr>
        <w:t>年</w:t>
      </w:r>
      <w:r>
        <w:rPr>
          <w:spacing w:val="-2"/>
          <w:w w:val="134"/>
        </w:rPr>
        <w:t>~</w:t>
      </w:r>
      <w:r>
        <w:rPr>
          <w:spacing w:val="-2"/>
          <w:w w:val="105"/>
        </w:rPr>
        <w:t>20</w:t>
      </w:r>
      <w:r>
        <w:rPr>
          <w:spacing w:val="1"/>
          <w:w w:val="105"/>
        </w:rPr>
        <w:t>1</w:t>
      </w:r>
      <w:r>
        <w:rPr>
          <w:w w:val="105"/>
        </w:rPr>
        <w:t>8</w:t>
      </w:r>
      <w:r>
        <w:rPr>
          <w:spacing w:val="-54"/>
        </w:rPr>
        <w:t> </w:t>
      </w:r>
      <w:r>
        <w:rPr>
          <w:spacing w:val="-5"/>
          <w:w w:val="100"/>
        </w:rPr>
        <w:t>年期间，指数涨幅仅为</w:t>
      </w:r>
      <w:r>
        <w:rPr>
          <w:spacing w:val="-55"/>
        </w:rPr>
        <w:t> </w:t>
      </w:r>
      <w:r>
        <w:rPr>
          <w:spacing w:val="-2"/>
          <w:w w:val="105"/>
        </w:rPr>
        <w:t>1</w:t>
      </w:r>
      <w:r>
        <w:rPr>
          <w:spacing w:val="-1"/>
          <w:w w:val="44"/>
        </w:rPr>
        <w:t>.</w:t>
      </w:r>
      <w:r>
        <w:rPr>
          <w:spacing w:val="-2"/>
          <w:w w:val="105"/>
        </w:rPr>
        <w:t>6</w:t>
      </w:r>
      <w:r>
        <w:rPr>
          <w:spacing w:val="-3"/>
          <w:w w:val="100"/>
        </w:rPr>
        <w:t>%，指数在整个十年里宽幅震荡，或称</w:t>
      </w:r>
      <w:r>
        <w:rPr>
          <w:w w:val="44"/>
        </w:rPr>
        <w:t>l</w:t>
      </w:r>
      <w:r>
        <w:rPr>
          <w:w w:val="115"/>
        </w:rPr>
        <w:t>o</w:t>
      </w:r>
      <w:r>
        <w:rPr>
          <w:spacing w:val="-1"/>
          <w:w w:val="81"/>
        </w:rPr>
        <w:t>s</w:t>
      </w:r>
      <w:r>
        <w:rPr>
          <w:w w:val="63"/>
        </w:rPr>
        <w:t>t </w:t>
      </w:r>
      <w:r>
        <w:rPr/>
        <w:t>decade</w:t>
      </w:r>
      <w:hyperlink w:history="true" w:anchor="_bookmark10">
        <w:r>
          <w:rPr>
            <w:position w:val="11"/>
            <w:sz w:val="11"/>
          </w:rPr>
          <w:t>1</w:t>
        </w:r>
      </w:hyperlink>
      <w:r>
        <w:rPr/>
        <w:t>，2019</w:t>
      </w:r>
      <w:r>
        <w:rPr>
          <w:spacing w:val="-8"/>
        </w:rPr>
        <w:t> 年起开始才逐步恢复到快速上涨的态势。</w:t>
      </w:r>
    </w:p>
    <w:p>
      <w:pPr>
        <w:spacing w:line="252" w:lineRule="auto" w:before="158"/>
        <w:ind w:left="2951" w:right="531" w:firstLine="0"/>
        <w:jc w:val="both"/>
        <w:rPr>
          <w:sz w:val="22"/>
        </w:rPr>
      </w:pPr>
      <w:r>
        <w:rPr>
          <w:spacing w:val="-6"/>
          <w:sz w:val="22"/>
        </w:rPr>
        <w:t>同样是 </w:t>
      </w:r>
      <w:r>
        <w:rPr>
          <w:sz w:val="22"/>
        </w:rPr>
        <w:t>CTA</w:t>
      </w:r>
      <w:r>
        <w:rPr>
          <w:spacing w:val="-8"/>
          <w:sz w:val="22"/>
        </w:rPr>
        <w:t> 陷入回撤，尽管全球 </w:t>
      </w:r>
      <w:r>
        <w:rPr>
          <w:sz w:val="22"/>
        </w:rPr>
        <w:t>CTA</w:t>
      </w:r>
      <w:r>
        <w:rPr>
          <w:spacing w:val="2"/>
          <w:sz w:val="22"/>
        </w:rPr>
        <w:t> 相比本次国内</w:t>
      </w:r>
      <w:r>
        <w:rPr>
          <w:sz w:val="22"/>
        </w:rPr>
        <w:t>CTA</w:t>
      </w:r>
      <w:r>
        <w:rPr>
          <w:spacing w:val="-5"/>
          <w:sz w:val="22"/>
        </w:rPr>
        <w:t> 的回撤期更长，但我们认</w:t>
      </w:r>
      <w:r>
        <w:rPr>
          <w:spacing w:val="-1"/>
          <w:sz w:val="22"/>
        </w:rPr>
        <w:t>为背后的逻辑是类似的，自下而上的包括：</w:t>
      </w:r>
      <w:r>
        <w:rPr>
          <w:rFonts w:ascii="Microsoft JhengHei" w:eastAsia="Microsoft JhengHei" w:hint="eastAsia"/>
          <w:b/>
          <w:sz w:val="22"/>
        </w:rPr>
        <w:t>1）交易拥挤；2）市场有效波动；3）</w:t>
      </w:r>
      <w:r>
        <w:rPr>
          <w:rFonts w:ascii="Microsoft JhengHei" w:eastAsia="Microsoft JhengHei" w:hint="eastAsia"/>
          <w:b/>
          <w:spacing w:val="-53"/>
          <w:sz w:val="22"/>
        </w:rPr>
        <w:t> </w:t>
      </w:r>
      <w:r>
        <w:rPr>
          <w:rFonts w:ascii="Microsoft JhengHei" w:eastAsia="Microsoft JhengHei" w:hint="eastAsia"/>
          <w:b/>
          <w:sz w:val="22"/>
        </w:rPr>
        <w:t>策略适用性；4）分散性收益</w:t>
      </w:r>
      <w:r>
        <w:rPr>
          <w:spacing w:val="-4"/>
          <w:sz w:val="22"/>
        </w:rPr>
        <w:t>，这四个因素是造成境内外 </w:t>
      </w:r>
      <w:r>
        <w:rPr>
          <w:sz w:val="22"/>
        </w:rPr>
        <w:t>CTA</w:t>
      </w:r>
      <w:r>
        <w:rPr>
          <w:spacing w:val="-7"/>
          <w:sz w:val="22"/>
        </w:rPr>
        <w:t> 在不同时间段表现不</w:t>
      </w:r>
    </w:p>
    <w:p>
      <w:pPr>
        <w:pStyle w:val="BodyText"/>
        <w:spacing w:before="25"/>
        <w:ind w:left="2951"/>
      </w:pPr>
      <w:r>
        <w:rPr/>
        <w:t>佳的重要原因。</w:t>
      </w:r>
    </w:p>
    <w:p>
      <w:pPr>
        <w:pStyle w:val="BodyText"/>
      </w:pPr>
    </w:p>
    <w:p>
      <w:pPr>
        <w:pStyle w:val="BodyText"/>
      </w:pPr>
    </w:p>
    <w:p>
      <w:pPr>
        <w:pStyle w:val="Heading2"/>
        <w:numPr>
          <w:ilvl w:val="2"/>
          <w:numId w:val="1"/>
        </w:numPr>
        <w:tabs>
          <w:tab w:pos="3340" w:val="left" w:leader="none"/>
        </w:tabs>
        <w:spacing w:line="240" w:lineRule="auto" w:before="179" w:after="0"/>
        <w:ind w:left="3340" w:right="0" w:hanging="389"/>
        <w:jc w:val="left"/>
      </w:pPr>
      <w:bookmarkStart w:name="■交易拥挤" w:id="17"/>
      <w:bookmarkEnd w:id="17"/>
      <w:r>
        <w:rPr>
          <w:b w:val="0"/>
        </w:rPr>
      </w:r>
      <w:bookmarkStart w:name="_bookmark9" w:id="18"/>
      <w:bookmarkEnd w:id="18"/>
      <w:r>
        <w:rPr>
          <w:b w:val="0"/>
        </w:rPr>
      </w:r>
      <w:bookmarkStart w:name="_bookmark9" w:id="19"/>
      <w:bookmarkEnd w:id="19"/>
      <w:r>
        <w:rPr>
          <w:color w:val="C00000"/>
          <w:spacing w:val="-1"/>
        </w:rPr>
        <w:t>交易拥挤</w:t>
      </w:r>
    </w:p>
    <w:p>
      <w:pPr>
        <w:spacing w:before="135"/>
        <w:ind w:left="2951" w:right="0" w:firstLine="0"/>
        <w:jc w:val="left"/>
        <w:rPr>
          <w:sz w:val="22"/>
        </w:rPr>
      </w:pPr>
      <w:r>
        <w:rPr>
          <w:spacing w:val="-1"/>
          <w:sz w:val="22"/>
        </w:rPr>
        <w:t>不可否认的是，</w:t>
      </w:r>
      <w:r>
        <w:rPr>
          <w:rFonts w:ascii="Microsoft JhengHei" w:eastAsia="Microsoft JhengHei" w:hint="eastAsia"/>
          <w:b/>
          <w:spacing w:val="-1"/>
          <w:sz w:val="22"/>
        </w:rPr>
        <w:t>交易拥挤是 </w:t>
      </w:r>
      <w:r>
        <w:rPr>
          <w:rFonts w:ascii="Microsoft JhengHei" w:eastAsia="Microsoft JhengHei" w:hint="eastAsia"/>
          <w:b/>
          <w:sz w:val="22"/>
        </w:rPr>
        <w:t>CTA</w:t>
      </w:r>
      <w:r>
        <w:rPr>
          <w:rFonts w:ascii="Microsoft JhengHei" w:eastAsia="Microsoft JhengHei" w:hint="eastAsia"/>
          <w:b/>
          <w:spacing w:val="-2"/>
          <w:sz w:val="22"/>
        </w:rPr>
        <w:t> </w:t>
      </w:r>
      <w:r>
        <w:rPr>
          <w:rFonts w:ascii="Microsoft JhengHei" w:eastAsia="Microsoft JhengHei" w:hint="eastAsia"/>
          <w:b/>
          <w:sz w:val="22"/>
        </w:rPr>
        <w:t>🎧现中长期回撤的最常见且最重要的因素。</w:t>
      </w:r>
      <w:r>
        <w:rPr>
          <w:sz w:val="22"/>
        </w:rPr>
        <w:t>CTA</w:t>
      </w:r>
      <w:r>
        <w:rPr>
          <w:spacing w:val="-29"/>
          <w:sz w:val="22"/>
        </w:rPr>
        <w:t> 基</w:t>
      </w:r>
    </w:p>
    <w:p>
      <w:pPr>
        <w:pStyle w:val="BodyText"/>
        <w:spacing w:line="331" w:lineRule="auto" w:before="60"/>
        <w:ind w:left="2951" w:right="432"/>
        <w:jc w:val="both"/>
      </w:pPr>
      <w:r>
        <w:rPr>
          <w:spacing w:val="2"/>
        </w:rPr>
        <w:t>金的收益来源无外乎市场上的其他交易者，当</w:t>
      </w:r>
      <w:r>
        <w:rPr/>
        <w:t>CTA</w:t>
      </w:r>
      <w:r>
        <w:rPr>
          <w:spacing w:val="-6"/>
        </w:rPr>
        <w:t> 基金过多，其他交易者过少时，</w:t>
      </w:r>
      <w:r>
        <w:rPr>
          <w:spacing w:val="-107"/>
        </w:rPr>
        <w:t> </w:t>
      </w:r>
      <w:r>
        <w:rPr/>
        <w:t>就容易僧多粥少的情况，策略🎧现拥挤。</w:t>
      </w:r>
    </w:p>
    <w:p>
      <w:pPr>
        <w:pStyle w:val="BodyText"/>
        <w:spacing w:line="331" w:lineRule="auto" w:before="158"/>
        <w:ind w:left="2951" w:right="497"/>
        <w:jc w:val="both"/>
      </w:pPr>
      <w:r>
        <w:rPr>
          <w:spacing w:val="-1"/>
        </w:rPr>
        <w:t>另外，尽管交易拥挤在任何的金融交易市场都经常</w:t>
      </w:r>
      <w:r>
        <w:rPr/>
        <w:t>🎧现，但商品期货市场作为广义</w:t>
      </w:r>
      <w:r>
        <w:rPr>
          <w:spacing w:val="-1"/>
        </w:rPr>
        <w:t>上的负和市场（手续费等规费</w:t>
      </w:r>
      <w:r>
        <w:rPr/>
        <w:t>），本质上并不创造财富，🎧现交易拥挤时对策略的影响更为剧烈。</w:t>
      </w:r>
    </w:p>
    <w:p>
      <w:pPr>
        <w:pStyle w:val="BodyText"/>
        <w:spacing w:before="9"/>
        <w:rPr>
          <w:sz w:val="25"/>
        </w:rPr>
      </w:pPr>
      <w:r>
        <w:rPr/>
        <w:pict>
          <v:shape style="position:absolute;margin-left:36pt;margin-top:18.421778pt;width:144pt;height:.1pt;mso-position-horizontal-relative:page;mso-position-vertical-relative:paragraph;z-index:-15723520;mso-wrap-distance-left:0;mso-wrap-distance-right:0" coordorigin="720,368" coordsize="2880,0" path="m720,368l3600,368e" filled="false" stroked="true" strokeweight="0pt" strokecolor="#000000">
            <v:path arrowok="t"/>
            <v:stroke dashstyle="solid"/>
            <w10:wrap type="topAndBottom"/>
          </v:shape>
        </w:pict>
      </w:r>
    </w:p>
    <w:p>
      <w:pPr>
        <w:spacing w:before="86"/>
        <w:ind w:left="400" w:right="0" w:firstLine="0"/>
        <w:jc w:val="left"/>
        <w:rPr>
          <w:sz w:val="18"/>
        </w:rPr>
      </w:pPr>
      <w:r>
        <w:rPr>
          <w:w w:val="104"/>
          <w:position w:val="9"/>
          <w:sz w:val="9"/>
        </w:rPr>
        <w:t>1</w:t>
      </w:r>
      <w:r>
        <w:rPr>
          <w:spacing w:val="-1"/>
          <w:position w:val="9"/>
          <w:sz w:val="9"/>
        </w:rPr>
        <w:t>  </w:t>
      </w:r>
      <w:r>
        <w:rPr>
          <w:sz w:val="18"/>
        </w:rPr>
        <w:t>《</w:t>
      </w:r>
      <w:r>
        <w:rPr>
          <w:w w:val="103"/>
          <w:sz w:val="18"/>
        </w:rPr>
        <w:t>T</w:t>
      </w:r>
      <w:r>
        <w:rPr>
          <w:spacing w:val="-1"/>
          <w:w w:val="110"/>
          <w:sz w:val="18"/>
        </w:rPr>
        <w:t>h</w:t>
      </w:r>
      <w:r>
        <w:rPr>
          <w:w w:val="102"/>
          <w:sz w:val="18"/>
        </w:rPr>
        <w:t>e</w:t>
      </w:r>
      <w:r>
        <w:rPr>
          <w:spacing w:val="-41"/>
          <w:sz w:val="18"/>
        </w:rPr>
        <w:t> </w:t>
      </w:r>
      <w:r>
        <w:rPr>
          <w:w w:val="92"/>
          <w:sz w:val="18"/>
        </w:rPr>
        <w:t>L</w:t>
      </w:r>
      <w:r>
        <w:rPr>
          <w:w w:val="114"/>
          <w:sz w:val="18"/>
        </w:rPr>
        <w:t>o</w:t>
      </w:r>
      <w:r>
        <w:rPr>
          <w:spacing w:val="-2"/>
          <w:w w:val="81"/>
          <w:sz w:val="18"/>
        </w:rPr>
        <w:t>s</w:t>
      </w:r>
      <w:r>
        <w:rPr>
          <w:w w:val="63"/>
          <w:sz w:val="18"/>
        </w:rPr>
        <w:t>t</w:t>
      </w:r>
      <w:r>
        <w:rPr>
          <w:spacing w:val="-40"/>
          <w:sz w:val="18"/>
        </w:rPr>
        <w:t> </w:t>
      </w:r>
      <w:r>
        <w:rPr>
          <w:spacing w:val="1"/>
          <w:w w:val="124"/>
          <w:sz w:val="18"/>
        </w:rPr>
        <w:t>C</w:t>
      </w:r>
      <w:r>
        <w:rPr>
          <w:w w:val="103"/>
          <w:sz w:val="18"/>
        </w:rPr>
        <w:t>T</w:t>
      </w:r>
      <w:r>
        <w:rPr>
          <w:w w:val="127"/>
          <w:sz w:val="18"/>
        </w:rPr>
        <w:t>A</w:t>
      </w:r>
      <w:r>
        <w:rPr>
          <w:spacing w:val="-44"/>
          <w:sz w:val="18"/>
        </w:rPr>
        <w:t> </w:t>
      </w:r>
      <w:r>
        <w:rPr>
          <w:spacing w:val="1"/>
          <w:w w:val="137"/>
          <w:sz w:val="18"/>
        </w:rPr>
        <w:t>D</w:t>
      </w:r>
      <w:r>
        <w:rPr>
          <w:spacing w:val="1"/>
          <w:w w:val="102"/>
          <w:sz w:val="18"/>
        </w:rPr>
        <w:t>e</w:t>
      </w:r>
      <w:r>
        <w:rPr>
          <w:w w:val="90"/>
          <w:sz w:val="18"/>
        </w:rPr>
        <w:t>c</w:t>
      </w:r>
      <w:r>
        <w:rPr>
          <w:spacing w:val="-2"/>
          <w:w w:val="100"/>
          <w:sz w:val="18"/>
        </w:rPr>
        <w:t>a</w:t>
      </w:r>
      <w:r>
        <w:rPr>
          <w:spacing w:val="-1"/>
          <w:w w:val="114"/>
          <w:sz w:val="18"/>
        </w:rPr>
        <w:t>d</w:t>
      </w:r>
      <w:r>
        <w:rPr>
          <w:w w:val="102"/>
          <w:sz w:val="18"/>
        </w:rPr>
        <w:t>e</w:t>
      </w:r>
      <w:r>
        <w:rPr>
          <w:spacing w:val="-41"/>
          <w:sz w:val="18"/>
        </w:rPr>
        <w:t> </w:t>
      </w:r>
      <w:r>
        <w:rPr>
          <w:w w:val="127"/>
          <w:sz w:val="18"/>
        </w:rPr>
        <w:t>A</w:t>
      </w:r>
      <w:r>
        <w:rPr>
          <w:spacing w:val="-1"/>
          <w:w w:val="110"/>
          <w:sz w:val="18"/>
        </w:rPr>
        <w:t>n</w:t>
      </w:r>
      <w:r>
        <w:rPr>
          <w:w w:val="114"/>
          <w:sz w:val="18"/>
        </w:rPr>
        <w:t>d</w:t>
      </w:r>
      <w:r>
        <w:rPr>
          <w:spacing w:val="-40"/>
          <w:sz w:val="18"/>
        </w:rPr>
        <w:t> </w:t>
      </w:r>
      <w:r>
        <w:rPr>
          <w:w w:val="103"/>
          <w:sz w:val="18"/>
        </w:rPr>
        <w:t>T</w:t>
      </w:r>
      <w:r>
        <w:rPr>
          <w:spacing w:val="-1"/>
          <w:w w:val="110"/>
          <w:sz w:val="18"/>
        </w:rPr>
        <w:t>h</w:t>
      </w:r>
      <w:r>
        <w:rPr>
          <w:w w:val="102"/>
          <w:sz w:val="18"/>
        </w:rPr>
        <w:t>e</w:t>
      </w:r>
      <w:r>
        <w:rPr>
          <w:spacing w:val="-41"/>
          <w:sz w:val="18"/>
        </w:rPr>
        <w:t> </w:t>
      </w:r>
      <w:r>
        <w:rPr>
          <w:w w:val="145"/>
          <w:sz w:val="18"/>
        </w:rPr>
        <w:t>N</w:t>
      </w:r>
      <w:r>
        <w:rPr>
          <w:spacing w:val="1"/>
          <w:w w:val="102"/>
          <w:sz w:val="18"/>
        </w:rPr>
        <w:t>e</w:t>
      </w:r>
      <w:r>
        <w:rPr>
          <w:w w:val="139"/>
          <w:sz w:val="18"/>
        </w:rPr>
        <w:t>w</w:t>
      </w:r>
      <w:r>
        <w:rPr>
          <w:spacing w:val="-44"/>
          <w:sz w:val="18"/>
        </w:rPr>
        <w:t> </w:t>
      </w:r>
      <w:r>
        <w:rPr>
          <w:spacing w:val="-1"/>
          <w:w w:val="115"/>
          <w:sz w:val="18"/>
        </w:rPr>
        <w:t>R</w:t>
      </w:r>
      <w:r>
        <w:rPr>
          <w:spacing w:val="1"/>
          <w:w w:val="102"/>
          <w:sz w:val="18"/>
        </w:rPr>
        <w:t>e</w:t>
      </w:r>
      <w:r>
        <w:rPr>
          <w:spacing w:val="-1"/>
          <w:w w:val="114"/>
          <w:sz w:val="18"/>
        </w:rPr>
        <w:t>g</w:t>
      </w:r>
      <w:r>
        <w:rPr>
          <w:w w:val="44"/>
          <w:sz w:val="18"/>
        </w:rPr>
        <w:t>i</w:t>
      </w:r>
      <w:r>
        <w:rPr>
          <w:spacing w:val="-1"/>
          <w:w w:val="168"/>
          <w:sz w:val="18"/>
        </w:rPr>
        <w:t>m</w:t>
      </w:r>
      <w:r>
        <w:rPr>
          <w:w w:val="102"/>
          <w:sz w:val="18"/>
        </w:rPr>
        <w:t>e</w:t>
      </w:r>
      <w:r>
        <w:rPr>
          <w:spacing w:val="-41"/>
          <w:sz w:val="18"/>
        </w:rPr>
        <w:t> </w:t>
      </w:r>
      <w:r>
        <w:rPr>
          <w:w w:val="95"/>
          <w:sz w:val="18"/>
        </w:rPr>
        <w:t>F</w:t>
      </w:r>
      <w:r>
        <w:rPr>
          <w:w w:val="114"/>
          <w:sz w:val="18"/>
        </w:rPr>
        <w:t>o</w:t>
      </w:r>
      <w:r>
        <w:rPr>
          <w:w w:val="67"/>
          <w:sz w:val="18"/>
        </w:rPr>
        <w:t>r</w:t>
      </w:r>
      <w:r>
        <w:rPr>
          <w:spacing w:val="-43"/>
          <w:sz w:val="18"/>
        </w:rPr>
        <w:t> </w:t>
      </w:r>
      <w:r>
        <w:rPr>
          <w:spacing w:val="1"/>
          <w:w w:val="102"/>
          <w:sz w:val="18"/>
        </w:rPr>
        <w:t>S</w:t>
      </w:r>
      <w:r>
        <w:rPr>
          <w:w w:val="63"/>
          <w:sz w:val="18"/>
        </w:rPr>
        <w:t>t</w:t>
      </w:r>
      <w:r>
        <w:rPr>
          <w:spacing w:val="-1"/>
          <w:w w:val="67"/>
          <w:sz w:val="18"/>
        </w:rPr>
        <w:t>r</w:t>
      </w:r>
      <w:r>
        <w:rPr>
          <w:spacing w:val="1"/>
          <w:w w:val="100"/>
          <w:sz w:val="18"/>
        </w:rPr>
        <w:t>a</w:t>
      </w:r>
      <w:r>
        <w:rPr>
          <w:w w:val="63"/>
          <w:sz w:val="18"/>
        </w:rPr>
        <w:t>t</w:t>
      </w:r>
      <w:r>
        <w:rPr>
          <w:spacing w:val="-2"/>
          <w:w w:val="102"/>
          <w:sz w:val="18"/>
        </w:rPr>
        <w:t>e</w:t>
      </w:r>
      <w:r>
        <w:rPr>
          <w:spacing w:val="-1"/>
          <w:w w:val="114"/>
          <w:sz w:val="18"/>
        </w:rPr>
        <w:t>g</w:t>
      </w:r>
      <w:r>
        <w:rPr>
          <w:w w:val="44"/>
          <w:sz w:val="18"/>
        </w:rPr>
        <w:t>i</w:t>
      </w:r>
      <w:r>
        <w:rPr>
          <w:w w:val="90"/>
          <w:sz w:val="18"/>
        </w:rPr>
        <w:t>c</w:t>
      </w:r>
      <w:r>
        <w:rPr>
          <w:spacing w:val="-40"/>
          <w:sz w:val="18"/>
        </w:rPr>
        <w:t> </w:t>
      </w:r>
      <w:r>
        <w:rPr>
          <w:w w:val="127"/>
          <w:sz w:val="18"/>
        </w:rPr>
        <w:t>A</w:t>
      </w:r>
      <w:r>
        <w:rPr>
          <w:w w:val="44"/>
          <w:sz w:val="18"/>
        </w:rPr>
        <w:t>l</w:t>
      </w:r>
      <w:r>
        <w:rPr>
          <w:spacing w:val="-2"/>
          <w:w w:val="44"/>
          <w:sz w:val="18"/>
        </w:rPr>
        <w:t>l</w:t>
      </w:r>
      <w:r>
        <w:rPr>
          <w:w w:val="114"/>
          <w:sz w:val="18"/>
        </w:rPr>
        <w:t>o</w:t>
      </w:r>
      <w:r>
        <w:rPr>
          <w:w w:val="90"/>
          <w:sz w:val="18"/>
        </w:rPr>
        <w:t>c</w:t>
      </w:r>
      <w:r>
        <w:rPr>
          <w:spacing w:val="1"/>
          <w:w w:val="100"/>
          <w:sz w:val="18"/>
        </w:rPr>
        <w:t>a</w:t>
      </w:r>
      <w:r>
        <w:rPr>
          <w:w w:val="63"/>
          <w:sz w:val="18"/>
        </w:rPr>
        <w:t>t</w:t>
      </w:r>
      <w:r>
        <w:rPr>
          <w:spacing w:val="-2"/>
          <w:w w:val="44"/>
          <w:sz w:val="18"/>
        </w:rPr>
        <w:t>i</w:t>
      </w:r>
      <w:r>
        <w:rPr>
          <w:w w:val="114"/>
          <w:sz w:val="18"/>
        </w:rPr>
        <w:t>o</w:t>
      </w:r>
      <w:r>
        <w:rPr>
          <w:spacing w:val="-1"/>
          <w:w w:val="110"/>
          <w:sz w:val="18"/>
        </w:rPr>
        <w:t>n</w:t>
      </w:r>
      <w:r>
        <w:rPr>
          <w:spacing w:val="1"/>
          <w:w w:val="81"/>
          <w:sz w:val="18"/>
        </w:rPr>
        <w:t>s</w:t>
      </w:r>
      <w:r>
        <w:rPr>
          <w:sz w:val="18"/>
        </w:rPr>
        <w:t>》</w:t>
      </w:r>
      <w:r>
        <w:rPr>
          <w:spacing w:val="-2"/>
          <w:w w:val="81"/>
          <w:sz w:val="18"/>
        </w:rPr>
        <w:t>s</w:t>
      </w:r>
      <w:r>
        <w:rPr>
          <w:spacing w:val="1"/>
          <w:w w:val="102"/>
          <w:sz w:val="18"/>
        </w:rPr>
        <w:t>ee</w:t>
      </w:r>
      <w:r>
        <w:rPr>
          <w:spacing w:val="-1"/>
          <w:w w:val="94"/>
          <w:sz w:val="18"/>
        </w:rPr>
        <w:t>k</w:t>
      </w:r>
      <w:r>
        <w:rPr>
          <w:w w:val="44"/>
          <w:sz w:val="18"/>
        </w:rPr>
        <w:t>i</w:t>
      </w:r>
      <w:r>
        <w:rPr>
          <w:spacing w:val="-1"/>
          <w:w w:val="110"/>
          <w:sz w:val="18"/>
        </w:rPr>
        <w:t>n</w:t>
      </w:r>
      <w:r>
        <w:rPr>
          <w:spacing w:val="-1"/>
          <w:w w:val="114"/>
          <w:sz w:val="18"/>
        </w:rPr>
        <w:t>g</w:t>
      </w:r>
      <w:r>
        <w:rPr>
          <w:spacing w:val="1"/>
          <w:w w:val="100"/>
          <w:sz w:val="18"/>
        </w:rPr>
        <w:t>a</w:t>
      </w:r>
      <w:r>
        <w:rPr>
          <w:w w:val="44"/>
          <w:sz w:val="18"/>
        </w:rPr>
        <w:t>l</w:t>
      </w:r>
      <w:r>
        <w:rPr>
          <w:spacing w:val="-1"/>
          <w:w w:val="114"/>
          <w:sz w:val="18"/>
        </w:rPr>
        <w:t>p</w:t>
      </w:r>
      <w:r>
        <w:rPr>
          <w:spacing w:val="-1"/>
          <w:w w:val="110"/>
          <w:sz w:val="18"/>
        </w:rPr>
        <w:t>h</w:t>
      </w:r>
      <w:r>
        <w:rPr>
          <w:spacing w:val="-2"/>
          <w:w w:val="100"/>
          <w:sz w:val="18"/>
        </w:rPr>
        <w:t>a</w:t>
      </w:r>
      <w:r>
        <w:rPr>
          <w:spacing w:val="-2"/>
          <w:w w:val="43"/>
          <w:sz w:val="18"/>
        </w:rPr>
        <w:t>.</w:t>
      </w:r>
      <w:r>
        <w:rPr>
          <w:w w:val="90"/>
          <w:sz w:val="18"/>
        </w:rPr>
        <w:t>c</w:t>
      </w:r>
      <w:r>
        <w:rPr>
          <w:w w:val="114"/>
          <w:sz w:val="18"/>
        </w:rPr>
        <w:t>o</w:t>
      </w:r>
      <w:r>
        <w:rPr>
          <w:w w:val="168"/>
          <w:sz w:val="18"/>
        </w:rPr>
        <w:t>m</w:t>
      </w:r>
    </w:p>
    <w:p>
      <w:pPr>
        <w:spacing w:after="0"/>
        <w:jc w:val="left"/>
        <w:rPr>
          <w:sz w:val="18"/>
        </w:rPr>
        <w:sectPr>
          <w:pgSz w:w="11910" w:h="16840"/>
          <w:pgMar w:header="948" w:footer="0" w:top="1460" w:bottom="280" w:left="320" w:right="220"/>
        </w:sectPr>
      </w:pPr>
    </w:p>
    <w:p>
      <w:pPr>
        <w:pStyle w:val="BodyText"/>
        <w:spacing w:before="5"/>
        <w:rPr>
          <w:sz w:val="15"/>
        </w:rPr>
      </w:pPr>
    </w:p>
    <w:p>
      <w:pPr>
        <w:pStyle w:val="BodyText"/>
        <w:spacing w:before="60"/>
        <w:ind w:left="58" w:right="21"/>
        <w:jc w:val="center"/>
      </w:pPr>
      <w:r>
        <w:rPr/>
        <w:t>如何定义交易拥挤？我们认为可以从以下几个角度来看：</w:t>
      </w:r>
    </w:p>
    <w:p>
      <w:pPr>
        <w:pStyle w:val="Heading2"/>
        <w:numPr>
          <w:ilvl w:val="1"/>
          <w:numId w:val="2"/>
        </w:numPr>
        <w:tabs>
          <w:tab w:pos="3344" w:val="left" w:leader="none"/>
          <w:tab w:pos="3345" w:val="left" w:leader="none"/>
        </w:tabs>
        <w:spacing w:line="240" w:lineRule="auto" w:before="192" w:after="0"/>
        <w:ind w:left="3344" w:right="0" w:hanging="394"/>
        <w:jc w:val="left"/>
      </w:pPr>
      <w:bookmarkStart w:name="1.  CTA基金规模" w:id="20"/>
      <w:bookmarkEnd w:id="20"/>
      <w:r>
        <w:rPr>
          <w:b w:val="0"/>
        </w:rPr>
      </w:r>
      <w:bookmarkStart w:name="_bookmark11" w:id="21"/>
      <w:bookmarkEnd w:id="21"/>
      <w:r>
        <w:rPr>
          <w:b w:val="0"/>
        </w:rPr>
      </w:r>
      <w:bookmarkStart w:name="_bookmark11" w:id="22"/>
      <w:bookmarkEnd w:id="22"/>
      <w:r>
        <w:rPr>
          <w:w w:val="95"/>
        </w:rPr>
        <w:t>C</w:t>
      </w:r>
      <w:r>
        <w:rPr>
          <w:w w:val="95"/>
        </w:rPr>
        <w:t>TA</w:t>
      </w:r>
      <w:r>
        <w:rPr>
          <w:spacing w:val="7"/>
          <w:w w:val="95"/>
        </w:rPr>
        <w:t> 基金规模</w:t>
      </w:r>
    </w:p>
    <w:p>
      <w:pPr>
        <w:pStyle w:val="BodyText"/>
        <w:spacing w:before="11"/>
        <w:rPr>
          <w:rFonts w:ascii="Microsoft JhengHei"/>
          <w:b/>
          <w:sz w:val="11"/>
        </w:rPr>
      </w:pPr>
    </w:p>
    <w:p>
      <w:pPr>
        <w:pStyle w:val="BodyText"/>
        <w:spacing w:line="333" w:lineRule="auto"/>
        <w:ind w:left="2951" w:right="542"/>
        <w:jc w:val="both"/>
      </w:pPr>
      <w:r>
        <w:rPr/>
        <w:t>首先，CTA</w:t>
      </w:r>
      <w:r>
        <w:rPr>
          <w:spacing w:val="-8"/>
        </w:rPr>
        <w:t> 基金规模是最为重要的交易拥挤指标，以全球 </w:t>
      </w:r>
      <w:r>
        <w:rPr/>
        <w:t>CTA</w:t>
      </w:r>
      <w:r>
        <w:rPr>
          <w:spacing w:val="-7"/>
        </w:rPr>
        <w:t> 经验来看，</w:t>
      </w:r>
      <w:r>
        <w:rPr/>
        <w:t>2010</w:t>
      </w:r>
      <w:r>
        <w:rPr>
          <w:spacing w:val="-13"/>
        </w:rPr>
        <w:t> 年</w:t>
      </w:r>
      <w:r>
        <w:rPr>
          <w:spacing w:val="52"/>
        </w:rPr>
        <w:t>后</w:t>
      </w:r>
      <w:r>
        <w:rPr/>
        <w:t>CTA</w:t>
      </w:r>
      <w:r>
        <w:rPr>
          <w:spacing w:val="-18"/>
        </w:rPr>
        <w:t> 规模从 </w:t>
      </w:r>
      <w:r>
        <w:rPr/>
        <w:t>2000</w:t>
      </w:r>
      <w:r>
        <w:rPr>
          <w:spacing w:val="-11"/>
        </w:rPr>
        <w:t> 亿美元快速扩充到 </w:t>
      </w:r>
      <w:r>
        <w:rPr/>
        <w:t>3500</w:t>
      </w:r>
      <w:r>
        <w:rPr>
          <w:spacing w:val="-7"/>
        </w:rPr>
        <w:t> 亿美元，绝对金额的快速增加使得交</w:t>
      </w:r>
      <w:r>
        <w:rPr>
          <w:spacing w:val="-1"/>
          <w:w w:val="100"/>
        </w:rPr>
        <w:t>易</w:t>
      </w:r>
      <w:r>
        <w:rPr>
          <w:spacing w:val="-3"/>
          <w:w w:val="100"/>
        </w:rPr>
        <w:t>🎧现拥挤，随后十年市场都处在对这</w:t>
      </w:r>
      <w:r>
        <w:rPr>
          <w:spacing w:val="-58"/>
        </w:rPr>
        <w:t> </w:t>
      </w:r>
      <w:r>
        <w:rPr>
          <w:spacing w:val="-2"/>
          <w:w w:val="105"/>
        </w:rPr>
        <w:t>150</w:t>
      </w:r>
      <w:r>
        <w:rPr>
          <w:w w:val="105"/>
        </w:rPr>
        <w:t>0</w:t>
      </w:r>
      <w:r>
        <w:rPr>
          <w:spacing w:val="-54"/>
        </w:rPr>
        <w:t> </w:t>
      </w:r>
      <w:r>
        <w:rPr>
          <w:spacing w:val="2"/>
          <w:w w:val="100"/>
        </w:rPr>
        <w:t>亿资金的消化过程中，是</w:t>
      </w:r>
      <w:r>
        <w:rPr>
          <w:w w:val="44"/>
        </w:rPr>
        <w:t>l</w:t>
      </w:r>
      <w:r>
        <w:rPr>
          <w:w w:val="115"/>
        </w:rPr>
        <w:t>o</w:t>
      </w:r>
      <w:r>
        <w:rPr>
          <w:spacing w:val="-1"/>
          <w:w w:val="81"/>
        </w:rPr>
        <w:t>s</w:t>
      </w:r>
      <w:r>
        <w:rPr>
          <w:w w:val="63"/>
        </w:rPr>
        <w:t>t</w:t>
      </w:r>
      <w:r>
        <w:rPr>
          <w:spacing w:val="-51"/>
        </w:rPr>
        <w:t> </w:t>
      </w:r>
      <w:r>
        <w:rPr>
          <w:w w:val="115"/>
        </w:rPr>
        <w:t>d</w:t>
      </w:r>
      <w:r>
        <w:rPr>
          <w:spacing w:val="-1"/>
          <w:w w:val="103"/>
        </w:rPr>
        <w:t>e</w:t>
      </w:r>
      <w:r>
        <w:rPr>
          <w:w w:val="90"/>
        </w:rPr>
        <w:t>c</w:t>
      </w:r>
      <w:r>
        <w:rPr>
          <w:spacing w:val="-3"/>
          <w:w w:val="100"/>
        </w:rPr>
        <w:t>a</w:t>
      </w:r>
      <w:r>
        <w:rPr>
          <w:spacing w:val="-3"/>
          <w:w w:val="115"/>
        </w:rPr>
        <w:t>d</w:t>
      </w:r>
      <w:r>
        <w:rPr>
          <w:w w:val="103"/>
        </w:rPr>
        <w:t>e</w:t>
      </w:r>
      <w:r>
        <w:rPr>
          <w:w w:val="105"/>
        </w:rPr>
        <w:t>的重要因素之一。</w:t>
      </w:r>
    </w:p>
    <w:p>
      <w:pPr>
        <w:spacing w:before="38"/>
        <w:ind w:left="4950" w:right="0" w:firstLine="0"/>
        <w:jc w:val="left"/>
        <w:rPr>
          <w:rFonts w:ascii="Microsoft JhengHei" w:eastAsia="Microsoft JhengHei" w:hint="eastAsia"/>
          <w:b/>
          <w:sz w:val="20"/>
        </w:rPr>
      </w:pPr>
      <w:r>
        <w:rPr/>
        <w:pict>
          <v:group style="position:absolute;margin-left:153.699997pt;margin-top:19.10078pt;width:411pt;height:261.05pt;mso-position-horizontal-relative:page;mso-position-vertical-relative:paragraph;z-index:15735296" coordorigin="3074,382" coordsize="8220,5221">
            <v:shape style="position:absolute;left:3305;top:443;width:7841;height:5160" type="#_x0000_t75" stroked="false">
              <v:imagedata r:id="rId16" o:title=""/>
            </v:shape>
            <v:line style="position:absolute" from="3074,392" to="11294,392" stroked="true" strokeweight=".96pt" strokecolor="#c06363">
              <v:stroke dashstyle="solid"/>
            </v:line>
            <v:shape style="position:absolute;left:4376;top:1699;width:2422;height:2073" coordorigin="4377,1699" coordsize="2422,2073" path="m6641,1752l6638,1752,6635,1750,6633,1748,6631,1745,6630,1742,6630,1739,6631,1736,6632,1733,6634,1730,6637,1729,6640,1728,6798,1699,6796,1706,6771,1706,6736,1736,6645,1752,6641,1752xm6736,1736l6771,1706,6776,1711,6767,1711,6760,1731,6736,1736xm6732,1859l6729,1858,6726,1857,6724,1854,6722,1852,6721,1849,6721,1845,6722,1842,6752,1755,6787,1725,6771,1706,6796,1706,6745,1850,6744,1853,6742,1856,6739,1858,6736,1859,6732,1859xm6760,1731l6767,1711,6781,1727,6760,1731xm6752,1755l6760,1731,6781,1727,6767,1711,6776,1711,6787,1725,6752,1755xm6692,1806l6676,1787,6736,1736,6760,1731,6752,1755,6692,1806xm6483,1984l6467,1965,6619,1836,6635,1855,6483,1984xm4393,3772l4377,3753,4529,3623,4545,3642,4393,3772xm4602,3593l4586,3574,4738,3444,4754,3463,4602,3593xm4811,3414l4795,3395,4947,3265,4963,3284,4811,3414xm5020,3235l5004,3216,5156,3086,5172,3105,5020,3235xm5229,3057l5213,3038,5365,2908,5381,2927,5229,3057xm5438,2878l5422,2859,5574,2729,5590,2748,5438,2878xm5647,2699l5631,2680,5783,2550,5799,2569,5647,2699xm5856,2521l5840,2502,5992,2372,6008,2391,5856,2521xm6065,2342l6049,2323,6201,2193,6217,2212,6065,2342xm6274,2163l6258,2144,6410,2014,6426,2033,6274,2163xe" filled="true" fillcolor="#c00000" stroked="false">
              <v:path arrowok="t"/>
              <v:fill type="solid"/>
            </v:shape>
            <w10:wrap type="none"/>
          </v:group>
        </w:pict>
      </w:r>
      <w:r>
        <w:rPr>
          <w:rFonts w:ascii="Microsoft JhengHei" w:eastAsia="Microsoft JhengHei" w:hint="eastAsia"/>
          <w:b/>
          <w:spacing w:val="18"/>
          <w:sz w:val="20"/>
        </w:rPr>
        <w:t>图 </w:t>
      </w:r>
      <w:r>
        <w:rPr>
          <w:rFonts w:ascii="Microsoft JhengHei" w:eastAsia="Microsoft JhengHei" w:hint="eastAsia"/>
          <w:b/>
          <w:sz w:val="20"/>
        </w:rPr>
        <w:t>4</w:t>
      </w:r>
      <w:bookmarkStart w:name="_bookmark12" w:id="23"/>
      <w:bookmarkEnd w:id="23"/>
      <w:r>
        <w:rPr>
          <w:rFonts w:ascii="Microsoft JhengHei" w:eastAsia="Microsoft JhengHei" w:hint="eastAsia"/>
          <w:b/>
          <w:spacing w:val="5"/>
          <w:sz w:val="20"/>
        </w:rPr>
        <w:t>: 全球 </w:t>
      </w:r>
      <w:r>
        <w:rPr>
          <w:rFonts w:ascii="Microsoft JhengHei" w:eastAsia="Microsoft JhengHei" w:hint="eastAsia"/>
          <w:b/>
          <w:sz w:val="20"/>
        </w:rPr>
        <w:t>CTA</w:t>
      </w:r>
      <w:r>
        <w:rPr>
          <w:rFonts w:ascii="Microsoft JhengHei" w:eastAsia="Microsoft JhengHei" w:hint="eastAsia"/>
          <w:b/>
          <w:spacing w:val="-2"/>
          <w:sz w:val="20"/>
        </w:rPr>
        <w:t> 基金规模丨单位：十亿美元</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4"/>
        <w:rPr>
          <w:rFonts w:ascii="Microsoft JhengHei"/>
          <w:b/>
          <w:sz w:val="24"/>
        </w:rPr>
      </w:pPr>
      <w:r>
        <w:rPr/>
        <w:pict>
          <v:shape style="position:absolute;margin-left:153.699997pt;margin-top:25.243326pt;width:411pt;height:.1pt;mso-position-horizontal-relative:page;mso-position-vertical-relative:paragraph;z-index:-15722496;mso-wrap-distance-left:0;mso-wrap-distance-right:0" coordorigin="3074,505" coordsize="8220,0" path="m3074,505l11294,505e" filled="false" stroked="true" strokeweight=".96pt" strokecolor="#c06363">
            <v:path arrowok="t"/>
            <v:stroke dashstyle="solid"/>
            <w10:wrap type="topAndBottom"/>
          </v:shape>
        </w:pict>
      </w:r>
    </w:p>
    <w:p>
      <w:pPr>
        <w:spacing w:before="12"/>
        <w:ind w:left="2862" w:right="0" w:firstLine="0"/>
        <w:jc w:val="left"/>
        <w:rPr>
          <w:sz w:val="16"/>
        </w:rPr>
      </w:pPr>
      <w:r>
        <w:rPr>
          <w:spacing w:val="-3"/>
          <w:w w:val="100"/>
          <w:sz w:val="16"/>
        </w:rPr>
        <w:t>数据来源：</w:t>
      </w:r>
      <w:r>
        <w:rPr>
          <w:spacing w:val="-2"/>
          <w:w w:val="112"/>
          <w:sz w:val="16"/>
        </w:rPr>
        <w:t>B</w:t>
      </w:r>
      <w:r>
        <w:rPr>
          <w:w w:val="100"/>
          <w:sz w:val="16"/>
        </w:rPr>
        <w:t>a</w:t>
      </w:r>
      <w:r>
        <w:rPr>
          <w:w w:val="68"/>
          <w:sz w:val="16"/>
        </w:rPr>
        <w:t>r</w:t>
      </w:r>
      <w:r>
        <w:rPr>
          <w:w w:val="45"/>
          <w:sz w:val="16"/>
        </w:rPr>
        <w:t>l</w:t>
      </w:r>
      <w:r>
        <w:rPr>
          <w:spacing w:val="-2"/>
          <w:w w:val="100"/>
          <w:sz w:val="16"/>
        </w:rPr>
        <w:t>a</w:t>
      </w:r>
      <w:r>
        <w:rPr>
          <w:spacing w:val="-1"/>
          <w:w w:val="94"/>
          <w:sz w:val="16"/>
        </w:rPr>
        <w:t>y</w:t>
      </w:r>
      <w:r>
        <w:rPr>
          <w:spacing w:val="-2"/>
          <w:w w:val="139"/>
          <w:sz w:val="16"/>
        </w:rPr>
        <w:t>H</w:t>
      </w:r>
      <w:r>
        <w:rPr>
          <w:spacing w:val="-2"/>
          <w:w w:val="103"/>
          <w:sz w:val="16"/>
        </w:rPr>
        <w:t>e</w:t>
      </w:r>
      <w:r>
        <w:rPr>
          <w:spacing w:val="-2"/>
          <w:w w:val="115"/>
          <w:sz w:val="16"/>
        </w:rPr>
        <w:t>dg</w:t>
      </w:r>
      <w:r>
        <w:rPr>
          <w:spacing w:val="1"/>
          <w:w w:val="103"/>
          <w:sz w:val="16"/>
        </w:rPr>
        <w:t>e</w:t>
      </w:r>
      <w:r>
        <w:rPr>
          <w:spacing w:val="-3"/>
          <w:w w:val="100"/>
          <w:sz w:val="16"/>
        </w:rPr>
        <w:t>，华泰期货研究院</w:t>
      </w:r>
    </w:p>
    <w:p>
      <w:pPr>
        <w:pStyle w:val="BodyText"/>
        <w:spacing w:before="5"/>
        <w:rPr>
          <w:sz w:val="17"/>
        </w:rPr>
      </w:pPr>
    </w:p>
    <w:p>
      <w:pPr>
        <w:pStyle w:val="BodyText"/>
        <w:spacing w:line="333" w:lineRule="auto" w:before="60"/>
        <w:ind w:left="2951" w:right="497"/>
        <w:jc w:val="both"/>
      </w:pPr>
      <w:r>
        <w:rPr/>
        <w:t>跨市场对比来看，CTA</w:t>
      </w:r>
      <w:r>
        <w:rPr>
          <w:spacing w:val="-5"/>
        </w:rPr>
        <w:t> 相对于证券和债券而言，终归属于小众市场。</w:t>
      </w:r>
      <w:r>
        <w:rPr/>
        <w:t>CTA</w:t>
      </w:r>
      <w:r>
        <w:rPr>
          <w:spacing w:val="-6"/>
        </w:rPr>
        <w:t> 基金规模</w:t>
      </w:r>
      <w:r>
        <w:rPr>
          <w:spacing w:val="-3"/>
        </w:rPr>
        <w:t>的大幅扩张大概率是由于主流市场阶段性表现不佳，而此时 </w:t>
      </w:r>
      <w:r>
        <w:rPr/>
        <w:t>CTA</w:t>
      </w:r>
      <w:r>
        <w:rPr>
          <w:spacing w:val="-8"/>
        </w:rPr>
        <w:t> 市场鹤立鸡群，才</w:t>
      </w:r>
      <w:r>
        <w:rPr/>
        <w:t>会受到投资者的追捧，从而导致基金规模大幅度扩张。1987</w:t>
      </w:r>
      <w:r>
        <w:rPr>
          <w:spacing w:val="-11"/>
        </w:rPr>
        <w:t> 年股灾、</w:t>
      </w:r>
      <w:r>
        <w:rPr/>
        <w:t>2000</w:t>
      </w:r>
      <w:r>
        <w:rPr>
          <w:spacing w:val="-12"/>
        </w:rPr>
        <w:t> 年科网</w:t>
      </w:r>
      <w:r>
        <w:rPr>
          <w:spacing w:val="-10"/>
        </w:rPr>
        <w:t>股泡沫以及 </w:t>
      </w:r>
      <w:r>
        <w:rPr/>
        <w:t>2008</w:t>
      </w:r>
      <w:r>
        <w:rPr>
          <w:spacing w:val="-12"/>
        </w:rPr>
        <w:t> 年金融危机，均导致了 </w:t>
      </w:r>
      <w:r>
        <w:rPr/>
        <w:t>CTA</w:t>
      </w:r>
      <w:r>
        <w:rPr>
          <w:spacing w:val="-8"/>
        </w:rPr>
        <w:t> 规模的快速上升。</w:t>
      </w:r>
    </w:p>
    <w:p>
      <w:pPr>
        <w:pStyle w:val="BodyText"/>
        <w:spacing w:line="333" w:lineRule="auto" w:before="148"/>
        <w:ind w:left="2951" w:right="497"/>
      </w:pPr>
      <w:r>
        <w:rPr>
          <w:spacing w:val="-4"/>
        </w:rPr>
        <w:t>海外经验如此，国内 </w:t>
      </w:r>
      <w:r>
        <w:rPr/>
        <w:t>CTA</w:t>
      </w:r>
      <w:r>
        <w:rPr>
          <w:spacing w:val="-4"/>
        </w:rPr>
        <w:t> 市场当然也不例外。我们使用更高频的</w:t>
      </w:r>
      <w:r>
        <w:rPr/>
        <w:t>CTA</w:t>
      </w:r>
      <w:r>
        <w:rPr>
          <w:spacing w:val="-7"/>
        </w:rPr>
        <w:t> 基金发行数</w:t>
      </w:r>
      <w:r>
        <w:rPr>
          <w:spacing w:val="4"/>
        </w:rPr>
        <w:t>量作为规模的代理指标。国内</w:t>
      </w:r>
      <w:r>
        <w:rPr/>
        <w:t>CTA</w:t>
      </w:r>
      <w:r>
        <w:rPr>
          <w:spacing w:val="-13"/>
        </w:rPr>
        <w:t> 大规模发行于 </w:t>
      </w:r>
      <w:r>
        <w:rPr/>
        <w:t>2021</w:t>
      </w:r>
      <w:r>
        <w:rPr>
          <w:spacing w:val="-28"/>
        </w:rPr>
        <w:t> 年 </w:t>
      </w:r>
      <w:r>
        <w:rPr/>
        <w:t>2</w:t>
      </w:r>
      <w:r>
        <w:rPr>
          <w:spacing w:val="1"/>
        </w:rPr>
        <w:t> 月以后，即</w:t>
      </w:r>
      <w:r>
        <w:rPr/>
        <w:t>A</w:t>
      </w:r>
      <w:r>
        <w:rPr>
          <w:spacing w:val="-10"/>
        </w:rPr>
        <w:t> 股市场的</w:t>
      </w:r>
      <w:r>
        <w:rPr>
          <w:w w:val="75"/>
        </w:rPr>
        <w:t>“</w:t>
      </w:r>
      <w:r>
        <w:rPr>
          <w:w w:val="95"/>
        </w:rPr>
        <w:t>茅指数</w:t>
      </w:r>
      <w:r>
        <w:rPr>
          <w:w w:val="75"/>
        </w:rPr>
        <w:t>”</w:t>
      </w:r>
      <w:r>
        <w:rPr>
          <w:spacing w:val="5"/>
          <w:w w:val="95"/>
        </w:rPr>
        <w:t>泡沫破裂后，叠加上此前</w:t>
      </w:r>
      <w:r>
        <w:rPr>
          <w:w w:val="95"/>
        </w:rPr>
        <w:t>CTA 市场表现长期优秀，大量资金从股票市场涌</w:t>
      </w:r>
      <w:r>
        <w:rPr>
          <w:spacing w:val="26"/>
          <w:w w:val="105"/>
        </w:rPr>
        <w:t>入到</w:t>
      </w:r>
      <w:r>
        <w:rPr>
          <w:w w:val="105"/>
        </w:rPr>
        <w:t>CTA</w:t>
      </w:r>
      <w:r>
        <w:rPr>
          <w:spacing w:val="-17"/>
          <w:w w:val="105"/>
        </w:rPr>
        <w:t> 市场。</w:t>
      </w:r>
    </w:p>
    <w:p>
      <w:pPr>
        <w:pStyle w:val="BodyText"/>
        <w:spacing w:line="333" w:lineRule="auto" w:before="149"/>
        <w:ind w:left="2951" w:right="592"/>
        <w:jc w:val="both"/>
      </w:pPr>
      <w:r>
        <w:rPr>
          <w:spacing w:val="5"/>
        </w:rPr>
        <w:t>从结果来看，大量新发</w:t>
      </w:r>
      <w:r>
        <w:rPr/>
        <w:t>CTA</w:t>
      </w:r>
      <w:r>
        <w:rPr>
          <w:spacing w:val="-2"/>
        </w:rPr>
        <w:t> 产品导致市场的交易拥挤度快速上升，此后的</w:t>
      </w:r>
      <w:r>
        <w:rPr/>
        <w:t>CTA</w:t>
      </w:r>
      <w:r>
        <w:rPr>
          <w:spacing w:val="-8"/>
        </w:rPr>
        <w:t> 表</w:t>
      </w:r>
      <w:r>
        <w:rPr/>
        <w:t>现收益减缓，同时波动加大，不复此前的优异表现。</w:t>
      </w:r>
    </w:p>
    <w:p>
      <w:pPr>
        <w:spacing w:after="0" w:line="333" w:lineRule="auto"/>
        <w:jc w:val="both"/>
        <w:sectPr>
          <w:pgSz w:w="11910" w:h="16840"/>
          <w:pgMar w:header="948" w:footer="0" w:top="1460" w:bottom="280" w:left="320" w:right="220"/>
        </w:sectPr>
      </w:pPr>
    </w:p>
    <w:p>
      <w:pPr>
        <w:pStyle w:val="BodyText"/>
        <w:spacing w:before="10"/>
        <w:rPr>
          <w:sz w:val="11"/>
        </w:rPr>
      </w:pPr>
    </w:p>
    <w:p>
      <w:pPr>
        <w:spacing w:line="363" w:lineRule="exact" w:before="0"/>
        <w:ind w:left="4715" w:right="0" w:firstLine="0"/>
        <w:jc w:val="left"/>
        <w:rPr>
          <w:rFonts w:ascii="Microsoft JhengHei" w:eastAsia="Microsoft JhengHei" w:hint="eastAsia"/>
          <w:b/>
          <w:sz w:val="20"/>
        </w:rPr>
      </w:pPr>
      <w:r>
        <w:rPr/>
        <w:pict>
          <v:group style="position:absolute;margin-left:165.791748pt;margin-top:23.854483pt;width:388.3pt;height:223.25pt;mso-position-horizontal-relative:page;mso-position-vertical-relative:paragraph;z-index:-15721472;mso-wrap-distance-left:0;mso-wrap-distance-right:0" coordorigin="3316,477" coordsize="7766,4465">
            <v:shape style="position:absolute;left:3315;top:477;width:7766;height:4465" type="#_x0000_t75" stroked="false">
              <v:imagedata r:id="rId17" o:title=""/>
            </v:shape>
            <v:shape style="position:absolute;left:4438;top:1638;width:4206;height:2060" coordorigin="4438,1638" coordsize="4206,2060" path="m8414,1658l4668,1658,4684,1638,8398,1638,8414,1658xm4659,1678l4621,1678,4636,1658,4675,1658,4659,1678xm4674,1678l4675,1658,4690,1658,4674,1678xm8408,1678l8392,1658,8407,1658,8408,1678xm8461,1678l8423,1678,8407,1658,8446,1658,8461,1678xm4617,1698l4579,1698,4592,1678,4631,1678,4617,1698xm8503,1698l8465,1698,8451,1678,8490,1678,8503,1698xm4566,1738l4541,1738,4553,1718,4565,1698,4604,1698,4590,1718,4578,1718,4566,1738xm8541,1738l8516,1738,8504,1718,8492,1718,8478,1698,8517,1698,8529,1718,8541,1738xm4523,1778l4508,1778,4518,1758,4529,1738,4555,1738,4544,1758,4533,1758,4523,1778xm8574,1778l8559,1778,8548,1758,8538,1758,8527,1738,8553,1738,8564,1758,8574,1778xm4533,1778l4533,1758,4544,1758,4533,1778xm8549,1778l8538,1758,8548,1758,8549,1778xm4498,1818l4480,1818,4489,1798,4498,1778,4524,1778,4514,1798,4506,1798,4498,1818xm8602,1818l8584,1818,8576,1798,8568,1798,8558,1778,8584,1778,8593,1798,8602,1818xm4468,1898l4449,1898,4454,1878,4459,1858,4465,1838,4473,1818,4498,1818,4490,1838,4491,1838,4484,1858,4478,1858,4473,1878,4473,1878,4468,1898xm8633,1898l8614,1898,8609,1878,8609,1878,8604,1858,8598,1858,8591,1838,8592,1838,8584,1818,8609,1818,8616,1838,8623,1858,8628,1878,8633,1898xm4461,1938l4441,1938,4442,1918,4445,1898,4468,1898,4465,1918,4462,1918,4461,1938xm8641,1938l8621,1938,8620,1918,8617,1918,8614,1898,8637,1898,8640,1918,8641,1938xm4459,1958l4439,1958,4440,1938,4460,1938,4459,1958xm8643,1958l8623,1958,8622,1938,8642,1938,8643,1958xm4458,1978l4438,1978,4438,1958,4458,1958,4458,1978xm8644,1978l8624,1978,8624,1958,8644,1958,8644,1978xm4458,3338l4438,3338,4438,1978,4458,1978,4458,3338xm8644,3338l8624,3338,8624,1978,8644,1978,8644,3338xm4458,3358l4438,3358,4438,3338,4458,3338,4458,3358xm8644,3358l8624,3358,8624,3338,8644,3338,8644,3358xm4460,3378l4440,3378,4439,3358,4459,3358,4460,3378xm8642,3378l8622,3378,8623,3358,8643,3358,8642,3378xm4468,3418l4445,3418,4442,3398,4441,3378,4461,3378,4462,3398,4465,3398,4468,3418xm8637,3418l8614,3418,8617,3398,8620,3398,8621,3378,8641,3378,8640,3398,8637,3418xm4498,3498l4473,3498,4465,3478,4459,3458,4454,3438,4449,3418,4468,3418,4473,3438,4473,3438,4478,3458,4484,3458,4491,3478,4490,3478,4498,3498xm8609,3498l8584,3498,8592,3478,8591,3478,8598,3458,8604,3458,8609,3438,8609,3438,8614,3418,8633,3418,8628,3438,8623,3458,8616,3478,8609,3498xm4524,3538l4498,3538,4489,3518,4480,3498,4498,3498,4506,3518,4514,3518,4524,3538xm8584,3538l8558,3538,8568,3518,8576,3518,8584,3498,8602,3498,8593,3518,8584,3538xm4555,3578l4529,3578,4518,3558,4508,3538,4523,3538,4533,3558,4544,3558,4555,3578xm4544,3558l4533,3558,4533,3538,4544,3558xm8548,3558l8538,3558,8549,3538,8548,3558xm8553,3578l8527,3578,8538,3558,8548,3558,8559,3538,8574,3538,8564,3558,8553,3578xm4604,3618l4565,3618,4553,3598,4541,3578,4566,3578,4578,3598,4590,3598,4604,3618xm8517,3618l8478,3618,8492,3598,8504,3598,8516,3578,8541,3578,8529,3598,8517,3618xm4631,3638l4592,3638,4579,3618,4617,3618,4631,3638xm8490,3638l8451,3638,8465,3618,8503,3618,8490,3638xm4675,3658l4636,3658,4621,3638,4659,3638,4675,3658xm4690,3658l4675,3658,4674,3638,4690,3658xm8407,3658l8392,3658,8408,3638,8407,3658xm8446,3658l8407,3658,8423,3638,8461,3638,8446,3658xm4788,3678l4684,3678,4668,3658,4779,3658,4788,3678xm8398,3678l8294,3678,8303,3658,8414,3658,8398,3678xm8294,3698l4788,3698,4779,3678,8303,3678,8294,3698xe" filled="true" fillcolor="#c00000" stroked="false">
              <v:path arrowok="t"/>
              <v:fill type="solid"/>
            </v:shape>
            <v:shape style="position:absolute;left:8677;top:753;width:2108;height:1396" coordorigin="8677,753" coordsize="2108,1396" path="m10570,2147l8892,2147,8857,2141,8834,2133,8813,2125,8802,2119,8792,2113,8783,2107,8773,2101,8764,2093,8755,2085,8747,2077,8739,2069,8732,2061,8725,2051,8718,2043,8712,2033,8706,2023,8701,2013,8696,2001,8692,1991,8688,1979,8685,1969,8682,1957,8680,1945,8678,1933,8677,1921,8677,1909,8677,991,8677,979,8678,967,8680,955,8682,943,8685,931,8688,921,8692,909,8696,899,8701,887,8706,877,8712,867,8718,857,8725,849,8732,839,8739,831,8747,823,8755,815,8764,807,8773,799,8783,793,8792,787,8802,781,8813,775,8834,767,8857,759,8892,753,10570,753,10605,759,10628,767,10644,773,8894,773,8883,775,8883,775,8872,777,8872,777,8861,779,8862,779,8851,781,8851,781,8841,785,8841,785,8831,789,8831,789,8821,793,8821,793,8812,799,8812,799,8802,803,8803,803,8794,809,8794,809,8785,815,8785,815,8779,821,8777,821,8769,829,8769,829,8761,837,8761,837,8756,843,8754,843,8748,851,8747,851,8742,859,8741,859,8734,869,8735,869,8729,877,8729,877,8723,887,8724,887,8719,897,8719,897,8715,905,8714,905,8711,915,8710,915,8707,925,8707,925,8704,937,8704,937,8701,947,8702,947,8700,957,8700,957,8698,969,8698,969,8697,979,8697,979,8697,991,8697,1909,8697,1919,8698,1931,8698,1931,8700,1943,8700,1943,8702,1953,8701,1953,8704,1963,8704,1963,8707,1975,8707,1975,8710,1985,8711,1985,8714,1995,8715,1995,8719,2003,8719,2003,8724,2013,8723,2013,8729,2023,8729,2023,8735,2031,8734,2031,8741,2041,8742,2041,8747,2049,8747,2049,8754,2057,8756,2057,8761,2063,8761,2063,8769,2071,8769,2071,8777,2079,8779,2079,8785,2085,8785,2085,8794,2091,8794,2091,8803,2097,8802,2097,8812,2101,8812,2101,8821,2107,8821,2107,8831,2111,8831,2111,8841,2115,8841,2115,8851,2119,8851,2119,8862,2121,8861,2121,8872,2123,8872,2123,8883,2125,8883,2125,8894,2127,8905,2127,8917,2129,10639,2129,10617,2137,10605,2141,10570,2147xm10685,823l10677,815,10677,815,10668,809,10668,809,10659,803,10660,803,10650,799,10650,799,10641,793,10641,793,10631,789,10631,789,10621,785,10621,785,10611,781,10611,781,10600,779,10601,779,10590,777,10590,777,10579,775,10579,775,10568,773,10644,773,10649,775,10660,781,10670,787,10679,793,10689,799,10698,807,10707,815,10713,821,10685,821,10685,823xm8777,823l8777,821,8779,821,8777,823xm10708,845l10701,837,10701,837,10693,829,10693,829,10685,821,10713,821,10715,823,10723,831,10730,839,10733,843,10708,843,10708,845xm8754,845l8754,843,8756,843,8754,845xm10715,853l10708,843,10733,843,10737,849,10739,851,10715,851,10715,853xm8747,853l8747,851,8748,851,8747,853xm10722,861l10715,851,10739,851,10744,857,10745,859,10721,859,10722,861xm8740,861l8741,859,8742,859,8740,861xm10748,907l10743,897,10743,897,10738,887,10739,887,10733,877,10733,877,10727,869,10728,869,10721,859,10745,859,10750,867,10756,877,10761,887,10766,899,10769,905,10748,905,10748,907xm8714,907l8714,905,8715,905,8714,907xm10752,917l10748,905,10769,905,10770,909,10772,915,10752,915,10752,917xm8710,917l8710,915,8711,915,8710,917xm10755,927l10752,915,10772,915,10776,925,10755,925,10755,927xm8707,927l8707,925,8707,925,8707,927xm10763,959l10761,947,10761,947,10758,937,10758,937,10755,925,10776,925,10777,931,10780,943,10782,955,10782,957,10762,957,10763,959xm8699,959l8700,957,8700,957,8699,959xm10785,1921l10765,1921,10765,1909,10765,991,10765,979,10765,979,10764,969,10764,969,10762,957,10782,957,10784,967,10785,979,10785,991,10785,1909,10785,1921xm8697,981l8697,979,8697,979,8697,981xm10765,981l10765,979,10765,979,10765,981xm8697,1921l8697,1921,8697,1919,8697,1921xm10782,1943l10762,1943,10764,1931,10764,1931,10765,1919,10765,1921,10785,1921,10784,1933,10782,1943xm8700,1943l8700,1943,8699,1941,8700,1943xm10776,1975l10755,1975,10758,1963,10758,1963,10761,1953,10761,1953,10763,1941,10762,1943,10782,1943,10782,1945,10780,1957,10777,1969,10776,1975xm8707,1975l8707,1975,8707,1973,8707,1975xm10772,1985l10752,1985,10755,1973,10755,1975,10776,1975,10772,1985xm8711,1985l8710,1985,8710,1983,8711,1985xm10769,1995l10748,1995,10752,1983,10752,1985,10772,1985,10770,1991,10769,1995xm8715,1995l8714,1995,8714,1993,8715,1995xm10745,2041l10721,2041,10728,2031,10727,2031,10733,2023,10733,2023,10739,2013,10738,2013,10743,2003,10743,2003,10748,1993,10748,1995,10769,1995,10766,2001,10761,2013,10756,2023,10750,2033,10745,2041xm8742,2041l8741,2041,8740,2039,8742,2041xm10733,2057l10708,2057,10715,2049,10715,2049,10722,2039,10721,2041,10745,2041,10744,2043,10737,2051,10733,2057xm8756,2057l8754,2057,8754,2055,8756,2057xm10713,2079l10685,2079,10693,2071,10693,2071,10701,2063,10701,2063,10708,2055,10708,2057,10733,2057,10730,2061,10723,2069,10715,2077,10713,2079xm8779,2079l8777,2079,8777,2077,8779,2079xm10639,2129l10545,2129,10557,2127,10568,2127,10579,2125,10579,2125,10590,2123,10590,2123,10601,2121,10600,2121,10611,2119,10611,2119,10621,2115,10621,2115,10631,2111,10631,2111,10641,2107,10641,2107,10650,2101,10650,2101,10660,2097,10659,2097,10668,2091,10668,2091,10677,2085,10677,2085,10685,2077,10685,2079,10713,2079,10707,2085,10698,2093,10689,2101,10679,2107,10670,2113,10660,2119,10649,2125,10639,2129xm10546,2149l8916,2149,8904,2147,10558,2147,10546,2149xe" filled="true" fillcolor="#6fac46" stroked="false">
              <v:path arrowok="t"/>
              <v:fill type="solid"/>
            </v:shape>
            <w10:wrap type="topAndBottom"/>
          </v:group>
        </w:pict>
      </w:r>
      <w:r>
        <w:rPr/>
        <w:pict>
          <v:line style="position:absolute;mso-position-horizontal-relative:page;mso-position-vertical-relative:paragraph;z-index:15737344" from="153.699997pt,17.443542pt" to="564.699997pt,17.443542pt" stroked="true" strokeweight=".96pt" strokecolor="#c06363">
            <v:stroke dashstyle="solid"/>
            <w10:wrap type="none"/>
          </v:line>
        </w:pict>
      </w:r>
      <w:r>
        <w:rPr>
          <w:rFonts w:ascii="Microsoft JhengHei" w:eastAsia="Microsoft JhengHei" w:hint="eastAsia"/>
          <w:b/>
          <w:spacing w:val="18"/>
          <w:sz w:val="20"/>
        </w:rPr>
        <w:t>图 </w:t>
      </w:r>
      <w:r>
        <w:rPr>
          <w:rFonts w:ascii="Microsoft JhengHei" w:eastAsia="Microsoft JhengHei" w:hint="eastAsia"/>
          <w:b/>
          <w:sz w:val="20"/>
        </w:rPr>
        <w:t>5</w:t>
      </w:r>
      <w:bookmarkStart w:name="_bookmark13" w:id="24"/>
      <w:bookmarkEnd w:id="24"/>
      <w:r>
        <w:rPr>
          <w:rFonts w:ascii="Microsoft JhengHei" w:eastAsia="Microsoft JhengHei" w:hint="eastAsia"/>
          <w:b/>
          <w:spacing w:val="-1"/>
          <w:sz w:val="20"/>
        </w:rPr>
        <w:t>: </w:t>
      </w:r>
      <w:r>
        <w:rPr>
          <w:rFonts w:ascii="Microsoft JhengHei" w:eastAsia="Microsoft JhengHei" w:hint="eastAsia"/>
          <w:b/>
          <w:sz w:val="20"/>
        </w:rPr>
        <w:t>CTA 基金发行数量与表现丨单位：点 &amp;</w:t>
      </w:r>
      <w:r>
        <w:rPr>
          <w:rFonts w:ascii="Microsoft JhengHei" w:eastAsia="Microsoft JhengHei" w:hint="eastAsia"/>
          <w:b/>
          <w:spacing w:val="18"/>
          <w:sz w:val="20"/>
        </w:rPr>
        <w:t> 只</w:t>
      </w:r>
    </w:p>
    <w:p>
      <w:pPr>
        <w:pStyle w:val="BodyText"/>
        <w:spacing w:before="6"/>
        <w:rPr>
          <w:rFonts w:ascii="Microsoft JhengHei"/>
          <w:b/>
          <w:sz w:val="5"/>
        </w:rPr>
      </w:pPr>
    </w:p>
    <w:p>
      <w:pPr>
        <w:pStyle w:val="BodyText"/>
        <w:spacing w:line="20" w:lineRule="exact"/>
        <w:ind w:left="2744"/>
        <w:rPr>
          <w:rFonts w:ascii="Microsoft JhengHei"/>
          <w:sz w:val="2"/>
        </w:rPr>
      </w:pPr>
      <w:r>
        <w:rPr>
          <w:rFonts w:ascii="Microsoft JhengHei"/>
          <w:sz w:val="2"/>
        </w:rPr>
        <w:pict>
          <v:group style="width:411pt;height:1pt;mso-position-horizontal-relative:char;mso-position-vertical-relative:line" coordorigin="0,0" coordsize="8220,20">
            <v:line style="position:absolute" from="0,10" to="8220,10" stroked="true" strokeweight=".96pt" strokecolor="#c06363">
              <v:stroke dashstyle="solid"/>
            </v:line>
          </v:group>
        </w:pict>
      </w:r>
      <w:r>
        <w:rPr>
          <w:rFonts w:ascii="Microsoft JhengHei"/>
          <w:sz w:val="2"/>
        </w:rPr>
      </w:r>
    </w:p>
    <w:p>
      <w:pPr>
        <w:spacing w:before="43"/>
        <w:ind w:left="2862" w:right="0" w:firstLine="0"/>
        <w:jc w:val="left"/>
        <w:rPr>
          <w:sz w:val="16"/>
        </w:rPr>
      </w:pPr>
      <w:r>
        <w:rPr>
          <w:spacing w:val="-3"/>
          <w:w w:val="100"/>
          <w:sz w:val="16"/>
        </w:rPr>
        <w:t>数据来源：</w:t>
      </w:r>
      <w:r>
        <w:rPr>
          <w:spacing w:val="-2"/>
          <w:w w:val="103"/>
          <w:sz w:val="16"/>
        </w:rPr>
        <w:t>S</w:t>
      </w:r>
      <w:r>
        <w:rPr>
          <w:spacing w:val="-1"/>
          <w:w w:val="136"/>
          <w:sz w:val="16"/>
        </w:rPr>
        <w:t>G</w:t>
      </w:r>
      <w:r>
        <w:rPr>
          <w:spacing w:val="-1"/>
          <w:w w:val="100"/>
          <w:sz w:val="16"/>
        </w:rPr>
        <w:t>，</w:t>
      </w:r>
      <w:r>
        <w:rPr>
          <w:w w:val="140"/>
          <w:sz w:val="16"/>
        </w:rPr>
        <w:t>w</w:t>
      </w:r>
      <w:r>
        <w:rPr>
          <w:w w:val="45"/>
          <w:sz w:val="16"/>
        </w:rPr>
        <w:t>i</w:t>
      </w:r>
      <w:r>
        <w:rPr>
          <w:w w:val="110"/>
          <w:sz w:val="16"/>
        </w:rPr>
        <w:t>n</w:t>
      </w:r>
      <w:r>
        <w:rPr>
          <w:spacing w:val="-2"/>
          <w:w w:val="115"/>
          <w:sz w:val="16"/>
        </w:rPr>
        <w:t>d</w:t>
      </w:r>
      <w:r>
        <w:rPr>
          <w:spacing w:val="-3"/>
          <w:w w:val="100"/>
          <w:sz w:val="16"/>
        </w:rPr>
        <w:t>，华泰期货研究院</w:t>
      </w:r>
    </w:p>
    <w:p>
      <w:pPr>
        <w:pStyle w:val="BodyText"/>
        <w:rPr>
          <w:sz w:val="20"/>
        </w:rPr>
      </w:pPr>
    </w:p>
    <w:p>
      <w:pPr>
        <w:pStyle w:val="BodyText"/>
        <w:spacing w:before="9"/>
        <w:rPr>
          <w:sz w:val="27"/>
        </w:rPr>
      </w:pPr>
    </w:p>
    <w:p>
      <w:pPr>
        <w:pStyle w:val="Heading2"/>
        <w:numPr>
          <w:ilvl w:val="1"/>
          <w:numId w:val="2"/>
        </w:numPr>
        <w:tabs>
          <w:tab w:pos="3344" w:val="left" w:leader="none"/>
          <w:tab w:pos="3345" w:val="left" w:leader="none"/>
        </w:tabs>
        <w:spacing w:line="392" w:lineRule="exact" w:before="0" w:after="0"/>
        <w:ind w:left="3344" w:right="0" w:hanging="394"/>
        <w:jc w:val="left"/>
      </w:pPr>
      <w:bookmarkStart w:name="2.  CTA基金规模 vs 衍生品市场规模" w:id="25"/>
      <w:bookmarkEnd w:id="25"/>
      <w:r>
        <w:rPr>
          <w:b w:val="0"/>
        </w:rPr>
      </w:r>
      <w:bookmarkStart w:name="_bookmark14" w:id="26"/>
      <w:bookmarkEnd w:id="26"/>
      <w:r>
        <w:rPr>
          <w:b w:val="0"/>
        </w:rPr>
      </w:r>
      <w:bookmarkStart w:name="_bookmark14" w:id="27"/>
      <w:bookmarkEnd w:id="27"/>
      <w:r>
        <w:rPr/>
        <w:t>C</w:t>
      </w:r>
      <w:r>
        <w:rPr/>
        <w:t>TA</w:t>
      </w:r>
      <w:r>
        <w:rPr>
          <w:spacing w:val="3"/>
        </w:rPr>
        <w:t> 基金规模 </w:t>
      </w:r>
      <w:r>
        <w:rPr/>
        <w:t>vs</w:t>
      </w:r>
      <w:r>
        <w:rPr>
          <w:spacing w:val="2"/>
        </w:rPr>
        <w:t> 衍生品市场规模</w:t>
      </w:r>
    </w:p>
    <w:p>
      <w:pPr>
        <w:pStyle w:val="BodyText"/>
        <w:spacing w:before="13"/>
        <w:rPr>
          <w:rFonts w:ascii="Microsoft JhengHei"/>
          <w:b/>
          <w:sz w:val="11"/>
        </w:rPr>
      </w:pPr>
    </w:p>
    <w:p>
      <w:pPr>
        <w:pStyle w:val="BodyText"/>
        <w:spacing w:line="331" w:lineRule="auto"/>
        <w:ind w:left="2951" w:right="388"/>
      </w:pPr>
      <w:r>
        <w:rPr/>
        <w:t>此外，CTA</w:t>
      </w:r>
      <w:r>
        <w:rPr>
          <w:spacing w:val="-1"/>
        </w:rPr>
        <w:t> 基金规模占衍生品市场规模的比例也是重要的交易拥挤指标，自 </w:t>
      </w:r>
      <w:r>
        <w:rPr/>
        <w:t>2010</w:t>
      </w:r>
      <w:r>
        <w:rPr>
          <w:spacing w:val="1"/>
        </w:rPr>
        <w:t> </w:t>
      </w:r>
      <w:r>
        <w:rPr>
          <w:spacing w:val="-9"/>
        </w:rPr>
        <w:t>年后全球市场 </w:t>
      </w:r>
      <w:r>
        <w:rPr>
          <w:spacing w:val="-1"/>
        </w:rPr>
        <w:t>CTA</w:t>
      </w:r>
      <w:r>
        <w:rPr>
          <w:spacing w:val="-13"/>
        </w:rPr>
        <w:t> 基金规模大体保持不变，而 </w:t>
      </w:r>
      <w:r>
        <w:rPr>
          <w:spacing w:val="-1"/>
        </w:rPr>
        <w:t>2019</w:t>
      </w:r>
      <w:r>
        <w:rPr>
          <w:spacing w:val="-8"/>
        </w:rPr>
        <w:t> 年后，衍生品市场大幅度发展，</w:t>
      </w:r>
      <w:r>
        <w:rPr>
          <w:spacing w:val="-107"/>
        </w:rPr>
        <w:t> </w:t>
      </w:r>
      <w:r>
        <w:rPr/>
        <w:t>交易量快速上升，CTA</w:t>
      </w:r>
      <w:r>
        <w:rPr>
          <w:spacing w:val="-8"/>
        </w:rPr>
        <w:t> 拥挤度快速下降，结果近几年海外 </w:t>
      </w:r>
      <w:r>
        <w:rPr/>
        <w:t>CTA</w:t>
      </w:r>
      <w:r>
        <w:rPr>
          <w:spacing w:val="-6"/>
        </w:rPr>
        <w:t> 基金一改往日颓势，</w:t>
      </w:r>
      <w:r>
        <w:rPr>
          <w:spacing w:val="-107"/>
        </w:rPr>
        <w:t> </w:t>
      </w:r>
      <w:r>
        <w:rPr>
          <w:w w:val="105"/>
        </w:rPr>
        <w:t>表现十分优异。</w:t>
      </w:r>
    </w:p>
    <w:p>
      <w:pPr>
        <w:spacing w:before="49"/>
        <w:ind w:left="3767" w:right="0" w:firstLine="0"/>
        <w:jc w:val="left"/>
        <w:rPr>
          <w:rFonts w:ascii="Microsoft JhengHei" w:eastAsia="Microsoft JhengHei" w:hint="eastAsia"/>
          <w:b/>
          <w:sz w:val="20"/>
        </w:rPr>
      </w:pPr>
      <w:r>
        <w:rPr/>
        <w:pict>
          <v:group style="position:absolute;margin-left:153.699997pt;margin-top:19.610785pt;width:411pt;height:234pt;mso-position-horizontal-relative:page;mso-position-vertical-relative:paragraph;z-index:15737856" coordorigin="3074,392" coordsize="8220,4680">
            <v:shape style="position:absolute;left:3431;top:453;width:7573;height:4619" type="#_x0000_t75" stroked="false">
              <v:imagedata r:id="rId18" o:title=""/>
            </v:shape>
            <v:line style="position:absolute" from="3074,402" to="11294,402" stroked="true" strokeweight=".96pt" strokecolor="#c06363">
              <v:stroke dashstyle="solid"/>
            </v:line>
            <v:shape style="position:absolute;left:9651;top:1138;width:1520;height:2860" coordorigin="9651,1138" coordsize="1520,2860" path="m11012,1158l9810,1158,9822,1138,11000,1138,11012,1158xm9807,1178l9766,1178,9776,1158,9818,1158,9807,1178xm11056,1178l11015,1178,11004,1158,11046,1158,11056,1178xm9777,1198l9736,1198,9746,1178,9787,1178,9777,1198xm11086,1198l11045,1198,11035,1178,11076,1178,11086,1198xm9749,1218l9719,1218,9727,1198,9759,1198,9749,1218xm11103,1218l11073,1218,11063,1198,11095,1198,11103,1218xm9726,1238l9703,1238,9710,1218,9734,1218,9726,1238xm11119,1238l11096,1238,11089,1218,11112,1218,11119,1238xm9712,1258l9689,1258,9695,1238,9719,1238,9712,1258xm11133,1258l11110,1258,11103,1238,11127,1238,11133,1258xm9700,1278l9677,1278,9682,1258,9706,1258,9700,1278xm11145,1278l11122,1278,11116,1258,11140,1258,11145,1278xm9682,1318l9663,1318,9667,1298,9671,1278,9695,1278,9690,1298,9686,1298,9682,1318xm11159,1318l11140,1318,11136,1298,11132,1298,11127,1278,11151,1278,11155,1298,11159,1318xm9674,1358l9654,1358,9656,1338,9659,1318,9679,1318,9676,1338,9676,1338,9674,1358xm9678,1338l9679,1318,9682,1318,9678,1338xm11144,1338l11140,1318,11143,1318,11144,1338xm11168,1358l11148,1358,11146,1338,11146,1338,11143,1318,11163,1318,11166,1338,11168,1358xm9671,1378l9651,1378,9652,1358,9672,1358,9671,1378xm11171,1378l11151,1378,11150,1358,11170,1358,11171,1378xm9671,3758l9651,3758,9651,3738,9651,1378,9671,1378,9671,1398,9671,3738,9671,3758xm11171,3758l11151,3758,11151,3738,11151,1398,11151,1378,11171,1378,11171,3738,11171,3758xm9676,3798l9656,3798,9654,3778,9652,3758,9672,3758,9674,3778,9674,3778,9676,3798xm11166,3798l11146,3798,11148,3778,11148,3778,11150,3758,11170,3758,11168,3778,11166,3798xm9690,3838l9667,3838,9663,3818,9659,3798,9678,3798,9682,3818,9685,3818,9690,3838xm11155,3838l11132,3838,11137,3818,11140,3818,11144,3798,11163,3798,11159,3818,11155,3838xm9700,3858l9677,3858,9671,3838,9695,3838,9700,3858xm11145,3858l11122,3858,11127,3838,11151,3838,11145,3858xm9712,3878l9689,3878,9682,3858,9706,3858,9712,3878xm11133,3878l11110,3878,11116,3858,11140,3858,11133,3878xm9726,3898l9703,3898,9695,3878,9719,3878,9726,3898xm11119,3898l11096,3898,11103,3878,11127,3878,11119,3898xm9741,3918l9719,3918,9710,3898,9733,3898,9741,3918xm11103,3918l11081,3918,11089,3898,11112,3898,11103,3918xm9768,3938l9736,3938,9727,3918,9758,3918,9768,3938xm11086,3938l11054,3938,11064,3918,11095,3918,11086,3938xm9797,3958l9755,3958,9746,3938,9786,3938,9797,3958xm11067,3958l11025,3958,11036,3938,11076,3938,11067,3958xm9840,3978l9787,3978,9776,3958,9828,3958,9840,3978xm11035,3978l10982,3978,10994,3958,11046,3958,11035,3978xm10988,3998l9834,3998,9822,3978,11000,3978,10988,3998xe" filled="true" fillcolor="#c00000" stroked="false">
              <v:path arrowok="t"/>
              <v:fill type="solid"/>
            </v:shape>
            <w10:wrap type="none"/>
          </v:group>
        </w:pict>
      </w:r>
      <w:r>
        <w:rPr>
          <w:rFonts w:ascii="Microsoft JhengHei" w:eastAsia="Microsoft JhengHei" w:hint="eastAsia"/>
          <w:b/>
          <w:spacing w:val="19"/>
          <w:sz w:val="20"/>
        </w:rPr>
        <w:t>图 </w:t>
      </w:r>
      <w:r>
        <w:rPr>
          <w:rFonts w:ascii="Microsoft JhengHei" w:eastAsia="Microsoft JhengHei" w:hint="eastAsia"/>
          <w:b/>
          <w:sz w:val="20"/>
        </w:rPr>
        <w:t>6</w:t>
      </w:r>
      <w:bookmarkStart w:name="_bookmark15" w:id="28"/>
      <w:bookmarkEnd w:id="28"/>
      <w:r>
        <w:rPr>
          <w:rFonts w:ascii="Microsoft JhengHei" w:eastAsia="Microsoft JhengHei" w:hint="eastAsia"/>
          <w:b/>
          <w:spacing w:val="6"/>
          <w:sz w:val="20"/>
        </w:rPr>
        <w:t>: 全球 </w:t>
      </w:r>
      <w:r>
        <w:rPr>
          <w:rFonts w:ascii="Microsoft JhengHei" w:eastAsia="Microsoft JhengHei" w:hint="eastAsia"/>
          <w:b/>
          <w:sz w:val="20"/>
        </w:rPr>
        <w:t>CTA 基金规模与衍生品市场规模丨单位：亿手 &amp;</w:t>
      </w:r>
      <w:r>
        <w:rPr>
          <w:rFonts w:ascii="Microsoft JhengHei" w:eastAsia="Microsoft JhengHei" w:hint="eastAsia"/>
          <w:b/>
          <w:spacing w:val="7"/>
          <w:sz w:val="20"/>
        </w:rPr>
        <w:t> 十亿美元</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17"/>
        </w:rPr>
      </w:pPr>
      <w:r>
        <w:rPr/>
        <w:pict>
          <v:shape style="position:absolute;margin-left:153.699997pt;margin-top:18.100309pt;width:411pt;height:.1pt;mso-position-horizontal-relative:page;mso-position-vertical-relative:paragraph;z-index:-15720448;mso-wrap-distance-left:0;mso-wrap-distance-right:0" coordorigin="3074,362" coordsize="8220,0" path="m3074,362l11294,362e" filled="false" stroked="true" strokeweight=".96pt" strokecolor="#c06363">
            <v:path arrowok="t"/>
            <v:stroke dashstyle="solid"/>
            <w10:wrap type="topAndBottom"/>
          </v:shape>
        </w:pict>
      </w:r>
    </w:p>
    <w:p>
      <w:pPr>
        <w:spacing w:before="12"/>
        <w:ind w:left="2862" w:right="0" w:firstLine="0"/>
        <w:jc w:val="left"/>
        <w:rPr>
          <w:sz w:val="16"/>
        </w:rPr>
      </w:pPr>
      <w:r>
        <w:rPr>
          <w:spacing w:val="-3"/>
          <w:w w:val="100"/>
          <w:sz w:val="16"/>
        </w:rPr>
        <w:t>数据来源：</w:t>
      </w:r>
      <w:r>
        <w:rPr>
          <w:spacing w:val="-2"/>
          <w:w w:val="112"/>
          <w:sz w:val="16"/>
        </w:rPr>
        <w:t>B</w:t>
      </w:r>
      <w:r>
        <w:rPr>
          <w:w w:val="100"/>
          <w:sz w:val="16"/>
        </w:rPr>
        <w:t>a</w:t>
      </w:r>
      <w:r>
        <w:rPr>
          <w:w w:val="68"/>
          <w:sz w:val="16"/>
        </w:rPr>
        <w:t>r</w:t>
      </w:r>
      <w:r>
        <w:rPr>
          <w:w w:val="45"/>
          <w:sz w:val="16"/>
        </w:rPr>
        <w:t>l</w:t>
      </w:r>
      <w:r>
        <w:rPr>
          <w:spacing w:val="-2"/>
          <w:w w:val="100"/>
          <w:sz w:val="16"/>
        </w:rPr>
        <w:t>a</w:t>
      </w:r>
      <w:r>
        <w:rPr>
          <w:spacing w:val="-1"/>
          <w:w w:val="94"/>
          <w:sz w:val="16"/>
        </w:rPr>
        <w:t>y</w:t>
      </w:r>
      <w:r>
        <w:rPr>
          <w:spacing w:val="-2"/>
          <w:w w:val="139"/>
          <w:sz w:val="16"/>
        </w:rPr>
        <w:t>H</w:t>
      </w:r>
      <w:r>
        <w:rPr>
          <w:spacing w:val="-2"/>
          <w:w w:val="103"/>
          <w:sz w:val="16"/>
        </w:rPr>
        <w:t>e</w:t>
      </w:r>
      <w:r>
        <w:rPr>
          <w:spacing w:val="-2"/>
          <w:w w:val="115"/>
          <w:sz w:val="16"/>
        </w:rPr>
        <w:t>dg</w:t>
      </w:r>
      <w:r>
        <w:rPr>
          <w:spacing w:val="1"/>
          <w:w w:val="103"/>
          <w:sz w:val="16"/>
        </w:rPr>
        <w:t>e</w:t>
      </w:r>
      <w:r>
        <w:rPr>
          <w:spacing w:val="-1"/>
          <w:w w:val="100"/>
          <w:sz w:val="16"/>
        </w:rPr>
        <w:t>，</w:t>
      </w:r>
      <w:r>
        <w:rPr>
          <w:w w:val="95"/>
          <w:sz w:val="16"/>
        </w:rPr>
        <w:t>F</w:t>
      </w:r>
      <w:r>
        <w:rPr>
          <w:spacing w:val="-2"/>
          <w:w w:val="49"/>
          <w:sz w:val="16"/>
        </w:rPr>
        <w:t>I</w:t>
      </w:r>
      <w:r>
        <w:rPr>
          <w:spacing w:val="-2"/>
          <w:w w:val="128"/>
          <w:sz w:val="16"/>
        </w:rPr>
        <w:t>A</w:t>
      </w:r>
      <w:r>
        <w:rPr>
          <w:spacing w:val="-3"/>
          <w:w w:val="100"/>
          <w:sz w:val="16"/>
        </w:rPr>
        <w:t>，华泰期货研究院</w:t>
      </w:r>
    </w:p>
    <w:p>
      <w:pPr>
        <w:spacing w:after="0"/>
        <w:jc w:val="left"/>
        <w:rPr>
          <w:sz w:val="16"/>
        </w:rPr>
        <w:sectPr>
          <w:pgSz w:w="11910" w:h="16840"/>
          <w:pgMar w:header="948" w:footer="0" w:top="1460" w:bottom="280" w:left="320" w:right="220"/>
        </w:sectPr>
      </w:pPr>
    </w:p>
    <w:p>
      <w:pPr>
        <w:pStyle w:val="BodyText"/>
        <w:spacing w:before="5"/>
        <w:rPr>
          <w:sz w:val="15"/>
        </w:rPr>
      </w:pPr>
    </w:p>
    <w:p>
      <w:pPr>
        <w:pStyle w:val="BodyText"/>
        <w:spacing w:line="333" w:lineRule="auto" w:before="60"/>
        <w:ind w:left="2951" w:right="519"/>
      </w:pPr>
      <w:r>
        <w:rPr/>
        <w:t>同样，在国内市场，2021</w:t>
      </w:r>
      <w:r>
        <w:rPr>
          <w:spacing w:val="-29"/>
        </w:rPr>
        <w:t> 年 </w:t>
      </w:r>
      <w:r>
        <w:rPr/>
        <w:t>2</w:t>
      </w:r>
      <w:r>
        <w:rPr>
          <w:spacing w:val="-5"/>
        </w:rPr>
        <w:t> 月后，国内衍生品市场成交量仍在扩大，因此</w:t>
      </w:r>
      <w:r>
        <w:rPr/>
        <w:t>CTA</w:t>
      </w:r>
      <w:r>
        <w:rPr>
          <w:spacing w:val="1"/>
        </w:rPr>
        <w:t> </w:t>
      </w:r>
      <w:r>
        <w:rPr>
          <w:spacing w:val="-4"/>
        </w:rPr>
        <w:t>表现仍旧可圈可点。但从 </w:t>
      </w:r>
      <w:r>
        <w:rPr/>
        <w:t>2022</w:t>
      </w:r>
      <w:r>
        <w:rPr>
          <w:spacing w:val="-3"/>
        </w:rPr>
        <w:t> 年开始，市场整体量能萎缩，但</w:t>
      </w:r>
      <w:r>
        <w:rPr/>
        <w:t>CTA</w:t>
      </w:r>
      <w:r>
        <w:rPr>
          <w:spacing w:val="-6"/>
        </w:rPr>
        <w:t> 基金规模仍处</w:t>
      </w:r>
      <w:r>
        <w:rPr/>
        <w:t>在高位，新发依旧火爆，此时交易拥挤度快速上升，2022</w:t>
      </w:r>
      <w:r>
        <w:rPr>
          <w:spacing w:val="5"/>
        </w:rPr>
        <w:t> 年后</w:t>
      </w:r>
      <w:r>
        <w:rPr/>
        <w:t>CTA</w:t>
      </w:r>
      <w:r>
        <w:rPr>
          <w:spacing w:val="-11"/>
        </w:rPr>
        <w:t> 表现也</w:t>
      </w:r>
      <w:r>
        <w:rPr/>
        <w:t>🎧现历</w:t>
      </w:r>
      <w:r>
        <w:rPr>
          <w:w w:val="105"/>
        </w:rPr>
        <w:t>史最大回撤。</w:t>
      </w:r>
    </w:p>
    <w:p>
      <w:pPr>
        <w:spacing w:before="37"/>
        <w:ind w:left="3767" w:right="0" w:firstLine="0"/>
        <w:jc w:val="left"/>
        <w:rPr>
          <w:rFonts w:ascii="Microsoft JhengHei" w:eastAsia="Microsoft JhengHei" w:hint="eastAsia"/>
          <w:b/>
          <w:sz w:val="20"/>
        </w:rPr>
      </w:pPr>
      <w:r>
        <w:rPr/>
        <w:pict>
          <v:group style="position:absolute;margin-left:168.886444pt;margin-top:25.944298pt;width:386.75pt;height:257.9pt;mso-position-horizontal-relative:page;mso-position-vertical-relative:paragraph;z-index:-15718912;mso-wrap-distance-left:0;mso-wrap-distance-right:0" coordorigin="3378,519" coordsize="7735,5158">
            <v:shape style="position:absolute;left:3377;top:518;width:7618;height:5158" type="#_x0000_t75" stroked="false">
              <v:imagedata r:id="rId19" o:title=""/>
            </v:shape>
            <v:shape style="position:absolute;left:6721;top:1375;width:2731;height:1697" coordorigin="6722,1375" coordsize="2731,1697" path="m9303,1391l9301,1391,9299,1389,9298,1388,9297,1387,9297,1385,9297,1383,9299,1381,9301,1380,9303,1379,9452,1375,9451,1376,9439,1376,9420,1388,9303,1391xm9420,1388l9439,1376,9440,1378,9437,1378,9432,1388,9420,1388xm9376,1510l9374,1509,9372,1508,9371,1506,9371,1503,9371,1501,9426,1398,9445,1386,9439,1376,9451,1376,9382,1507,9381,1509,9379,1510,9376,1510xm9432,1388l9437,1378,9442,1387,9432,1388xm9426,1398l9432,1388,9442,1387,9437,1378,9440,1378,9445,1386,9426,1398xm6728,3071l6722,3061,9420,1388,9432,1388,9426,1398,6728,3071xe" filled="true" fillcolor="#c00000" stroked="false">
              <v:path arrowok="t"/>
              <v:fill type="solid"/>
            </v:shape>
            <v:shape style="position:absolute;left:9869;top:1906;width:1243;height:471" coordorigin="9869,1906" coordsize="1243,471" path="m11078,2343l9869,1918,9873,1906,11082,2332,11090,2341,11078,2343xm11103,2351l11099,2351,11103,2339,11082,2332,11006,2243,11005,2241,11005,2239,11006,2236,11007,2235,11009,2233,11011,2233,11014,2234,11015,2235,11112,2349,11103,2351xm11090,2341l11082,2332,11102,2339,11100,2339,11090,2341xm11096,2349l11090,2341,11100,2339,11096,2349xm11099,2349l11096,2349,11100,2339,11102,2339,11103,2339,11099,2349xm11099,2351l11078,2343,11090,2341,11096,2349,11099,2349,11099,2351xm10965,2377l10963,2377,10961,2376,10959,2375,10958,2372,10958,2370,10959,2368,10961,2366,10963,2365,11078,2343,11099,2351,11103,2351,10965,2377xe" filled="true" fillcolor="#6fac46" stroked="false">
              <v:path arrowok="t"/>
              <v:fill type="solid"/>
            </v:shape>
            <w10:wrap type="topAndBottom"/>
          </v:group>
        </w:pict>
      </w:r>
      <w:r>
        <w:rPr/>
        <w:pict>
          <v:shape style="position:absolute;margin-left:153.699997pt;margin-top:292.030762pt;width:411pt;height:.1pt;mso-position-horizontal-relative:page;mso-position-vertical-relative:paragraph;z-index:-15718400;mso-wrap-distance-left:0;mso-wrap-distance-right:0" coordorigin="3074,5841" coordsize="8220,0" path="m3074,5841l11294,5841e" filled="false" stroked="true" strokeweight=".96pt" strokecolor="#c06363">
            <v:path arrowok="t"/>
            <v:stroke dashstyle="solid"/>
            <w10:wrap type="topAndBottom"/>
          </v:shape>
        </w:pict>
      </w:r>
      <w:r>
        <w:rPr/>
        <w:pict>
          <v:line style="position:absolute;mso-position-horizontal-relative:page;mso-position-vertical-relative:paragraph;z-index:15739392" from="153.699997pt,19.530756pt" to="564.699997pt,19.530756pt" stroked="true" strokeweight=".96pt" strokecolor="#c06363">
            <v:stroke dashstyle="solid"/>
            <w10:wrap type="none"/>
          </v:line>
        </w:pict>
      </w:r>
      <w:r>
        <w:rPr>
          <w:rFonts w:ascii="Microsoft JhengHei" w:eastAsia="Microsoft JhengHei" w:hint="eastAsia"/>
          <w:b/>
          <w:spacing w:val="19"/>
          <w:sz w:val="20"/>
        </w:rPr>
        <w:t>图 </w:t>
      </w:r>
      <w:r>
        <w:rPr>
          <w:rFonts w:ascii="Microsoft JhengHei" w:eastAsia="Microsoft JhengHei" w:hint="eastAsia"/>
          <w:b/>
          <w:sz w:val="20"/>
        </w:rPr>
        <w:t>7</w:t>
      </w:r>
      <w:bookmarkStart w:name="_bookmark16" w:id="29"/>
      <w:bookmarkEnd w:id="29"/>
      <w:r>
        <w:rPr>
          <w:rFonts w:ascii="Microsoft JhengHei" w:eastAsia="Microsoft JhengHei" w:hint="eastAsia"/>
          <w:b/>
          <w:spacing w:val="6"/>
          <w:sz w:val="20"/>
        </w:rPr>
        <w:t>: 国内 </w:t>
      </w:r>
      <w:r>
        <w:rPr>
          <w:rFonts w:ascii="Microsoft JhengHei" w:eastAsia="Microsoft JhengHei" w:hint="eastAsia"/>
          <w:b/>
          <w:sz w:val="20"/>
        </w:rPr>
        <w:t>CTA</w:t>
      </w:r>
      <w:r>
        <w:rPr>
          <w:rFonts w:ascii="Microsoft JhengHei" w:eastAsia="Microsoft JhengHei" w:hint="eastAsia"/>
          <w:b/>
          <w:spacing w:val="-1"/>
          <w:sz w:val="20"/>
        </w:rPr>
        <w:t> 基金发行数量与衍生品市场规模丨单位：百万手 </w:t>
      </w:r>
      <w:r>
        <w:rPr>
          <w:rFonts w:ascii="Microsoft JhengHei" w:eastAsia="Microsoft JhengHei" w:hint="eastAsia"/>
          <w:b/>
          <w:sz w:val="20"/>
        </w:rPr>
        <w:t>&amp;</w:t>
      </w:r>
      <w:r>
        <w:rPr>
          <w:rFonts w:ascii="Microsoft JhengHei" w:eastAsia="Microsoft JhengHei" w:hint="eastAsia"/>
          <w:b/>
          <w:spacing w:val="19"/>
          <w:sz w:val="20"/>
        </w:rPr>
        <w:t> 只</w:t>
      </w:r>
    </w:p>
    <w:p>
      <w:pPr>
        <w:pStyle w:val="BodyText"/>
        <w:spacing w:before="12"/>
        <w:rPr>
          <w:rFonts w:ascii="Microsoft JhengHei"/>
          <w:b/>
          <w:sz w:val="4"/>
        </w:rPr>
      </w:pPr>
    </w:p>
    <w:p>
      <w:pPr>
        <w:spacing w:before="13"/>
        <w:ind w:left="2862" w:right="0" w:firstLine="0"/>
        <w:jc w:val="left"/>
        <w:rPr>
          <w:sz w:val="16"/>
        </w:rPr>
      </w:pPr>
      <w:r>
        <w:rPr>
          <w:spacing w:val="-3"/>
          <w:w w:val="100"/>
          <w:sz w:val="16"/>
        </w:rPr>
        <w:t>数据来源：</w:t>
      </w:r>
      <w:r>
        <w:rPr>
          <w:w w:val="140"/>
          <w:sz w:val="16"/>
        </w:rPr>
        <w:t>w</w:t>
      </w:r>
      <w:r>
        <w:rPr>
          <w:w w:val="45"/>
          <w:sz w:val="16"/>
        </w:rPr>
        <w:t>i</w:t>
      </w:r>
      <w:r>
        <w:rPr>
          <w:w w:val="110"/>
          <w:sz w:val="16"/>
        </w:rPr>
        <w:t>n</w:t>
      </w:r>
      <w:r>
        <w:rPr>
          <w:spacing w:val="-4"/>
          <w:w w:val="115"/>
          <w:sz w:val="16"/>
        </w:rPr>
        <w:t>d</w:t>
      </w:r>
      <w:r>
        <w:rPr>
          <w:spacing w:val="-3"/>
          <w:w w:val="100"/>
          <w:sz w:val="16"/>
        </w:rPr>
        <w:t>，华泰期货研究院</w:t>
      </w:r>
    </w:p>
    <w:p>
      <w:pPr>
        <w:pStyle w:val="BodyText"/>
        <w:spacing w:before="6"/>
        <w:rPr>
          <w:sz w:val="17"/>
        </w:rPr>
      </w:pPr>
    </w:p>
    <w:p>
      <w:pPr>
        <w:pStyle w:val="BodyText"/>
        <w:spacing w:line="331" w:lineRule="auto" w:before="59"/>
        <w:ind w:left="2951" w:right="497"/>
        <w:jc w:val="both"/>
      </w:pPr>
      <w:r>
        <w:rPr>
          <w:spacing w:val="10"/>
        </w:rPr>
        <w:t>另外，国内</w:t>
      </w:r>
      <w:r>
        <w:rPr/>
        <w:t>CTA</w:t>
      </w:r>
      <w:r>
        <w:rPr>
          <w:spacing w:val="8"/>
        </w:rPr>
        <w:t> 与全球</w:t>
      </w:r>
      <w:r>
        <w:rPr/>
        <w:t>CTA</w:t>
      </w:r>
      <w:r>
        <w:rPr>
          <w:spacing w:val="-2"/>
        </w:rPr>
        <w:t> 在规模的影响上存在一个重要区别，即全球</w:t>
      </w:r>
      <w:r>
        <w:rPr/>
        <w:t>CTA</w:t>
      </w:r>
      <w:r>
        <w:rPr>
          <w:spacing w:val="-6"/>
        </w:rPr>
        <w:t> 的标</w:t>
      </w:r>
      <w:r>
        <w:rPr>
          <w:spacing w:val="-1"/>
        </w:rPr>
        <w:t>的底层市场不仅仅局限于商品，更包括权益、债券以及外汇等更大规模的市场，但</w:t>
      </w:r>
      <w:r>
        <w:rPr>
          <w:spacing w:val="26"/>
        </w:rPr>
        <w:t>国内</w:t>
      </w:r>
      <w:r>
        <w:rPr/>
        <w:t>CTA</w:t>
      </w:r>
      <w:r>
        <w:rPr>
          <w:spacing w:val="-8"/>
        </w:rPr>
        <w:t> 以商品为主，辅以股指，在债券和外汇上则基本无涉及。</w:t>
      </w:r>
    </w:p>
    <w:p>
      <w:pPr>
        <w:pStyle w:val="BodyText"/>
        <w:spacing w:line="333" w:lineRule="auto" w:before="158"/>
        <w:ind w:left="2951" w:right="497"/>
        <w:jc w:val="both"/>
      </w:pPr>
      <w:r>
        <w:rPr>
          <w:spacing w:val="-7"/>
        </w:rPr>
        <w:t>这导致了国内 </w:t>
      </w:r>
      <w:r>
        <w:rPr/>
        <w:t>CTA</w:t>
      </w:r>
      <w:r>
        <w:rPr>
          <w:spacing w:val="-11"/>
        </w:rPr>
        <w:t> 的天然规模容量就远低于全球 </w:t>
      </w:r>
      <w:r>
        <w:rPr/>
        <w:t>CTA，实际情况也是如此，也更容</w:t>
      </w:r>
      <w:r>
        <w:rPr>
          <w:w w:val="105"/>
        </w:rPr>
        <w:t>易🎧现交易拥挤的问题。</w:t>
      </w:r>
    </w:p>
    <w:p>
      <w:pPr>
        <w:pStyle w:val="BodyText"/>
        <w:spacing w:line="333" w:lineRule="auto" w:before="152"/>
        <w:ind w:left="2951" w:right="519"/>
        <w:jc w:val="both"/>
      </w:pPr>
      <w:r>
        <w:rPr>
          <w:spacing w:val="7"/>
        </w:rPr>
        <w:t>因此，我们认为</w:t>
      </w:r>
      <w:r>
        <w:rPr/>
        <w:t>CTA</w:t>
      </w:r>
      <w:r>
        <w:rPr>
          <w:spacing w:val="-9"/>
        </w:rPr>
        <w:t> 产品的过量发行以及衍生品市场自 </w:t>
      </w:r>
      <w:r>
        <w:rPr/>
        <w:t>2022</w:t>
      </w:r>
      <w:r>
        <w:rPr>
          <w:spacing w:val="-6"/>
        </w:rPr>
        <w:t> 年开始的交投热情下</w:t>
      </w:r>
      <w:r>
        <w:rPr>
          <w:spacing w:val="13"/>
        </w:rPr>
        <w:t>降是本轮</w:t>
      </w:r>
      <w:r>
        <w:rPr/>
        <w:t>CTA</w:t>
      </w:r>
      <w:r>
        <w:rPr>
          <w:spacing w:val="-6"/>
        </w:rPr>
        <w:t> 回撤的第一个重要影响因素。</w:t>
      </w:r>
      <w:r>
        <w:rPr/>
        <w:t>2023</w:t>
      </w:r>
      <w:r>
        <w:rPr>
          <w:spacing w:val="-7"/>
        </w:rPr>
        <w:t> 年以来，</w:t>
      </w:r>
      <w:r>
        <w:rPr/>
        <w:t>CTA</w:t>
      </w:r>
      <w:r>
        <w:rPr>
          <w:spacing w:val="-6"/>
        </w:rPr>
        <w:t> 基金的新发数量已</w:t>
      </w:r>
      <w:r>
        <w:rPr>
          <w:spacing w:val="-16"/>
        </w:rPr>
        <w:t>降至 </w:t>
      </w:r>
      <w:r>
        <w:rPr/>
        <w:t>2018</w:t>
      </w:r>
      <w:r>
        <w:rPr>
          <w:spacing w:val="-21"/>
        </w:rPr>
        <w:t> 年</w:t>
      </w:r>
      <w:r>
        <w:rPr/>
        <w:t>~2019</w:t>
      </w:r>
      <w:r>
        <w:rPr>
          <w:spacing w:val="-7"/>
        </w:rPr>
        <w:t> 年时的谷底阶段，从新发来看已没有更多的新进玩家。有效化</w:t>
      </w:r>
      <w:r>
        <w:rPr>
          <w:spacing w:val="3"/>
        </w:rPr>
        <w:t>解存量、开发更大市场是幸存的</w:t>
      </w:r>
      <w:r>
        <w:rPr/>
        <w:t>CTA</w:t>
      </w:r>
      <w:r>
        <w:rPr>
          <w:spacing w:val="-8"/>
        </w:rPr>
        <w:t> 基金突围的重要路径。</w:t>
      </w:r>
    </w:p>
    <w:p>
      <w:pPr>
        <w:pStyle w:val="BodyText"/>
        <w:spacing w:line="331" w:lineRule="auto" w:before="149"/>
        <w:ind w:left="2951" w:right="497"/>
        <w:jc w:val="both"/>
      </w:pPr>
      <w:r>
        <w:rPr>
          <w:spacing w:val="-7"/>
        </w:rPr>
        <w:t>在底层资产端，国内 </w:t>
      </w:r>
      <w:r>
        <w:rPr>
          <w:spacing w:val="-1"/>
        </w:rPr>
        <w:t>CTA</w:t>
      </w:r>
      <w:r>
        <w:rPr>
          <w:spacing w:val="-9"/>
        </w:rPr>
        <w:t> 不应囿于商品类资产，更应该拓宽在权益、债券乃至外汇</w:t>
      </w:r>
      <w:r>
        <w:rPr>
          <w:spacing w:val="-1"/>
        </w:rPr>
        <w:t>等大类品种上的交易机会，充分利用好境外商品互换等工具，实现趋势策略的更广</w:t>
      </w:r>
      <w:r>
        <w:rPr/>
        <w:t>覆盖。</w:t>
      </w:r>
    </w:p>
    <w:p>
      <w:pPr>
        <w:pStyle w:val="BodyText"/>
        <w:spacing w:before="160"/>
        <w:ind w:left="2951"/>
        <w:jc w:val="both"/>
      </w:pPr>
      <w:r>
        <w:rPr/>
        <w:t>在化解存量上，2021 年以来过量发行的CTA</w:t>
      </w:r>
      <w:r>
        <w:rPr>
          <w:spacing w:val="-6"/>
        </w:rPr>
        <w:t> 基金良莠不齐，优秀的管理人也触及</w:t>
      </w:r>
    </w:p>
    <w:p>
      <w:pPr>
        <w:spacing w:after="0"/>
        <w:jc w:val="both"/>
        <w:sectPr>
          <w:pgSz w:w="11910" w:h="16840"/>
          <w:pgMar w:header="948" w:footer="0" w:top="1460" w:bottom="280" w:left="320" w:right="220"/>
        </w:sectPr>
      </w:pPr>
    </w:p>
    <w:p>
      <w:pPr>
        <w:pStyle w:val="BodyText"/>
        <w:spacing w:before="5"/>
        <w:rPr>
          <w:sz w:val="15"/>
        </w:rPr>
      </w:pPr>
    </w:p>
    <w:p>
      <w:pPr>
        <w:pStyle w:val="BodyText"/>
        <w:spacing w:line="333" w:lineRule="auto" w:before="60"/>
        <w:ind w:left="2951" w:right="497"/>
      </w:pPr>
      <w:r>
        <w:rPr>
          <w:spacing w:val="-1"/>
        </w:rPr>
        <w:t>管理规模的能力上限，如市场能够尽快</w:t>
      </w:r>
      <w:r>
        <w:rPr/>
        <w:t>🎧清，那么规模因素的影响就可以降至可接受的程度。</w:t>
      </w:r>
    </w:p>
    <w:p>
      <w:pPr>
        <w:pStyle w:val="BodyText"/>
      </w:pPr>
    </w:p>
    <w:p>
      <w:pPr>
        <w:pStyle w:val="BodyText"/>
        <w:spacing w:before="3"/>
        <w:rPr>
          <w:sz w:val="27"/>
        </w:rPr>
      </w:pPr>
    </w:p>
    <w:p>
      <w:pPr>
        <w:pStyle w:val="Heading2"/>
        <w:numPr>
          <w:ilvl w:val="2"/>
          <w:numId w:val="1"/>
        </w:numPr>
        <w:tabs>
          <w:tab w:pos="3340" w:val="left" w:leader="none"/>
        </w:tabs>
        <w:spacing w:line="240" w:lineRule="auto" w:before="0" w:after="0"/>
        <w:ind w:left="3340" w:right="0" w:hanging="389"/>
        <w:jc w:val="left"/>
      </w:pPr>
      <w:bookmarkStart w:name="■市场有效波动" w:id="30"/>
      <w:bookmarkEnd w:id="30"/>
      <w:r>
        <w:rPr>
          <w:b w:val="0"/>
        </w:rPr>
      </w:r>
      <w:bookmarkStart w:name="_bookmark17" w:id="31"/>
      <w:bookmarkEnd w:id="31"/>
      <w:r>
        <w:rPr>
          <w:b w:val="0"/>
        </w:rPr>
      </w:r>
      <w:bookmarkStart w:name="_bookmark17" w:id="32"/>
      <w:bookmarkEnd w:id="32"/>
      <w:r>
        <w:rPr>
          <w:color w:val="C00000"/>
          <w:spacing w:val="-1"/>
        </w:rPr>
        <w:t>市场有效波动</w:t>
      </w:r>
    </w:p>
    <w:p>
      <w:pPr>
        <w:pStyle w:val="BodyText"/>
        <w:spacing w:line="331" w:lineRule="auto" w:before="209"/>
        <w:ind w:left="2951" w:right="492"/>
      </w:pPr>
      <w:r>
        <w:rPr>
          <w:spacing w:val="10"/>
        </w:rPr>
        <w:t>不管是全球</w:t>
      </w:r>
      <w:r>
        <w:rPr/>
        <w:t>CTA</w:t>
      </w:r>
      <w:r>
        <w:rPr>
          <w:spacing w:val="4"/>
        </w:rPr>
        <w:t> 还是国内</w:t>
      </w:r>
      <w:r>
        <w:rPr/>
        <w:t>CTA</w:t>
      </w:r>
      <w:r>
        <w:rPr>
          <w:spacing w:val="-2"/>
        </w:rPr>
        <w:t>，趋势跟踪策略都是最常见且占比最大的 </w:t>
      </w:r>
      <w:r>
        <w:rPr/>
        <w:t>CTA</w:t>
      </w:r>
      <w:r>
        <w:rPr>
          <w:spacing w:val="-9"/>
        </w:rPr>
        <w:t> 子策</w:t>
      </w:r>
      <w:r>
        <w:rPr>
          <w:spacing w:val="-1"/>
        </w:rPr>
        <w:t>略，而趋势类型策略最依赖的就是标的物的有效波动。因此，除了交易热度以外，</w:t>
      </w:r>
      <w:r>
        <w:rPr>
          <w:spacing w:val="-107"/>
        </w:rPr>
        <w:t> </w:t>
      </w:r>
      <w:r>
        <w:rPr>
          <w:spacing w:val="2"/>
        </w:rPr>
        <w:t>有效波动的减少造成的市场环境变化也是本轮</w:t>
      </w:r>
      <w:r>
        <w:rPr/>
        <w:t>CTA</w:t>
      </w:r>
      <w:r>
        <w:rPr>
          <w:spacing w:val="-8"/>
        </w:rPr>
        <w:t> 回撤的重要因素。</w:t>
      </w:r>
    </w:p>
    <w:p>
      <w:pPr>
        <w:pStyle w:val="BodyText"/>
        <w:spacing w:line="331" w:lineRule="auto" w:before="160"/>
        <w:ind w:left="2951" w:right="497"/>
        <w:jc w:val="both"/>
      </w:pPr>
      <w:r>
        <w:rPr>
          <w:spacing w:val="3"/>
          <w:w w:val="100"/>
        </w:rPr>
        <w:t>全球</w:t>
      </w:r>
      <w:r>
        <w:rPr>
          <w:spacing w:val="-51"/>
        </w:rPr>
        <w:t> </w:t>
      </w:r>
      <w:r>
        <w:rPr>
          <w:spacing w:val="-1"/>
          <w:w w:val="124"/>
        </w:rPr>
        <w:t>C</w:t>
      </w:r>
      <w:r>
        <w:rPr>
          <w:w w:val="103"/>
        </w:rPr>
        <w:t>T</w:t>
      </w:r>
      <w:r>
        <w:rPr>
          <w:w w:val="127"/>
        </w:rPr>
        <w:t>A</w:t>
      </w:r>
      <w:r>
        <w:rPr>
          <w:spacing w:val="-52"/>
        </w:rPr>
        <w:t> </w:t>
      </w:r>
      <w:r>
        <w:rPr>
          <w:spacing w:val="4"/>
          <w:w w:val="100"/>
        </w:rPr>
        <w:t>知名管理人</w:t>
      </w:r>
      <w:r>
        <w:rPr>
          <w:spacing w:val="-48"/>
        </w:rPr>
        <w:t> </w:t>
      </w:r>
      <w:r>
        <w:rPr>
          <w:spacing w:val="-2"/>
          <w:w w:val="127"/>
        </w:rPr>
        <w:t>A</w:t>
      </w:r>
      <w:r>
        <w:rPr>
          <w:w w:val="152"/>
        </w:rPr>
        <w:t>Q</w:t>
      </w:r>
      <w:r>
        <w:rPr>
          <w:w w:val="115"/>
        </w:rPr>
        <w:t>R</w:t>
      </w:r>
      <w:r>
        <w:rPr>
          <w:spacing w:val="-51"/>
        </w:rPr>
        <w:t> </w:t>
      </w:r>
      <w:r>
        <w:rPr>
          <w:w w:val="100"/>
        </w:rPr>
        <w:t>在</w:t>
      </w:r>
      <w:r>
        <w:rPr>
          <w:spacing w:val="-48"/>
        </w:rPr>
        <w:t> </w:t>
      </w:r>
      <w:r>
        <w:rPr>
          <w:spacing w:val="-2"/>
          <w:w w:val="105"/>
        </w:rPr>
        <w:t>201</w:t>
      </w:r>
      <w:r>
        <w:rPr>
          <w:w w:val="105"/>
        </w:rPr>
        <w:t>9</w:t>
      </w:r>
      <w:r>
        <w:rPr>
          <w:spacing w:val="-49"/>
        </w:rPr>
        <w:t> </w:t>
      </w:r>
      <w:r>
        <w:rPr>
          <w:spacing w:val="5"/>
          <w:w w:val="100"/>
        </w:rPr>
        <w:t>年的文献《</w:t>
      </w:r>
      <w:r>
        <w:rPr>
          <w:spacing w:val="-1"/>
          <w:w w:val="109"/>
        </w:rPr>
        <w:t>Y</w:t>
      </w:r>
      <w:r>
        <w:rPr>
          <w:w w:val="115"/>
        </w:rPr>
        <w:t>o</w:t>
      </w:r>
      <w:r>
        <w:rPr>
          <w:w w:val="110"/>
        </w:rPr>
        <w:t>u</w:t>
      </w:r>
      <w:r>
        <w:rPr>
          <w:spacing w:val="-45"/>
        </w:rPr>
        <w:t> </w:t>
      </w:r>
      <w:r>
        <w:rPr>
          <w:spacing w:val="-1"/>
          <w:w w:val="124"/>
        </w:rPr>
        <w:t>C</w:t>
      </w:r>
      <w:r>
        <w:rPr>
          <w:spacing w:val="-1"/>
          <w:w w:val="100"/>
        </w:rPr>
        <w:t>a</w:t>
      </w:r>
      <w:r>
        <w:rPr>
          <w:spacing w:val="5"/>
          <w:w w:val="110"/>
        </w:rPr>
        <w:t>n</w:t>
      </w:r>
      <w:r>
        <w:rPr>
          <w:spacing w:val="6"/>
          <w:w w:val="22"/>
        </w:rPr>
        <w:t>’</w:t>
      </w:r>
      <w:r>
        <w:rPr>
          <w:w w:val="63"/>
        </w:rPr>
        <w:t>t</w:t>
      </w:r>
      <w:r>
        <w:rPr>
          <w:spacing w:val="-42"/>
        </w:rPr>
        <w:t> </w:t>
      </w:r>
      <w:r>
        <w:rPr>
          <w:w w:val="127"/>
        </w:rPr>
        <w:t>A</w:t>
      </w:r>
      <w:r>
        <w:rPr>
          <w:spacing w:val="-2"/>
          <w:w w:val="44"/>
        </w:rPr>
        <w:t>l</w:t>
      </w:r>
      <w:r>
        <w:rPr>
          <w:spacing w:val="-2"/>
          <w:w w:val="140"/>
        </w:rPr>
        <w:t>w</w:t>
      </w:r>
      <w:r>
        <w:rPr>
          <w:spacing w:val="-1"/>
          <w:w w:val="100"/>
        </w:rPr>
        <w:t>a</w:t>
      </w:r>
      <w:r>
        <w:rPr>
          <w:spacing w:val="-1"/>
          <w:w w:val="94"/>
        </w:rPr>
        <w:t>y</w:t>
      </w:r>
      <w:r>
        <w:rPr>
          <w:w w:val="81"/>
        </w:rPr>
        <w:t>s</w:t>
      </w:r>
      <w:r>
        <w:rPr>
          <w:spacing w:val="-44"/>
        </w:rPr>
        <w:t> </w:t>
      </w:r>
      <w:r>
        <w:rPr>
          <w:w w:val="103"/>
        </w:rPr>
        <w:t>T</w:t>
      </w:r>
      <w:r>
        <w:rPr>
          <w:spacing w:val="-1"/>
          <w:w w:val="68"/>
        </w:rPr>
        <w:t>r</w:t>
      </w:r>
      <w:r>
        <w:rPr>
          <w:spacing w:val="-1"/>
          <w:w w:val="103"/>
        </w:rPr>
        <w:t>e</w:t>
      </w:r>
      <w:r>
        <w:rPr>
          <w:spacing w:val="-2"/>
          <w:w w:val="110"/>
        </w:rPr>
        <w:t>n</w:t>
      </w:r>
      <w:r>
        <w:rPr>
          <w:w w:val="115"/>
        </w:rPr>
        <w:t>d</w:t>
      </w:r>
      <w:r>
        <w:rPr>
          <w:spacing w:val="-45"/>
        </w:rPr>
        <w:t> </w:t>
      </w:r>
      <w:r>
        <w:rPr>
          <w:spacing w:val="-1"/>
          <w:w w:val="183"/>
        </w:rPr>
        <w:t>W</w:t>
      </w:r>
      <w:r>
        <w:rPr>
          <w:w w:val="110"/>
        </w:rPr>
        <w:t>h</w:t>
      </w:r>
      <w:r>
        <w:rPr>
          <w:spacing w:val="-1"/>
          <w:w w:val="103"/>
        </w:rPr>
        <w:t>e</w:t>
      </w:r>
      <w:r>
        <w:rPr>
          <w:w w:val="110"/>
        </w:rPr>
        <w:t>n</w:t>
      </w:r>
      <w:r>
        <w:rPr>
          <w:spacing w:val="-45"/>
        </w:rPr>
        <w:t> </w:t>
      </w:r>
      <w:r>
        <w:rPr>
          <w:spacing w:val="-1"/>
          <w:w w:val="109"/>
        </w:rPr>
        <w:t>Y</w:t>
      </w:r>
      <w:r>
        <w:rPr>
          <w:w w:val="115"/>
        </w:rPr>
        <w:t>o</w:t>
      </w:r>
      <w:r>
        <w:rPr>
          <w:w w:val="110"/>
        </w:rPr>
        <w:t>u </w:t>
      </w:r>
      <w:r>
        <w:rPr>
          <w:spacing w:val="-1"/>
          <w:w w:val="183"/>
        </w:rPr>
        <w:t>W</w:t>
      </w:r>
      <w:r>
        <w:rPr>
          <w:spacing w:val="-1"/>
          <w:w w:val="100"/>
        </w:rPr>
        <w:t>a</w:t>
      </w:r>
      <w:r>
        <w:rPr>
          <w:w w:val="110"/>
        </w:rPr>
        <w:t>n</w:t>
      </w:r>
      <w:r>
        <w:rPr>
          <w:spacing w:val="-1"/>
          <w:w w:val="63"/>
        </w:rPr>
        <w:t>t</w:t>
      </w:r>
      <w:r>
        <w:rPr>
          <w:spacing w:val="2"/>
          <w:w w:val="100"/>
        </w:rPr>
        <w:t>》</w:t>
      </w:r>
      <w:hyperlink w:history="true" w:anchor="_bookmark19">
        <w:r>
          <w:rPr>
            <w:spacing w:val="2"/>
            <w:w w:val="105"/>
            <w:position w:val="11"/>
            <w:sz w:val="11"/>
          </w:rPr>
          <w:t>2</w:t>
        </w:r>
      </w:hyperlink>
      <w:r>
        <w:rPr>
          <w:spacing w:val="-1"/>
          <w:w w:val="100"/>
        </w:rPr>
        <w:t>中将单个资产的有效波动定义为该资产的夏普比率绝对值，利用趋势策略</w:t>
      </w:r>
      <w:r>
        <w:rPr>
          <w:spacing w:val="-9"/>
        </w:rPr>
        <w:t>在 </w:t>
      </w:r>
      <w:r>
        <w:rPr/>
        <w:t>1880</w:t>
      </w:r>
      <w:r>
        <w:rPr>
          <w:spacing w:val="-6"/>
        </w:rPr>
        <w:t> 年</w:t>
      </w:r>
      <w:r>
        <w:rPr/>
        <w:t>~2018</w:t>
      </w:r>
      <w:r>
        <w:rPr>
          <w:spacing w:val="-3"/>
        </w:rPr>
        <w:t> 年长达百年以上的数据集中测试，结果显示底层资产的有效波动</w:t>
      </w:r>
      <w:r>
        <w:rPr>
          <w:w w:val="110"/>
        </w:rPr>
        <w:t>与趋势策略的夏普比率间存在明显的正相关关系。</w:t>
      </w:r>
    </w:p>
    <w:p>
      <w:pPr>
        <w:spacing w:before="49"/>
        <w:ind w:left="3584" w:right="0" w:firstLine="0"/>
        <w:jc w:val="left"/>
        <w:rPr>
          <w:rFonts w:ascii="Microsoft JhengHei" w:eastAsia="Microsoft JhengHei" w:hint="eastAsia"/>
          <w:b/>
          <w:sz w:val="20"/>
        </w:rPr>
      </w:pPr>
      <w:r>
        <w:rPr/>
        <w:pict>
          <v:group style="position:absolute;margin-left:153.699997pt;margin-top:19.591785pt;width:411pt;height:263pt;mso-position-horizontal-relative:page;mso-position-vertical-relative:paragraph;z-index:15740416" coordorigin="3074,392" coordsize="8220,5260">
            <v:shape style="position:absolute;left:3823;top:410;width:6608;height:5160" type="#_x0000_t75" stroked="false">
              <v:imagedata r:id="rId20" o:title=""/>
            </v:shape>
            <v:shape style="position:absolute;left:3074;top:401;width:8220;height:5240" coordorigin="3074,401" coordsize="8220,5240" path="m3074,401l11294,401m3074,5641l11294,5641e" filled="false" stroked="true" strokeweight=".96pt" strokecolor="#c06363">
              <v:path arrowok="t"/>
              <v:stroke dashstyle="solid"/>
            </v:shape>
            <v:shape style="position:absolute;left:4627;top:784;width:918;height:156" type="#_x0000_t202" filled="false" stroked="false">
              <v:textbox inset="0,0,0,0">
                <w:txbxContent>
                  <w:p>
                    <w:pPr>
                      <w:spacing w:line="155" w:lineRule="exact" w:before="0"/>
                      <w:ind w:left="0" w:right="0" w:firstLine="0"/>
                      <w:jc w:val="left"/>
                      <w:rPr>
                        <w:sz w:val="15"/>
                      </w:rPr>
                    </w:pPr>
                    <w:r>
                      <w:rPr>
                        <w:sz w:val="15"/>
                      </w:rPr>
                      <w:t>趋势策略夏普</w:t>
                    </w:r>
                  </w:p>
                </w:txbxContent>
              </v:textbox>
              <w10:wrap type="none"/>
            </v:shape>
            <v:shape style="position:absolute;left:9657;top:5167;width:1218;height:156" type="#_x0000_t202" filled="false" stroked="false">
              <v:textbox inset="0,0,0,0">
                <w:txbxContent>
                  <w:p>
                    <w:pPr>
                      <w:spacing w:line="155" w:lineRule="exact" w:before="0"/>
                      <w:ind w:left="0" w:right="0" w:firstLine="0"/>
                      <w:jc w:val="left"/>
                      <w:rPr>
                        <w:sz w:val="15"/>
                      </w:rPr>
                    </w:pPr>
                    <w:r>
                      <w:rPr>
                        <w:sz w:val="15"/>
                      </w:rPr>
                      <w:t>底层资产有效波动</w:t>
                    </w:r>
                  </w:p>
                </w:txbxContent>
              </v:textbox>
              <w10:wrap type="none"/>
            </v:shape>
            <w10:wrap type="none"/>
          </v:group>
        </w:pict>
      </w:r>
      <w:r>
        <w:rPr>
          <w:rFonts w:ascii="Microsoft JhengHei" w:eastAsia="Microsoft JhengHei" w:hint="eastAsia"/>
          <w:b/>
          <w:spacing w:val="20"/>
          <w:sz w:val="20"/>
        </w:rPr>
        <w:t>图 </w:t>
      </w:r>
      <w:bookmarkStart w:name="_bookmark18" w:id="33"/>
      <w:bookmarkEnd w:id="33"/>
      <w:r>
        <w:rPr>
          <w:rFonts w:ascii="Microsoft JhengHei" w:eastAsia="Microsoft JhengHei" w:hint="eastAsia"/>
          <w:b/>
          <w:sz w:val="20"/>
        </w:rPr>
        <w:t>8</w:t>
      </w:r>
      <w:r>
        <w:rPr>
          <w:rFonts w:ascii="Microsoft JhengHei" w:eastAsia="Microsoft JhengHei" w:hint="eastAsia"/>
          <w:b/>
          <w:sz w:val="20"/>
        </w:rPr>
        <w:t>: 底层资产有效波动与趋势策略夏普存在明显的正相关关系丨单位：无</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3"/>
        <w:rPr>
          <w:rFonts w:ascii="Microsoft JhengHei"/>
          <w:b/>
          <w:sz w:val="23"/>
        </w:rPr>
      </w:pPr>
    </w:p>
    <w:p>
      <w:pPr>
        <w:spacing w:before="70"/>
        <w:ind w:left="2862" w:right="0" w:firstLine="0"/>
        <w:jc w:val="left"/>
        <w:rPr>
          <w:sz w:val="16"/>
        </w:rPr>
      </w:pPr>
      <w:r>
        <w:rPr>
          <w:sz w:val="16"/>
        </w:rPr>
        <w:t>数据来源：AQR，华泰期货研究院</w:t>
      </w:r>
    </w:p>
    <w:p>
      <w:pPr>
        <w:pStyle w:val="BodyText"/>
        <w:spacing w:before="6"/>
        <w:rPr>
          <w:sz w:val="17"/>
        </w:rPr>
      </w:pPr>
    </w:p>
    <w:p>
      <w:pPr>
        <w:pStyle w:val="BodyText"/>
        <w:spacing w:before="59"/>
        <w:ind w:left="2951"/>
      </w:pPr>
      <w:r>
        <w:rPr/>
        <w:t>随后，AQR</w:t>
      </w:r>
      <w:r>
        <w:rPr>
          <w:spacing w:val="-5"/>
        </w:rPr>
        <w:t> 再将全部资产的平均有效波动定义为全部资产有效波动的加权平均值</w:t>
      </w:r>
    </w:p>
    <w:p>
      <w:pPr>
        <w:pStyle w:val="BodyText"/>
        <w:spacing w:before="107"/>
        <w:ind w:left="2951"/>
      </w:pPr>
      <w:r>
        <w:rPr/>
        <w:pict>
          <v:shape style="position:absolute;margin-left:319.799988pt;margin-top:41.690994pt;width:3.45pt;height:10.2pt;mso-position-horizontal-relative:page;mso-position-vertical-relative:paragraph;z-index:-16397824" coordorigin="6396,834" coordsize="69,204" path="m6461,1038l6413,1002,6396,936,6397,917,6422,857,6461,834,6464,842,6453,847,6442,854,6416,917,6415,935,6416,953,6442,1017,6464,1030,6461,1038xe" filled="true" fillcolor="#000000" stroked="false">
            <v:path arrowok="t"/>
            <v:fill type="solid"/>
            <w10:wrap type="none"/>
          </v:shape>
        </w:pict>
      </w:r>
      <w:r>
        <w:rPr/>
        <w:pict>
          <v:shape style="position:absolute;margin-left:365.169006pt;margin-top:41.690994pt;width:3.45pt;height:10.2pt;mso-position-horizontal-relative:page;mso-position-vertical-relative:paragraph;z-index:15742464" coordorigin="7303,834" coordsize="69,204" path="m7306,1038l7304,1030,7315,1024,7325,1017,7352,953,7353,935,7352,917,7325,854,7303,842,7306,834,7355,870,7372,936,7371,955,7345,1015,7321,1032,7306,1038xe" filled="true" fillcolor="#000000" stroked="false">
            <v:path arrowok="t"/>
            <v:fill type="solid"/>
            <w10:wrap type="none"/>
          </v:shape>
        </w:pict>
      </w:r>
      <w:r>
        <w:rPr/>
        <w:t>（权重为该资产的波动率）：</w:t>
      </w:r>
    </w:p>
    <w:p>
      <w:pPr>
        <w:pStyle w:val="BodyText"/>
        <w:spacing w:before="6"/>
        <w:rPr>
          <w:sz w:val="21"/>
        </w:rPr>
      </w:pPr>
    </w:p>
    <w:p>
      <w:pPr>
        <w:spacing w:after="0"/>
        <w:rPr>
          <w:sz w:val="21"/>
        </w:rPr>
        <w:sectPr>
          <w:pgSz w:w="11910" w:h="16840"/>
          <w:pgMar w:header="948" w:footer="0" w:top="1460" w:bottom="280" w:left="320" w:right="220"/>
        </w:sectPr>
      </w:pPr>
    </w:p>
    <w:p>
      <w:pPr>
        <w:pStyle w:val="BodyText"/>
        <w:spacing w:before="123"/>
        <w:jc w:val="right"/>
        <w:rPr>
          <w:rFonts w:ascii="Cambria Math" w:eastAsia="Cambria Math"/>
        </w:rPr>
      </w:pPr>
      <w:r>
        <w:rPr/>
        <w:pict>
          <v:shape style="position:absolute;margin-left:260.75pt;margin-top:8.538148pt;width:5.45pt;height:10.050pt;mso-position-horizontal-relative:page;mso-position-vertical-relative:paragraph;z-index:15740928" coordorigin="5215,171" coordsize="109,201" path="m5270,175l5259,171,5215,267,5215,275,5259,371,5270,367,5235,271,5270,175xm5324,171l5308,171,5308,371,5324,371,5324,171xe" filled="true" fillcolor="#000000" stroked="false">
            <v:path arrowok="t"/>
            <v:fill type="solid"/>
            <w10:wrap type="none"/>
          </v:shape>
        </w:pict>
      </w:r>
      <w:r>
        <w:rPr/>
        <w:pict>
          <v:shape style="position:absolute;margin-left:281.670013pt;margin-top:8.538148pt;width:5.4pt;height:10.050pt;mso-position-horizontal-relative:page;mso-position-vertical-relative:paragraph;z-index:15741440" coordorigin="5633,171" coordsize="108,201" path="m5649,171l5633,171,5633,371,5649,371,5649,171xm5741,267l5697,171,5686,175,5721,271,5686,367,5697,371,5741,275,5741,267xe" filled="true" fillcolor="#000000" stroked="false">
            <v:path arrowok="t"/>
            <v:fill type="solid"/>
            <w10:wrap type="none"/>
          </v:shape>
        </w:pict>
      </w:r>
      <w:r>
        <w:rPr>
          <w:rFonts w:ascii="Cambria Math" w:eastAsia="Cambria Math"/>
          <w:w w:val="85"/>
        </w:rPr>
        <w:t>𝑅</w:t>
      </w:r>
    </w:p>
    <w:p>
      <w:pPr>
        <w:spacing w:before="126"/>
        <w:ind w:left="167" w:right="0" w:firstLine="0"/>
        <w:jc w:val="left"/>
        <w:rPr>
          <w:rFonts w:ascii="Cambria Math" w:hAnsi="Cambria Math" w:eastAsia="Cambria Math"/>
          <w:sz w:val="22"/>
        </w:rPr>
      </w:pPr>
      <w:r>
        <w:rPr/>
        <w:br w:type="column"/>
      </w:r>
      <w:r>
        <w:rPr>
          <w:rFonts w:ascii="Cambria Math" w:hAnsi="Cambria Math" w:eastAsia="Cambria Math"/>
          <w:w w:val="100"/>
          <w:sz w:val="22"/>
        </w:rPr>
        <w:t>=</w:t>
      </w:r>
      <w:r>
        <w:rPr>
          <w:rFonts w:ascii="Cambria Math" w:hAnsi="Cambria Math" w:eastAsia="Cambria Math"/>
          <w:spacing w:val="12"/>
          <w:sz w:val="22"/>
        </w:rPr>
        <w:t> </w:t>
      </w:r>
      <w:r>
        <w:rPr>
          <w:rFonts w:ascii="Cambria Math" w:hAnsi="Cambria Math" w:eastAsia="Cambria Math"/>
          <w:w w:val="160"/>
          <w:sz w:val="22"/>
        </w:rPr>
        <w:t>∑</w:t>
      </w:r>
      <w:r>
        <w:rPr>
          <w:rFonts w:ascii="Cambria Math" w:hAnsi="Cambria Math" w:eastAsia="Cambria Math"/>
          <w:w w:val="31"/>
          <w:position w:val="-8"/>
          <w:sz w:val="16"/>
        </w:rPr>
        <w:t/>
      </w:r>
      <w:r>
        <w:rPr>
          <w:rFonts w:ascii="Cambria Math" w:hAnsi="Cambria Math" w:eastAsia="Cambria Math"/>
          <w:position w:val="-8"/>
          <w:sz w:val="16"/>
        </w:rPr>
        <w:t>   </w:t>
      </w:r>
      <w:r>
        <w:rPr>
          <w:rFonts w:ascii="Cambria Math" w:hAnsi="Cambria Math" w:eastAsia="Cambria Math"/>
          <w:spacing w:val="-15"/>
          <w:position w:val="-8"/>
          <w:sz w:val="16"/>
        </w:rPr>
        <w:t> </w:t>
      </w:r>
      <w:r>
        <w:rPr>
          <w:rFonts w:ascii="Cambria Math" w:hAnsi="Cambria Math" w:eastAsia="Cambria Math"/>
          <w:spacing w:val="-1"/>
          <w:w w:val="53"/>
          <w:sz w:val="22"/>
        </w:rPr>
        <w:t/>
      </w:r>
      <w:r>
        <w:rPr>
          <w:rFonts w:ascii="Cambria Math" w:hAnsi="Cambria Math" w:eastAsia="Cambria Math"/>
          <w:w w:val="36"/>
          <w:sz w:val="22"/>
          <w:vertAlign w:val="superscript"/>
        </w:rPr>
        <w:t/>
      </w:r>
      <w:r>
        <w:rPr>
          <w:rFonts w:ascii="Cambria Math" w:hAnsi="Cambria Math" w:eastAsia="Cambria Math"/>
          <w:spacing w:val="6"/>
          <w:sz w:val="22"/>
          <w:vertAlign w:val="baseline"/>
        </w:rPr>
        <w:t> </w:t>
      </w:r>
      <w:r>
        <w:rPr>
          <w:rFonts w:ascii="Cambria Math" w:hAnsi="Cambria Math" w:eastAsia="Cambria Math"/>
          <w:w w:val="100"/>
          <w:sz w:val="22"/>
          <w:vertAlign w:val="baseline"/>
        </w:rPr>
        <w:t>∗</w:t>
      </w:r>
      <w:r>
        <w:rPr>
          <w:rFonts w:ascii="Cambria Math" w:hAnsi="Cambria Math" w:eastAsia="Cambria Math"/>
          <w:sz w:val="22"/>
          <w:vertAlign w:val="baseline"/>
        </w:rPr>
        <w:t> </w:t>
      </w:r>
      <w:r>
        <w:rPr>
          <w:rFonts w:ascii="Cambria Math" w:hAnsi="Cambria Math" w:eastAsia="Cambria Math"/>
          <w:spacing w:val="-4"/>
          <w:w w:val="100"/>
          <w:sz w:val="22"/>
          <w:vertAlign w:val="baseline"/>
        </w:rPr>
        <w:t>|</w:t>
      </w:r>
      <w:r>
        <w:rPr>
          <w:rFonts w:ascii="Cambria Math" w:hAnsi="Cambria Math" w:eastAsia="Cambria Math"/>
          <w:spacing w:val="-3"/>
          <w:w w:val="53"/>
          <w:sz w:val="22"/>
          <w:vertAlign w:val="baseline"/>
        </w:rPr>
        <w:t/>
      </w:r>
      <w:r>
        <w:rPr>
          <w:rFonts w:ascii="Cambria Math" w:hAnsi="Cambria Math" w:eastAsia="Cambria Math"/>
          <w:spacing w:val="-5"/>
          <w:w w:val="100"/>
          <w:sz w:val="22"/>
          <w:vertAlign w:val="baseline"/>
        </w:rPr>
        <w:t>𝑅</w:t>
      </w:r>
      <w:r>
        <w:rPr>
          <w:rFonts w:ascii="Cambria Math" w:hAnsi="Cambria Math" w:eastAsia="Cambria Math"/>
          <w:spacing w:val="3"/>
          <w:w w:val="36"/>
          <w:sz w:val="22"/>
          <w:vertAlign w:val="superscript"/>
        </w:rPr>
        <w:t/>
      </w:r>
      <w:r>
        <w:rPr>
          <w:rFonts w:ascii="Cambria Math" w:hAnsi="Cambria Math" w:eastAsia="Cambria Math"/>
          <w:spacing w:val="-3"/>
          <w:w w:val="100"/>
          <w:sz w:val="22"/>
          <w:vertAlign w:val="baseline"/>
        </w:rPr>
        <w:t>|</w:t>
      </w:r>
    </w:p>
    <w:p>
      <w:pPr>
        <w:pStyle w:val="BodyText"/>
        <w:tabs>
          <w:tab w:pos="3600" w:val="left" w:leader="none"/>
        </w:tabs>
        <w:spacing w:before="117"/>
        <w:ind w:left="134"/>
      </w:pPr>
      <w:r>
        <w:rPr/>
        <w:br w:type="column"/>
      </w:r>
      <w:r>
        <w:rPr>
          <w:w w:val="90"/>
        </w:rPr>
        <w:t>对于资</w:t>
      </w:r>
      <w:r>
        <w:rPr>
          <w:spacing w:val="47"/>
          <w:w w:val="90"/>
        </w:rPr>
        <w:t>产</w:t>
      </w:r>
      <w:r>
        <w:rPr>
          <w:rFonts w:ascii="Cambria Math" w:hAnsi="Cambria Math" w:eastAsia="Cambria Math"/>
          <w:w w:val="70"/>
        </w:rPr>
        <w:t/>
      </w:r>
      <w:r>
        <w:rPr>
          <w:rFonts w:ascii="Cambria Math" w:hAnsi="Cambria Math" w:eastAsia="Cambria Math"/>
          <w:spacing w:val="33"/>
          <w:w w:val="70"/>
        </w:rPr>
        <w:t> </w:t>
      </w:r>
      <w:r>
        <w:rPr>
          <w:rFonts w:ascii="Cambria Math" w:hAnsi="Cambria Math" w:eastAsia="Cambria Math"/>
          <w:w w:val="90"/>
        </w:rPr>
        <w:t>=</w:t>
      </w:r>
      <w:r>
        <w:rPr>
          <w:rFonts w:ascii="Cambria Math" w:hAnsi="Cambria Math" w:eastAsia="Cambria Math"/>
          <w:spacing w:val="22"/>
          <w:w w:val="90"/>
        </w:rPr>
        <w:t> </w:t>
      </w:r>
      <w:r>
        <w:rPr>
          <w:rFonts w:ascii="Cambria Math" w:hAnsi="Cambria Math" w:eastAsia="Cambria Math"/>
          <w:w w:val="90"/>
        </w:rPr>
        <w:t>1, …, </w:t>
        <w:tab/>
      </w:r>
      <w:r>
        <w:rPr>
          <w:w w:val="95"/>
        </w:rPr>
        <w:t>(1)</w:t>
      </w:r>
    </w:p>
    <w:p>
      <w:pPr>
        <w:spacing w:after="0"/>
        <w:sectPr>
          <w:type w:val="continuous"/>
          <w:pgSz w:w="11910" w:h="16840"/>
          <w:pgMar w:top="200" w:bottom="280" w:left="320" w:right="220"/>
          <w:cols w:num="3" w:equalWidth="0">
            <w:col w:w="5289" w:space="40"/>
            <w:col w:w="1654" w:space="39"/>
            <w:col w:w="4348"/>
          </w:cols>
        </w:sectPr>
      </w:pPr>
    </w:p>
    <w:p>
      <w:pPr>
        <w:pStyle w:val="BodyText"/>
        <w:spacing w:before="9"/>
        <w:rPr>
          <w:sz w:val="23"/>
        </w:rPr>
      </w:pPr>
    </w:p>
    <w:p>
      <w:pPr>
        <w:pStyle w:val="BodyText"/>
        <w:spacing w:line="20" w:lineRule="exact"/>
        <w:ind w:left="400"/>
        <w:rPr>
          <w:sz w:val="2"/>
        </w:rPr>
      </w:pPr>
      <w:r>
        <w:rPr>
          <w:sz w:val="2"/>
        </w:rPr>
        <w:pict>
          <v:group style="width:144pt;height:.1pt;mso-position-horizontal-relative:char;mso-position-vertical-relative:line" coordorigin="0,0" coordsize="2880,2">
            <v:line style="position:absolute" from="0,0" to="2880,0" stroked="true" strokeweight="0pt" strokecolor="#000000">
              <v:stroke dashstyle="solid"/>
            </v:line>
          </v:group>
        </w:pict>
      </w:r>
      <w:r>
        <w:rPr>
          <w:sz w:val="2"/>
        </w:rPr>
      </w:r>
    </w:p>
    <w:p>
      <w:pPr>
        <w:spacing w:line="316" w:lineRule="auto" w:before="95"/>
        <w:ind w:left="400" w:right="388" w:firstLine="0"/>
        <w:jc w:val="left"/>
        <w:rPr>
          <w:sz w:val="18"/>
        </w:rPr>
      </w:pPr>
      <w:r>
        <w:rPr>
          <w:w w:val="104"/>
          <w:position w:val="9"/>
          <w:sz w:val="9"/>
        </w:rPr>
        <w:t>2</w:t>
      </w:r>
      <w:r>
        <w:rPr>
          <w:position w:val="9"/>
          <w:sz w:val="9"/>
        </w:rPr>
        <w:t> </w:t>
      </w:r>
      <w:r>
        <w:rPr>
          <w:spacing w:val="-1"/>
          <w:position w:val="9"/>
          <w:sz w:val="9"/>
        </w:rPr>
        <w:t> </w:t>
      </w:r>
      <w:bookmarkStart w:name="_bookmark19" w:id="34"/>
      <w:bookmarkEnd w:id="34"/>
      <w:r>
        <w:rPr>
          <w:spacing w:val="-1"/>
          <w:position w:val="9"/>
          <w:sz w:val="9"/>
        </w:rPr>
      </w:r>
      <w:r>
        <w:rPr>
          <w:w w:val="111"/>
          <w:sz w:val="18"/>
        </w:rPr>
        <w:t>B</w:t>
      </w:r>
      <w:r>
        <w:rPr>
          <w:spacing w:val="1"/>
          <w:w w:val="100"/>
          <w:sz w:val="18"/>
        </w:rPr>
        <w:t>a</w:t>
      </w:r>
      <w:r>
        <w:rPr>
          <w:spacing w:val="-1"/>
          <w:w w:val="114"/>
          <w:sz w:val="18"/>
        </w:rPr>
        <w:t>b</w:t>
      </w:r>
      <w:r>
        <w:rPr>
          <w:spacing w:val="-1"/>
          <w:w w:val="110"/>
          <w:sz w:val="18"/>
        </w:rPr>
        <w:t>u</w:t>
      </w:r>
      <w:r>
        <w:rPr>
          <w:w w:val="43"/>
          <w:sz w:val="18"/>
        </w:rPr>
        <w:t>,</w:t>
      </w:r>
      <w:r>
        <w:rPr>
          <w:spacing w:val="-44"/>
          <w:sz w:val="18"/>
        </w:rPr>
        <w:t> </w:t>
      </w:r>
      <w:r>
        <w:rPr>
          <w:w w:val="127"/>
          <w:sz w:val="18"/>
        </w:rPr>
        <w:t>A</w:t>
      </w:r>
      <w:r>
        <w:rPr>
          <w:spacing w:val="-1"/>
          <w:w w:val="114"/>
          <w:sz w:val="18"/>
        </w:rPr>
        <w:t>b</w:t>
      </w:r>
      <w:r>
        <w:rPr>
          <w:spacing w:val="-1"/>
          <w:w w:val="110"/>
          <w:sz w:val="18"/>
        </w:rPr>
        <w:t>h</w:t>
      </w:r>
      <w:r>
        <w:rPr>
          <w:w w:val="44"/>
          <w:sz w:val="18"/>
        </w:rPr>
        <w:t>il</w:t>
      </w:r>
      <w:r>
        <w:rPr>
          <w:spacing w:val="1"/>
          <w:w w:val="100"/>
          <w:sz w:val="18"/>
        </w:rPr>
        <w:t>a</w:t>
      </w:r>
      <w:r>
        <w:rPr>
          <w:spacing w:val="-2"/>
          <w:w w:val="81"/>
          <w:sz w:val="18"/>
        </w:rPr>
        <w:t>s</w:t>
      </w:r>
      <w:r>
        <w:rPr>
          <w:w w:val="110"/>
          <w:sz w:val="18"/>
        </w:rPr>
        <w:t>h</w:t>
      </w:r>
      <w:r>
        <w:rPr>
          <w:spacing w:val="-41"/>
          <w:sz w:val="18"/>
        </w:rPr>
        <w:t> </w:t>
      </w:r>
      <w:r>
        <w:rPr>
          <w:spacing w:val="1"/>
          <w:w w:val="100"/>
          <w:sz w:val="18"/>
        </w:rPr>
        <w:t>a</w:t>
      </w:r>
      <w:r>
        <w:rPr>
          <w:spacing w:val="-1"/>
          <w:w w:val="110"/>
          <w:sz w:val="18"/>
        </w:rPr>
        <w:t>n</w:t>
      </w:r>
      <w:r>
        <w:rPr>
          <w:w w:val="114"/>
          <w:sz w:val="18"/>
        </w:rPr>
        <w:t>d</w:t>
      </w:r>
      <w:r>
        <w:rPr>
          <w:spacing w:val="-43"/>
          <w:sz w:val="18"/>
        </w:rPr>
        <w:t> </w:t>
      </w:r>
      <w:r>
        <w:rPr>
          <w:w w:val="138"/>
          <w:sz w:val="18"/>
        </w:rPr>
        <w:t>H</w:t>
      </w:r>
      <w:r>
        <w:rPr>
          <w:w w:val="114"/>
          <w:sz w:val="18"/>
        </w:rPr>
        <w:t>o</w:t>
      </w:r>
      <w:r>
        <w:rPr>
          <w:spacing w:val="-1"/>
          <w:w w:val="58"/>
          <w:sz w:val="18"/>
        </w:rPr>
        <w:t>ff</w:t>
      </w:r>
      <w:r>
        <w:rPr>
          <w:spacing w:val="-1"/>
          <w:w w:val="168"/>
          <w:sz w:val="18"/>
        </w:rPr>
        <w:t>m</w:t>
      </w:r>
      <w:r>
        <w:rPr>
          <w:spacing w:val="1"/>
          <w:w w:val="100"/>
          <w:sz w:val="18"/>
        </w:rPr>
        <w:t>a</w:t>
      </w:r>
      <w:r>
        <w:rPr>
          <w:spacing w:val="-1"/>
          <w:w w:val="110"/>
          <w:sz w:val="18"/>
        </w:rPr>
        <w:t>n</w:t>
      </w:r>
      <w:r>
        <w:rPr>
          <w:w w:val="43"/>
          <w:sz w:val="18"/>
        </w:rPr>
        <w:t>,</w:t>
      </w:r>
      <w:r>
        <w:rPr>
          <w:spacing w:val="-39"/>
          <w:sz w:val="18"/>
        </w:rPr>
        <w:t> </w:t>
      </w:r>
      <w:r>
        <w:rPr>
          <w:w w:val="111"/>
          <w:sz w:val="18"/>
        </w:rPr>
        <w:t>B</w:t>
      </w:r>
      <w:r>
        <w:rPr>
          <w:spacing w:val="-1"/>
          <w:w w:val="67"/>
          <w:sz w:val="18"/>
        </w:rPr>
        <w:t>r</w:t>
      </w:r>
      <w:r>
        <w:rPr>
          <w:spacing w:val="1"/>
          <w:w w:val="102"/>
          <w:sz w:val="18"/>
        </w:rPr>
        <w:t>e</w:t>
      </w:r>
      <w:r>
        <w:rPr>
          <w:spacing w:val="-1"/>
          <w:w w:val="110"/>
          <w:sz w:val="18"/>
        </w:rPr>
        <w:t>n</w:t>
      </w:r>
      <w:r>
        <w:rPr>
          <w:spacing w:val="-1"/>
          <w:w w:val="114"/>
          <w:sz w:val="18"/>
        </w:rPr>
        <w:t>d</w:t>
      </w:r>
      <w:r>
        <w:rPr>
          <w:spacing w:val="1"/>
          <w:w w:val="100"/>
          <w:sz w:val="18"/>
        </w:rPr>
        <w:t>a</w:t>
      </w:r>
      <w:r>
        <w:rPr>
          <w:w w:val="110"/>
          <w:sz w:val="18"/>
        </w:rPr>
        <w:t>n</w:t>
      </w:r>
      <w:r>
        <w:rPr>
          <w:spacing w:val="-43"/>
          <w:sz w:val="18"/>
        </w:rPr>
        <w:t> </w:t>
      </w:r>
      <w:r>
        <w:rPr>
          <w:spacing w:val="1"/>
          <w:w w:val="100"/>
          <w:sz w:val="18"/>
        </w:rPr>
        <w:t>a</w:t>
      </w:r>
      <w:r>
        <w:rPr>
          <w:spacing w:val="-1"/>
          <w:w w:val="110"/>
          <w:sz w:val="18"/>
        </w:rPr>
        <w:t>n</w:t>
      </w:r>
      <w:r>
        <w:rPr>
          <w:w w:val="114"/>
          <w:sz w:val="18"/>
        </w:rPr>
        <w:t>d</w:t>
      </w:r>
      <w:r>
        <w:rPr>
          <w:spacing w:val="-40"/>
          <w:sz w:val="18"/>
        </w:rPr>
        <w:t> </w:t>
      </w:r>
      <w:r>
        <w:rPr>
          <w:w w:val="92"/>
          <w:sz w:val="18"/>
        </w:rPr>
        <w:t>L</w:t>
      </w:r>
      <w:r>
        <w:rPr>
          <w:spacing w:val="1"/>
          <w:w w:val="102"/>
          <w:sz w:val="18"/>
        </w:rPr>
        <w:t>e</w:t>
      </w:r>
      <w:r>
        <w:rPr>
          <w:w w:val="93"/>
          <w:sz w:val="18"/>
        </w:rPr>
        <w:t>v</w:t>
      </w:r>
      <w:r>
        <w:rPr>
          <w:spacing w:val="-2"/>
          <w:w w:val="44"/>
          <w:sz w:val="18"/>
        </w:rPr>
        <w:t>i</w:t>
      </w:r>
      <w:r>
        <w:rPr>
          <w:spacing w:val="-1"/>
          <w:w w:val="110"/>
          <w:sz w:val="18"/>
        </w:rPr>
        <w:t>n</w:t>
      </w:r>
      <w:r>
        <w:rPr>
          <w:spacing w:val="1"/>
          <w:w w:val="102"/>
          <w:sz w:val="18"/>
        </w:rPr>
        <w:t>e</w:t>
      </w:r>
      <w:r>
        <w:rPr>
          <w:w w:val="43"/>
          <w:sz w:val="18"/>
        </w:rPr>
        <w:t>,</w:t>
      </w:r>
      <w:r>
        <w:rPr>
          <w:spacing w:val="-44"/>
          <w:sz w:val="18"/>
        </w:rPr>
        <w:t> </w:t>
      </w:r>
      <w:r>
        <w:rPr>
          <w:w w:val="127"/>
          <w:sz w:val="18"/>
        </w:rPr>
        <w:t>A</w:t>
      </w:r>
      <w:r>
        <w:rPr>
          <w:spacing w:val="-1"/>
          <w:w w:val="67"/>
          <w:sz w:val="18"/>
        </w:rPr>
        <w:t>r</w:t>
      </w:r>
      <w:r>
        <w:rPr>
          <w:w w:val="44"/>
          <w:sz w:val="18"/>
        </w:rPr>
        <w:t>i</w:t>
      </w:r>
      <w:r>
        <w:rPr>
          <w:spacing w:val="-40"/>
          <w:sz w:val="18"/>
        </w:rPr>
        <w:t> </w:t>
      </w:r>
      <w:r>
        <w:rPr>
          <w:spacing w:val="1"/>
          <w:w w:val="100"/>
          <w:sz w:val="18"/>
        </w:rPr>
        <w:t>a</w:t>
      </w:r>
      <w:r>
        <w:rPr>
          <w:spacing w:val="-1"/>
          <w:w w:val="110"/>
          <w:sz w:val="18"/>
        </w:rPr>
        <w:t>n</w:t>
      </w:r>
      <w:r>
        <w:rPr>
          <w:w w:val="114"/>
          <w:sz w:val="18"/>
        </w:rPr>
        <w:t>d</w:t>
      </w:r>
      <w:r>
        <w:rPr>
          <w:spacing w:val="-43"/>
          <w:sz w:val="18"/>
        </w:rPr>
        <w:t> </w:t>
      </w:r>
      <w:r>
        <w:rPr>
          <w:w w:val="151"/>
          <w:sz w:val="18"/>
        </w:rPr>
        <w:t>O</w:t>
      </w:r>
      <w:r>
        <w:rPr>
          <w:w w:val="114"/>
          <w:sz w:val="18"/>
        </w:rPr>
        <w:t>o</w:t>
      </w:r>
      <w:r>
        <w:rPr>
          <w:w w:val="44"/>
          <w:sz w:val="18"/>
        </w:rPr>
        <w:t>i</w:t>
      </w:r>
      <w:r>
        <w:rPr>
          <w:w w:val="43"/>
          <w:sz w:val="18"/>
        </w:rPr>
        <w:t>,</w:t>
      </w:r>
      <w:r>
        <w:rPr>
          <w:spacing w:val="-41"/>
          <w:sz w:val="18"/>
        </w:rPr>
        <w:t> </w:t>
      </w:r>
      <w:r>
        <w:rPr>
          <w:w w:val="109"/>
          <w:sz w:val="18"/>
        </w:rPr>
        <w:t>Y</w:t>
      </w:r>
      <w:r>
        <w:rPr>
          <w:spacing w:val="1"/>
          <w:w w:val="100"/>
          <w:sz w:val="18"/>
        </w:rPr>
        <w:t>a</w:t>
      </w:r>
      <w:r>
        <w:rPr>
          <w:w w:val="114"/>
          <w:sz w:val="18"/>
        </w:rPr>
        <w:t>o</w:t>
      </w:r>
      <w:r>
        <w:rPr>
          <w:spacing w:val="-42"/>
          <w:sz w:val="18"/>
        </w:rPr>
        <w:t> </w:t>
      </w:r>
      <w:r>
        <w:rPr>
          <w:w w:val="138"/>
          <w:sz w:val="18"/>
        </w:rPr>
        <w:t>H</w:t>
      </w:r>
      <w:r>
        <w:rPr>
          <w:spacing w:val="-1"/>
          <w:w w:val="110"/>
          <w:sz w:val="18"/>
        </w:rPr>
        <w:t>u</w:t>
      </w:r>
      <w:r>
        <w:rPr>
          <w:w w:val="100"/>
          <w:sz w:val="18"/>
        </w:rPr>
        <w:t>a</w:t>
      </w:r>
      <w:r>
        <w:rPr>
          <w:spacing w:val="-41"/>
          <w:sz w:val="18"/>
        </w:rPr>
        <w:t> </w:t>
      </w:r>
      <w:r>
        <w:rPr>
          <w:spacing w:val="1"/>
          <w:w w:val="100"/>
          <w:sz w:val="18"/>
        </w:rPr>
        <w:t>a</w:t>
      </w:r>
      <w:r>
        <w:rPr>
          <w:spacing w:val="-1"/>
          <w:w w:val="110"/>
          <w:sz w:val="18"/>
        </w:rPr>
        <w:t>n</w:t>
      </w:r>
      <w:r>
        <w:rPr>
          <w:w w:val="114"/>
          <w:sz w:val="18"/>
        </w:rPr>
        <w:t>d</w:t>
      </w:r>
      <w:r>
        <w:rPr>
          <w:spacing w:val="-40"/>
          <w:sz w:val="18"/>
        </w:rPr>
        <w:t> </w:t>
      </w:r>
      <w:r>
        <w:rPr>
          <w:spacing w:val="1"/>
          <w:w w:val="102"/>
          <w:sz w:val="18"/>
        </w:rPr>
        <w:t>S</w:t>
      </w:r>
      <w:r>
        <w:rPr>
          <w:w w:val="90"/>
          <w:sz w:val="18"/>
        </w:rPr>
        <w:t>c</w:t>
      </w:r>
      <w:r>
        <w:rPr>
          <w:spacing w:val="-1"/>
          <w:w w:val="110"/>
          <w:sz w:val="18"/>
        </w:rPr>
        <w:t>h</w:t>
      </w:r>
      <w:r>
        <w:rPr>
          <w:spacing w:val="-1"/>
          <w:w w:val="67"/>
          <w:sz w:val="18"/>
        </w:rPr>
        <w:t>r</w:t>
      </w:r>
      <w:r>
        <w:rPr>
          <w:w w:val="114"/>
          <w:sz w:val="18"/>
        </w:rPr>
        <w:t>o</w:t>
      </w:r>
      <w:r>
        <w:rPr>
          <w:spacing w:val="1"/>
          <w:w w:val="102"/>
          <w:sz w:val="18"/>
        </w:rPr>
        <w:t>e</w:t>
      </w:r>
      <w:r>
        <w:rPr>
          <w:spacing w:val="-1"/>
          <w:w w:val="114"/>
          <w:sz w:val="18"/>
        </w:rPr>
        <w:t>d</w:t>
      </w:r>
      <w:r>
        <w:rPr>
          <w:spacing w:val="1"/>
          <w:w w:val="102"/>
          <w:sz w:val="18"/>
        </w:rPr>
        <w:t>e</w:t>
      </w:r>
      <w:r>
        <w:rPr>
          <w:spacing w:val="-1"/>
          <w:w w:val="67"/>
          <w:sz w:val="18"/>
        </w:rPr>
        <w:t>r</w:t>
      </w:r>
      <w:r>
        <w:rPr>
          <w:w w:val="43"/>
          <w:sz w:val="18"/>
        </w:rPr>
        <w:t>,</w:t>
      </w:r>
      <w:r>
        <w:rPr>
          <w:spacing w:val="-41"/>
          <w:sz w:val="18"/>
        </w:rPr>
        <w:t> </w:t>
      </w:r>
      <w:r>
        <w:rPr>
          <w:spacing w:val="1"/>
          <w:w w:val="102"/>
          <w:sz w:val="18"/>
        </w:rPr>
        <w:t>S</w:t>
      </w:r>
      <w:r>
        <w:rPr>
          <w:spacing w:val="-2"/>
          <w:w w:val="100"/>
          <w:sz w:val="18"/>
        </w:rPr>
        <w:t>a</w:t>
      </w:r>
      <w:r>
        <w:rPr>
          <w:spacing w:val="-1"/>
          <w:w w:val="67"/>
          <w:sz w:val="18"/>
        </w:rPr>
        <w:t>r</w:t>
      </w:r>
      <w:r>
        <w:rPr>
          <w:spacing w:val="1"/>
          <w:w w:val="100"/>
          <w:sz w:val="18"/>
        </w:rPr>
        <w:t>a</w:t>
      </w:r>
      <w:r>
        <w:rPr>
          <w:w w:val="110"/>
          <w:sz w:val="18"/>
        </w:rPr>
        <w:t>h</w:t>
      </w:r>
      <w:r>
        <w:rPr>
          <w:spacing w:val="-43"/>
          <w:sz w:val="18"/>
        </w:rPr>
        <w:t> </w:t>
      </w:r>
      <w:r>
        <w:rPr>
          <w:spacing w:val="1"/>
          <w:w w:val="100"/>
          <w:sz w:val="18"/>
        </w:rPr>
        <w:t>a</w:t>
      </w:r>
      <w:r>
        <w:rPr>
          <w:spacing w:val="-1"/>
          <w:w w:val="110"/>
          <w:sz w:val="18"/>
        </w:rPr>
        <w:t>n</w:t>
      </w:r>
      <w:r>
        <w:rPr>
          <w:w w:val="114"/>
          <w:sz w:val="18"/>
        </w:rPr>
        <w:t>d</w:t>
      </w:r>
      <w:r>
        <w:rPr>
          <w:spacing w:val="-40"/>
          <w:sz w:val="18"/>
        </w:rPr>
        <w:t> </w:t>
      </w:r>
      <w:r>
        <w:rPr>
          <w:spacing w:val="1"/>
          <w:w w:val="102"/>
          <w:sz w:val="18"/>
        </w:rPr>
        <w:t>S</w:t>
      </w:r>
      <w:r>
        <w:rPr>
          <w:w w:val="63"/>
          <w:sz w:val="18"/>
        </w:rPr>
        <w:t>t</w:t>
      </w:r>
      <w:r>
        <w:rPr>
          <w:spacing w:val="-2"/>
          <w:w w:val="100"/>
          <w:sz w:val="18"/>
        </w:rPr>
        <w:t>a</w:t>
      </w:r>
      <w:r>
        <w:rPr>
          <w:spacing w:val="-1"/>
          <w:w w:val="168"/>
          <w:sz w:val="18"/>
        </w:rPr>
        <w:t>m</w:t>
      </w:r>
      <w:r>
        <w:rPr>
          <w:spacing w:val="1"/>
          <w:w w:val="102"/>
          <w:sz w:val="18"/>
        </w:rPr>
        <w:t>e</w:t>
      </w:r>
      <w:r>
        <w:rPr>
          <w:w w:val="44"/>
          <w:sz w:val="18"/>
        </w:rPr>
        <w:t>l</w:t>
      </w:r>
      <w:r>
        <w:rPr>
          <w:w w:val="114"/>
          <w:sz w:val="18"/>
        </w:rPr>
        <w:t>o</w:t>
      </w:r>
      <w:r>
        <w:rPr>
          <w:spacing w:val="-2"/>
          <w:w w:val="81"/>
          <w:sz w:val="18"/>
        </w:rPr>
        <w:t>s</w:t>
      </w:r>
      <w:r>
        <w:rPr>
          <w:w w:val="43"/>
          <w:sz w:val="18"/>
        </w:rPr>
        <w:t>,</w:t>
      </w:r>
      <w:r>
        <w:rPr>
          <w:spacing w:val="-41"/>
          <w:sz w:val="18"/>
        </w:rPr>
        <w:t> </w:t>
      </w:r>
      <w:r>
        <w:rPr>
          <w:w w:val="100"/>
          <w:sz w:val="18"/>
        </w:rPr>
        <w:t>E</w:t>
      </w:r>
      <w:r>
        <w:rPr>
          <w:spacing w:val="-1"/>
          <w:w w:val="67"/>
          <w:sz w:val="18"/>
        </w:rPr>
        <w:t>r</w:t>
      </w:r>
      <w:r>
        <w:rPr>
          <w:w w:val="44"/>
          <w:sz w:val="18"/>
        </w:rPr>
        <w:t>i</w:t>
      </w:r>
      <w:r>
        <w:rPr>
          <w:spacing w:val="-1"/>
          <w:w w:val="94"/>
          <w:sz w:val="18"/>
        </w:rPr>
        <w:t>k</w:t>
      </w:r>
      <w:r>
        <w:rPr>
          <w:w w:val="43"/>
          <w:sz w:val="18"/>
        </w:rPr>
        <w:t>,</w:t>
      </w:r>
      <w:r>
        <w:rPr>
          <w:spacing w:val="-41"/>
          <w:sz w:val="18"/>
        </w:rPr>
        <w:t> </w:t>
      </w:r>
      <w:r>
        <w:rPr>
          <w:w w:val="109"/>
          <w:sz w:val="18"/>
        </w:rPr>
        <w:t>Y</w:t>
      </w:r>
      <w:r>
        <w:rPr>
          <w:w w:val="114"/>
          <w:sz w:val="18"/>
        </w:rPr>
        <w:t>o</w:t>
      </w:r>
      <w:r>
        <w:rPr>
          <w:w w:val="110"/>
          <w:sz w:val="18"/>
        </w:rPr>
        <w:t>u</w:t>
      </w:r>
      <w:r>
        <w:rPr>
          <w:spacing w:val="-41"/>
          <w:sz w:val="18"/>
        </w:rPr>
        <w:t> </w:t>
      </w:r>
      <w:r>
        <w:rPr>
          <w:spacing w:val="1"/>
          <w:w w:val="124"/>
          <w:sz w:val="18"/>
        </w:rPr>
        <w:t>C</w:t>
      </w:r>
      <w:r>
        <w:rPr>
          <w:spacing w:val="1"/>
          <w:w w:val="100"/>
          <w:sz w:val="18"/>
        </w:rPr>
        <w:t>a</w:t>
      </w:r>
      <w:r>
        <w:rPr>
          <w:spacing w:val="-1"/>
          <w:w w:val="110"/>
          <w:sz w:val="18"/>
        </w:rPr>
        <w:t>n</w:t>
      </w:r>
      <w:r>
        <w:rPr>
          <w:spacing w:val="-2"/>
          <w:w w:val="44"/>
          <w:sz w:val="18"/>
        </w:rPr>
        <w:t>'</w:t>
      </w:r>
      <w:r>
        <w:rPr>
          <w:w w:val="63"/>
          <w:sz w:val="18"/>
        </w:rPr>
        <w:t>t</w:t>
      </w:r>
      <w:r>
        <w:rPr>
          <w:spacing w:val="-42"/>
          <w:sz w:val="18"/>
        </w:rPr>
        <w:t> </w:t>
      </w:r>
      <w:r>
        <w:rPr>
          <w:w w:val="127"/>
          <w:sz w:val="18"/>
        </w:rPr>
        <w:t>A</w:t>
      </w:r>
      <w:r>
        <w:rPr>
          <w:w w:val="44"/>
          <w:sz w:val="18"/>
        </w:rPr>
        <w:t>l</w:t>
      </w:r>
      <w:r>
        <w:rPr>
          <w:spacing w:val="-2"/>
          <w:w w:val="139"/>
          <w:sz w:val="18"/>
        </w:rPr>
        <w:t>w</w:t>
      </w:r>
      <w:r>
        <w:rPr>
          <w:spacing w:val="1"/>
          <w:w w:val="100"/>
          <w:sz w:val="18"/>
        </w:rPr>
        <w:t>a</w:t>
      </w:r>
      <w:r>
        <w:rPr>
          <w:spacing w:val="-1"/>
          <w:w w:val="93"/>
          <w:sz w:val="18"/>
        </w:rPr>
        <w:t>y</w:t>
      </w:r>
      <w:r>
        <w:rPr>
          <w:w w:val="81"/>
          <w:sz w:val="18"/>
        </w:rPr>
        <w:t>s </w:t>
      </w:r>
      <w:r>
        <w:rPr>
          <w:w w:val="103"/>
          <w:sz w:val="18"/>
        </w:rPr>
        <w:t>T</w:t>
      </w:r>
      <w:r>
        <w:rPr>
          <w:spacing w:val="-1"/>
          <w:w w:val="67"/>
          <w:sz w:val="18"/>
        </w:rPr>
        <w:t>r</w:t>
      </w:r>
      <w:r>
        <w:rPr>
          <w:spacing w:val="1"/>
          <w:w w:val="102"/>
          <w:sz w:val="18"/>
        </w:rPr>
        <w:t>e</w:t>
      </w:r>
      <w:r>
        <w:rPr>
          <w:spacing w:val="-1"/>
          <w:w w:val="110"/>
          <w:sz w:val="18"/>
        </w:rPr>
        <w:t>n</w:t>
      </w:r>
      <w:r>
        <w:rPr>
          <w:w w:val="114"/>
          <w:sz w:val="18"/>
        </w:rPr>
        <w:t>d</w:t>
      </w:r>
      <w:r>
        <w:rPr>
          <w:spacing w:val="-43"/>
          <w:sz w:val="18"/>
        </w:rPr>
        <w:t> </w:t>
      </w:r>
      <w:r>
        <w:rPr>
          <w:w w:val="182"/>
          <w:sz w:val="18"/>
        </w:rPr>
        <w:t>W</w:t>
      </w:r>
      <w:r>
        <w:rPr>
          <w:spacing w:val="-1"/>
          <w:w w:val="110"/>
          <w:sz w:val="18"/>
        </w:rPr>
        <w:t>h</w:t>
      </w:r>
      <w:r>
        <w:rPr>
          <w:spacing w:val="1"/>
          <w:w w:val="102"/>
          <w:sz w:val="18"/>
        </w:rPr>
        <w:t>e</w:t>
      </w:r>
      <w:r>
        <w:rPr>
          <w:w w:val="110"/>
          <w:sz w:val="18"/>
        </w:rPr>
        <w:t>n</w:t>
      </w:r>
      <w:r>
        <w:rPr>
          <w:spacing w:val="-43"/>
          <w:sz w:val="18"/>
        </w:rPr>
        <w:t> </w:t>
      </w:r>
      <w:r>
        <w:rPr>
          <w:w w:val="109"/>
          <w:sz w:val="18"/>
        </w:rPr>
        <w:t>Y</w:t>
      </w:r>
      <w:r>
        <w:rPr>
          <w:w w:val="114"/>
          <w:sz w:val="18"/>
        </w:rPr>
        <w:t>o</w:t>
      </w:r>
      <w:r>
        <w:rPr>
          <w:w w:val="110"/>
          <w:sz w:val="18"/>
        </w:rPr>
        <w:t>u</w:t>
      </w:r>
      <w:r>
        <w:rPr>
          <w:spacing w:val="-41"/>
          <w:sz w:val="18"/>
        </w:rPr>
        <w:t> </w:t>
      </w:r>
      <w:r>
        <w:rPr>
          <w:w w:val="182"/>
          <w:sz w:val="18"/>
        </w:rPr>
        <w:t>W</w:t>
      </w:r>
      <w:r>
        <w:rPr>
          <w:spacing w:val="1"/>
          <w:w w:val="100"/>
          <w:sz w:val="18"/>
        </w:rPr>
        <w:t>a</w:t>
      </w:r>
      <w:r>
        <w:rPr>
          <w:spacing w:val="-1"/>
          <w:w w:val="110"/>
          <w:sz w:val="18"/>
        </w:rPr>
        <w:t>n</w:t>
      </w:r>
      <w:r>
        <w:rPr>
          <w:w w:val="63"/>
          <w:sz w:val="18"/>
        </w:rPr>
        <w:t>t</w:t>
      </w:r>
      <w:r>
        <w:rPr>
          <w:spacing w:val="-42"/>
          <w:sz w:val="18"/>
        </w:rPr>
        <w:t> </w:t>
      </w:r>
      <w:r>
        <w:rPr>
          <w:w w:val="58"/>
          <w:sz w:val="18"/>
        </w:rPr>
        <w:t>(</w:t>
      </w:r>
      <w:r>
        <w:rPr>
          <w:spacing w:val="1"/>
          <w:w w:val="102"/>
          <w:sz w:val="18"/>
        </w:rPr>
        <w:t>S</w:t>
      </w:r>
      <w:r>
        <w:rPr>
          <w:spacing w:val="-2"/>
          <w:w w:val="102"/>
          <w:sz w:val="18"/>
        </w:rPr>
        <w:t>e</w:t>
      </w:r>
      <w:r>
        <w:rPr>
          <w:spacing w:val="-1"/>
          <w:w w:val="114"/>
          <w:sz w:val="18"/>
        </w:rPr>
        <w:t>p</w:t>
      </w:r>
      <w:r>
        <w:rPr>
          <w:w w:val="63"/>
          <w:sz w:val="18"/>
        </w:rPr>
        <w:t>t</w:t>
      </w:r>
      <w:r>
        <w:rPr>
          <w:spacing w:val="1"/>
          <w:w w:val="102"/>
          <w:sz w:val="18"/>
        </w:rPr>
        <w:t>e</w:t>
      </w:r>
      <w:r>
        <w:rPr>
          <w:spacing w:val="-1"/>
          <w:w w:val="168"/>
          <w:sz w:val="18"/>
        </w:rPr>
        <w:t>m</w:t>
      </w:r>
      <w:r>
        <w:rPr>
          <w:spacing w:val="-1"/>
          <w:w w:val="114"/>
          <w:sz w:val="18"/>
        </w:rPr>
        <w:t>b</w:t>
      </w:r>
      <w:r>
        <w:rPr>
          <w:spacing w:val="1"/>
          <w:w w:val="102"/>
          <w:sz w:val="18"/>
        </w:rPr>
        <w:t>e</w:t>
      </w:r>
      <w:r>
        <w:rPr>
          <w:w w:val="67"/>
          <w:sz w:val="18"/>
        </w:rPr>
        <w:t>r</w:t>
      </w:r>
      <w:r>
        <w:rPr>
          <w:spacing w:val="-43"/>
          <w:sz w:val="18"/>
        </w:rPr>
        <w:t> </w:t>
      </w:r>
      <w:r>
        <w:rPr>
          <w:spacing w:val="1"/>
          <w:w w:val="105"/>
          <w:sz w:val="18"/>
        </w:rPr>
        <w:t>1</w:t>
      </w:r>
      <w:r>
        <w:rPr>
          <w:w w:val="43"/>
          <w:sz w:val="18"/>
        </w:rPr>
        <w:t>,</w:t>
      </w:r>
      <w:r>
        <w:rPr>
          <w:spacing w:val="-41"/>
          <w:sz w:val="18"/>
        </w:rPr>
        <w:t> </w:t>
      </w:r>
      <w:r>
        <w:rPr>
          <w:spacing w:val="1"/>
          <w:w w:val="105"/>
          <w:sz w:val="18"/>
        </w:rPr>
        <w:t>2</w:t>
      </w:r>
      <w:r>
        <w:rPr>
          <w:spacing w:val="-2"/>
          <w:w w:val="105"/>
          <w:sz w:val="18"/>
        </w:rPr>
        <w:t>0</w:t>
      </w:r>
      <w:r>
        <w:rPr>
          <w:spacing w:val="1"/>
          <w:w w:val="105"/>
          <w:sz w:val="18"/>
        </w:rPr>
        <w:t>1</w:t>
      </w:r>
      <w:r>
        <w:rPr>
          <w:spacing w:val="-2"/>
          <w:w w:val="105"/>
          <w:sz w:val="18"/>
        </w:rPr>
        <w:t>9</w:t>
      </w:r>
      <w:r>
        <w:rPr>
          <w:w w:val="58"/>
          <w:sz w:val="18"/>
        </w:rPr>
        <w:t>)</w:t>
      </w:r>
      <w:r>
        <w:rPr>
          <w:w w:val="43"/>
          <w:sz w:val="18"/>
        </w:rPr>
        <w:t>.</w:t>
      </w:r>
    </w:p>
    <w:p>
      <w:pPr>
        <w:spacing w:after="0" w:line="316" w:lineRule="auto"/>
        <w:jc w:val="left"/>
        <w:rPr>
          <w:sz w:val="18"/>
        </w:rPr>
        <w:sectPr>
          <w:type w:val="continuous"/>
          <w:pgSz w:w="11910" w:h="16840"/>
          <w:pgMar w:top="200" w:bottom="280" w:left="320" w:right="220"/>
        </w:sectPr>
      </w:pPr>
    </w:p>
    <w:p>
      <w:pPr>
        <w:pStyle w:val="BodyText"/>
        <w:spacing w:before="12"/>
        <w:rPr>
          <w:sz w:val="13"/>
        </w:rPr>
      </w:pPr>
    </w:p>
    <w:p>
      <w:pPr>
        <w:spacing w:after="0"/>
        <w:rPr>
          <w:sz w:val="13"/>
        </w:rPr>
        <w:sectPr>
          <w:pgSz w:w="11910" w:h="16840"/>
          <w:pgMar w:header="948" w:footer="0" w:top="1460" w:bottom="280" w:left="320" w:right="220"/>
        </w:sectPr>
      </w:pPr>
    </w:p>
    <w:p>
      <w:pPr>
        <w:pStyle w:val="BodyText"/>
        <w:spacing w:line="301" w:lineRule="exact" w:before="97"/>
        <w:ind w:left="6390"/>
        <w:rPr>
          <w:rFonts w:ascii="Cambria Math" w:eastAsia="Cambria Math"/>
          <w:sz w:val="13"/>
        </w:rPr>
      </w:pPr>
      <w:r>
        <w:rPr/>
        <w:pict>
          <v:line style="position:absolute;mso-position-horizontal-relative:page;mso-position-vertical-relative:paragraph;z-index:-16396288" from="358.679993pt,17.356289pt" to="377.879993pt,17.356289pt" stroked="true" strokeweight=".726pt" strokecolor="#000000">
            <v:stroke dashstyle="solid"/>
            <w10:wrap type="none"/>
          </v:line>
        </w:pict>
      </w:r>
      <w:r>
        <w:rPr>
          <w:rFonts w:ascii="Cambria Math" w:eastAsia="Cambria Math"/>
          <w:w w:val="75"/>
        </w:rPr>
        <w:t/>
      </w:r>
      <w:r>
        <w:rPr>
          <w:rFonts w:ascii="Cambria Math" w:eastAsia="Cambria Math"/>
          <w:w w:val="75"/>
          <w:vertAlign w:val="superscript"/>
        </w:rPr>
        <w:t/>
      </w:r>
      <w:r>
        <w:rPr>
          <w:rFonts w:ascii="Cambria Math" w:eastAsia="Cambria Math"/>
          <w:spacing w:val="8"/>
          <w:w w:val="75"/>
          <w:vertAlign w:val="baseline"/>
        </w:rPr>
        <w:t> </w:t>
      </w:r>
      <w:r>
        <w:rPr>
          <w:rFonts w:ascii="Cambria Math" w:eastAsia="Cambria Math"/>
          <w:w w:val="90"/>
          <w:vertAlign w:val="baseline"/>
        </w:rPr>
        <w:t>=</w:t>
      </w:r>
      <w:r>
        <w:rPr>
          <w:rFonts w:ascii="Cambria Math" w:eastAsia="Cambria Math"/>
          <w:spacing w:val="32"/>
          <w:w w:val="90"/>
          <w:vertAlign w:val="baseline"/>
        </w:rPr>
        <w:t> </w:t>
      </w:r>
      <w:r>
        <w:rPr>
          <w:rFonts w:ascii="Cambria Math" w:eastAsia="Cambria Math"/>
          <w:w w:val="90"/>
          <w:vertAlign w:val="superscript"/>
        </w:rPr>
        <w:t/>
      </w:r>
      <w:r>
        <w:rPr>
          <w:rFonts w:ascii="Cambria Math" w:eastAsia="Cambria Math"/>
          <w:w w:val="90"/>
          <w:position w:val="19"/>
          <w:sz w:val="13"/>
          <w:vertAlign w:val="baseline"/>
        </w:rPr>
        <w:t>i</w:t>
      </w:r>
    </w:p>
    <w:p>
      <w:pPr>
        <w:spacing w:line="192" w:lineRule="auto" w:before="0"/>
        <w:ind w:left="0" w:right="2354" w:firstLine="0"/>
        <w:jc w:val="right"/>
        <w:rPr>
          <w:rFonts w:ascii="Cambria Math" w:hAnsi="Cambria Math" w:eastAsia="Cambria Math"/>
          <w:sz w:val="13"/>
        </w:rPr>
      </w:pPr>
      <w:r>
        <w:rPr>
          <w:rFonts w:ascii="Cambria Math" w:hAnsi="Cambria Math" w:eastAsia="Cambria Math"/>
          <w:w w:val="160"/>
          <w:sz w:val="16"/>
        </w:rPr>
        <w:t>∑</w:t>
      </w:r>
      <w:r>
        <w:rPr>
          <w:rFonts w:ascii="Cambria Math" w:hAnsi="Cambria Math" w:eastAsia="Cambria Math"/>
          <w:w w:val="31"/>
          <w:position w:val="-6"/>
          <w:sz w:val="13"/>
        </w:rPr>
        <w:t/>
      </w:r>
      <w:r>
        <w:rPr>
          <w:rFonts w:ascii="Cambria Math" w:hAnsi="Cambria Math" w:eastAsia="Cambria Math"/>
          <w:spacing w:val="-3"/>
          <w:position w:val="-6"/>
          <w:sz w:val="13"/>
        </w:rPr>
        <w:t> </w:t>
      </w:r>
      <w:r>
        <w:rPr>
          <w:rFonts w:ascii="Cambria Math" w:hAnsi="Cambria Math" w:eastAsia="Cambria Math"/>
          <w:spacing w:val="-1"/>
          <w:w w:val="58"/>
          <w:sz w:val="16"/>
        </w:rPr>
        <w:t/>
      </w:r>
      <w:r>
        <w:rPr>
          <w:rFonts w:ascii="Cambria Math" w:hAnsi="Cambria Math" w:eastAsia="Cambria Math"/>
          <w:position w:val="6"/>
          <w:sz w:val="13"/>
        </w:rPr>
        <w:t>i</w:t>
      </w:r>
    </w:p>
    <w:p>
      <w:pPr>
        <w:pStyle w:val="BodyText"/>
        <w:spacing w:before="8"/>
        <w:rPr>
          <w:rFonts w:ascii="Cambria Math"/>
        </w:rPr>
      </w:pPr>
    </w:p>
    <w:p>
      <w:pPr>
        <w:pStyle w:val="BodyText"/>
        <w:spacing w:line="317" w:lineRule="exact"/>
        <w:ind w:left="6452"/>
        <w:rPr>
          <w:rFonts w:ascii="Cambria Math" w:eastAsia="Cambria Math"/>
          <w:sz w:val="13"/>
        </w:rPr>
      </w:pPr>
      <w:r>
        <w:rPr/>
        <w:pict>
          <v:line style="position:absolute;mso-position-horizontal-relative:page;mso-position-vertical-relative:paragraph;z-index:-16395776" from="368.640015pt,12.627273pt" to="375.480015pt,12.627273pt" stroked="true" strokeweight=".726pt" strokecolor="#000000">
            <v:stroke dashstyle="solid"/>
            <w10:wrap type="none"/>
          </v:line>
        </w:pict>
      </w:r>
      <w:r>
        <w:rPr/>
        <w:pict>
          <v:shape style="position:absolute;margin-left:373.320007pt;margin-top:12.141004pt;width:1.85pt;height:7.65pt;mso-position-horizontal-relative:page;mso-position-vertical-relative:paragraph;z-index:15745024" type="#_x0000_t202" filled="false" stroked="false">
            <v:textbox inset="0,0,0,0">
              <w:txbxContent>
                <w:p>
                  <w:pPr>
                    <w:spacing w:before="0"/>
                    <w:ind w:left="0" w:right="0" w:firstLine="0"/>
                    <w:jc w:val="left"/>
                    <w:rPr>
                      <w:rFonts w:ascii="Cambria Math"/>
                      <w:sz w:val="13"/>
                    </w:rPr>
                  </w:pPr>
                  <w:r>
                    <w:rPr>
                      <w:rFonts w:ascii="Cambria Math"/>
                      <w:sz w:val="13"/>
                    </w:rPr>
                    <w:t>i</w:t>
                  </w:r>
                </w:p>
              </w:txbxContent>
            </v:textbox>
            <w10:wrap type="none"/>
          </v:shape>
        </w:pict>
      </w:r>
      <w:r>
        <w:rPr>
          <w:rFonts w:ascii="Cambria Math" w:eastAsia="Cambria Math"/>
          <w:w w:val="53"/>
        </w:rPr>
        <w:t/>
      </w:r>
      <w:r>
        <w:rPr>
          <w:rFonts w:ascii="Cambria Math" w:eastAsia="Cambria Math"/>
          <w:spacing w:val="-2"/>
          <w:w w:val="100"/>
        </w:rPr>
        <w:t>𝑅</w:t>
      </w:r>
      <w:r>
        <w:rPr>
          <w:rFonts w:ascii="Cambria Math" w:eastAsia="Cambria Math"/>
          <w:w w:val="36"/>
          <w:vertAlign w:val="superscript"/>
        </w:rPr>
        <w:t/>
      </w:r>
      <w:r>
        <w:rPr>
          <w:rFonts w:ascii="Cambria Math" w:eastAsia="Cambria Math"/>
          <w:spacing w:val="18"/>
          <w:vertAlign w:val="baseline"/>
        </w:rPr>
        <w:t> </w:t>
      </w:r>
      <w:r>
        <w:rPr>
          <w:rFonts w:ascii="Cambria Math" w:eastAsia="Cambria Math"/>
          <w:w w:val="100"/>
          <w:vertAlign w:val="baseline"/>
        </w:rPr>
        <w:t>=</w:t>
      </w:r>
      <w:r>
        <w:rPr>
          <w:rFonts w:ascii="Cambria Math" w:eastAsia="Cambria Math"/>
          <w:spacing w:val="21"/>
          <w:vertAlign w:val="baseline"/>
        </w:rPr>
        <w:t> </w:t>
      </w:r>
      <w:r>
        <w:rPr>
          <w:rFonts w:ascii="Cambria Math" w:eastAsia="Cambria Math"/>
          <w:spacing w:val="-3"/>
          <w:w w:val="55"/>
          <w:vertAlign w:val="superscript"/>
        </w:rPr>
        <w:t/>
      </w:r>
      <w:r>
        <w:rPr>
          <w:rFonts w:ascii="Cambria Math" w:eastAsia="Cambria Math"/>
          <w:position w:val="19"/>
          <w:sz w:val="13"/>
          <w:vertAlign w:val="baseline"/>
        </w:rPr>
        <w:t>i</w:t>
      </w:r>
    </w:p>
    <w:p>
      <w:pPr>
        <w:spacing w:line="142" w:lineRule="exact" w:before="0"/>
        <w:ind w:left="0" w:right="2438" w:firstLine="0"/>
        <w:jc w:val="right"/>
        <w:rPr>
          <w:rFonts w:ascii="Cambria Math" w:eastAsia="Cambria Math"/>
          <w:sz w:val="16"/>
        </w:rPr>
      </w:pPr>
      <w:r>
        <w:rPr>
          <w:rFonts w:ascii="Cambria Math" w:eastAsia="Cambria Math"/>
          <w:w w:val="58"/>
          <w:sz w:val="16"/>
        </w:rPr>
        <w:t/>
      </w:r>
    </w:p>
    <w:p>
      <w:pPr>
        <w:pStyle w:val="BodyText"/>
        <w:spacing w:before="3"/>
        <w:rPr>
          <w:rFonts w:ascii="Cambria Math"/>
          <w:sz w:val="23"/>
        </w:rPr>
      </w:pPr>
    </w:p>
    <w:p>
      <w:pPr>
        <w:pStyle w:val="BodyText"/>
        <w:ind w:left="2951"/>
      </w:pPr>
      <w:r>
        <w:rPr>
          <w:spacing w:val="-1"/>
          <w:w w:val="100"/>
        </w:rPr>
        <w:t>其中</w:t>
      </w:r>
      <w:r>
        <w:rPr>
          <w:spacing w:val="-3"/>
        </w:rPr>
        <w:t> </w:t>
      </w:r>
      <w:r>
        <w:rPr>
          <w:rFonts w:ascii="Cambria Math" w:eastAsia="Cambria Math"/>
          <w:spacing w:val="-2"/>
          <w:w w:val="47"/>
        </w:rPr>
        <w:t/>
      </w:r>
      <w:r>
        <w:rPr>
          <w:rFonts w:ascii="Cambria Math" w:eastAsia="Cambria Math"/>
          <w:w w:val="115"/>
          <w:vertAlign w:val="superscript"/>
        </w:rPr>
        <w:t>i</w:t>
      </w:r>
      <w:r>
        <w:rPr>
          <w:rFonts w:ascii="Cambria Math" w:eastAsia="Cambria Math"/>
          <w:spacing w:val="10"/>
          <w:vertAlign w:val="baseline"/>
        </w:rPr>
        <w:t>  </w:t>
      </w:r>
      <w:r>
        <w:rPr>
          <w:spacing w:val="-2"/>
          <w:w w:val="100"/>
          <w:vertAlign w:val="baseline"/>
        </w:rPr>
        <w:t>是资产</w:t>
      </w:r>
      <w:r>
        <w:rPr>
          <w:vertAlign w:val="baseline"/>
        </w:rPr>
        <w:t> </w:t>
      </w:r>
      <w:r>
        <w:rPr>
          <w:rFonts w:ascii="Cambria Math" w:eastAsia="Cambria Math"/>
          <w:w w:val="31"/>
          <w:vertAlign w:val="baseline"/>
        </w:rPr>
        <w:t/>
      </w:r>
      <w:r>
        <w:rPr>
          <w:rFonts w:ascii="Cambria Math" w:eastAsia="Cambria Math"/>
          <w:spacing w:val="5"/>
          <w:vertAlign w:val="baseline"/>
        </w:rPr>
        <w:t>  </w:t>
      </w:r>
      <w:r>
        <w:rPr>
          <w:spacing w:val="-3"/>
          <w:w w:val="100"/>
          <w:vertAlign w:val="baseline"/>
        </w:rPr>
        <w:t>的超额收益，</w:t>
      </w:r>
      <w:r>
        <w:rPr>
          <w:rFonts w:ascii="Cambria Math" w:eastAsia="Cambria Math"/>
          <w:w w:val="58"/>
          <w:vertAlign w:val="baseline"/>
        </w:rPr>
        <w:t/>
      </w:r>
      <w:r>
        <w:rPr>
          <w:rFonts w:ascii="Cambria Math" w:eastAsia="Cambria Math"/>
          <w:spacing w:val="5"/>
          <w:w w:val="115"/>
          <w:vertAlign w:val="superscript"/>
        </w:rPr>
        <w:t>i</w:t>
      </w:r>
      <w:r>
        <w:rPr>
          <w:spacing w:val="-2"/>
          <w:w w:val="100"/>
          <w:vertAlign w:val="baseline"/>
        </w:rPr>
        <w:t>是资产</w:t>
      </w:r>
      <w:r>
        <w:rPr>
          <w:vertAlign w:val="baseline"/>
        </w:rPr>
        <w:t> </w:t>
      </w:r>
      <w:r>
        <w:rPr>
          <w:rFonts w:ascii="Cambria Math" w:eastAsia="Cambria Math"/>
          <w:w w:val="31"/>
          <w:vertAlign w:val="baseline"/>
        </w:rPr>
        <w:t/>
      </w:r>
      <w:r>
        <w:rPr>
          <w:rFonts w:ascii="Cambria Math" w:eastAsia="Cambria Math"/>
          <w:spacing w:val="6"/>
          <w:vertAlign w:val="baseline"/>
        </w:rPr>
        <w:t>  </w:t>
      </w:r>
      <w:r>
        <w:rPr>
          <w:spacing w:val="-3"/>
          <w:w w:val="100"/>
          <w:vertAlign w:val="baseline"/>
        </w:rPr>
        <w:t>超额收益的年化标准差。</w:t>
      </w:r>
    </w:p>
    <w:p>
      <w:pPr>
        <w:spacing w:before="193"/>
        <w:ind w:left="994" w:right="0" w:firstLine="0"/>
        <w:jc w:val="left"/>
        <w:rPr>
          <w:sz w:val="22"/>
        </w:rPr>
      </w:pPr>
      <w:r>
        <w:rPr/>
        <w:br w:type="column"/>
      </w:r>
      <w:r>
        <w:rPr>
          <w:w w:val="85"/>
          <w:sz w:val="22"/>
        </w:rPr>
        <w:t>(2)</w:t>
      </w:r>
    </w:p>
    <w:p>
      <w:pPr>
        <w:pStyle w:val="BodyText"/>
      </w:pPr>
    </w:p>
    <w:p>
      <w:pPr>
        <w:pStyle w:val="BodyText"/>
        <w:spacing w:before="9"/>
        <w:rPr>
          <w:sz w:val="19"/>
        </w:rPr>
      </w:pPr>
    </w:p>
    <w:p>
      <w:pPr>
        <w:pStyle w:val="BodyText"/>
        <w:ind w:left="994"/>
      </w:pPr>
      <w:r>
        <w:rPr>
          <w:w w:val="85"/>
        </w:rPr>
        <w:t>(3)</w:t>
      </w:r>
    </w:p>
    <w:p>
      <w:pPr>
        <w:spacing w:after="0"/>
        <w:sectPr>
          <w:type w:val="continuous"/>
          <w:pgSz w:w="11910" w:h="16840"/>
          <w:pgMar w:top="200" w:bottom="280" w:left="320" w:right="220"/>
          <w:cols w:num="2" w:equalWidth="0">
            <w:col w:w="9588" w:space="40"/>
            <w:col w:w="1742"/>
          </w:cols>
        </w:sectPr>
      </w:pPr>
    </w:p>
    <w:p>
      <w:pPr>
        <w:pStyle w:val="BodyText"/>
        <w:spacing w:before="9"/>
        <w:rPr>
          <w:sz w:val="15"/>
        </w:rPr>
      </w:pPr>
    </w:p>
    <w:p>
      <w:pPr>
        <w:pStyle w:val="BodyText"/>
        <w:spacing w:line="331" w:lineRule="auto" w:before="59"/>
        <w:ind w:left="2920" w:right="514"/>
      </w:pPr>
      <w:r>
        <w:rPr/>
        <w:t>实证结果表明，2010</w:t>
      </w:r>
      <w:r>
        <w:rPr>
          <w:spacing w:val="-19"/>
        </w:rPr>
        <w:t> 年</w:t>
      </w:r>
      <w:r>
        <w:rPr/>
        <w:t>~2018</w:t>
      </w:r>
      <w:r>
        <w:rPr>
          <w:spacing w:val="3"/>
        </w:rPr>
        <w:t> 年的全球</w:t>
      </w:r>
      <w:r>
        <w:rPr/>
        <w:t>CTA</w:t>
      </w:r>
      <w:r>
        <w:rPr>
          <w:spacing w:val="-9"/>
        </w:rPr>
        <w:t> 表现较差的主要原因就是长达 </w:t>
      </w:r>
      <w:r>
        <w:rPr/>
        <w:t>8</w:t>
      </w:r>
      <w:r>
        <w:rPr>
          <w:spacing w:val="-14"/>
        </w:rPr>
        <w:t> 年的</w:t>
      </w:r>
      <w:r>
        <w:rPr>
          <w:spacing w:val="-5"/>
        </w:rPr>
        <w:t>低有效波动。从图 </w:t>
      </w:r>
      <w:r>
        <w:rPr/>
        <w:t>10</w:t>
      </w:r>
      <w:r>
        <w:rPr>
          <w:spacing w:val="1"/>
        </w:rPr>
        <w:t> 上看，全球</w:t>
      </w:r>
      <w:r>
        <w:rPr/>
        <w:t>CTA</w:t>
      </w:r>
      <w:r>
        <w:rPr>
          <w:spacing w:val="-13"/>
        </w:rPr>
        <w:t> 底层资产在 </w:t>
      </w:r>
      <w:r>
        <w:rPr/>
        <w:t>2010-2018</w:t>
      </w:r>
      <w:r>
        <w:rPr>
          <w:spacing w:val="-18"/>
        </w:rPr>
        <w:t> 年</w:t>
      </w:r>
      <w:r>
        <w:rPr/>
        <w:t>（图中黄点）的有</w:t>
      </w:r>
      <w:r>
        <w:rPr>
          <w:spacing w:val="2"/>
        </w:rPr>
        <w:t>效波动持续处于低位，使得趋势策略的环境不佳，造成了全球</w:t>
      </w:r>
      <w:r>
        <w:rPr/>
        <w:t>CTA</w:t>
      </w:r>
      <w:r>
        <w:rPr>
          <w:spacing w:val="-9"/>
        </w:rPr>
        <w:t> 失去的十年。</w:t>
      </w:r>
    </w:p>
    <w:p>
      <w:pPr>
        <w:spacing w:before="47"/>
        <w:ind w:left="4784" w:right="0" w:firstLine="0"/>
        <w:jc w:val="left"/>
        <w:rPr>
          <w:rFonts w:ascii="Microsoft JhengHei" w:eastAsia="Microsoft JhengHei" w:hint="eastAsia"/>
          <w:b/>
          <w:sz w:val="20"/>
        </w:rPr>
      </w:pPr>
      <w:r>
        <w:rPr/>
        <w:pict>
          <v:group style="position:absolute;margin-left:153.699997pt;margin-top:25.263781pt;width:411pt;height:230.25pt;mso-position-horizontal-relative:page;mso-position-vertical-relative:paragraph;z-index:-15714304;mso-wrap-distance-left:0;mso-wrap-distance-right:0" coordorigin="3074,505" coordsize="8220,4605">
            <v:shape style="position:absolute;left:3182;top:505;width:8050;height:4566" type="#_x0000_t75" stroked="false">
              <v:imagedata r:id="rId21" o:title=""/>
            </v:shape>
            <v:line style="position:absolute" from="3074,5101" to="11294,5101" stroked="true" strokeweight=".96pt" strokecolor="#c06363">
              <v:stroke dashstyle="solid"/>
            </v:line>
            <v:shape style="position:absolute;left:4928;top:2341;width:2514;height:2000" coordorigin="4928,2341" coordsize="2514,2000" path="m6814,2361l6300,2361,6330,2341,6787,2341,6814,2361xm6303,2381l6208,2381,6239,2361,6333,2361,6303,2381xm6915,2381l6810,2381,6784,2361,6890,2361,6915,2381xm6213,2401l6116,2401,6147,2381,6243,2381,6213,2401xm6963,2401l6909,2401,6885,2381,6939,2381,6963,2401xm6121,2421l6054,2421,6085,2401,6152,2401,6121,2421xm7010,2421l6957,2421,6933,2401,6987,2401,7010,2421xm5999,2461l5961,2461,6023,2421,6091,2421,6060,2441,6030,2441,5999,2461xm7055,2441l7025,2441,7002,2421,7033,2421,7055,2441xm7098,2461l7068,2461,7046,2441,7077,2441,7098,2461xm5938,2481l5899,2481,5930,2461,5968,2461,5938,2481xm7088,2481l7067,2461,7088,2461,7088,2481xm7159,2501l7128,2501,7108,2481,7109,2481,7088,2461,7119,2461,7139,2481,7159,2501xm5815,2541l5776,2541,5868,2481,5938,2481,5907,2501,5877,2501,5846,2521,5846,2521,5815,2541xm7215,2541l7184,2541,7166,2521,7166,2521,7147,2501,7178,2501,7197,2521,7215,2541xm5557,2681l5545,2681,5573,2661,5600,2641,5628,2621,5657,2601,5686,2581,5745,2541,5816,2541,5785,2561,5755,2561,5725,2581,5725,2581,5696,2601,5696,2601,5667,2621,5667,2621,5639,2641,5639,2641,5611,2661,5584,2661,5557,2681xm7324,2661l7308,2661,7295,2641,7295,2641,7281,2621,7266,2621,7251,2601,7251,2601,7235,2581,7235,2581,7219,2561,7219,2561,7202,2541,7232,2541,7249,2561,7266,2581,7281,2601,7296,2621,7311,2641,7324,2661xm7338,2681l7315,2681,7308,2661,7331,2661,7338,2681xm4984,3861l4961,3861,4955,3841,4948,3821,4943,3781,4939,3761,4935,3741,4932,3721,4930,3701,4929,3681,4928,3661,4929,3621,4930,3601,4931,3581,4934,3561,4937,3541,4941,3501,4946,3481,4951,3461,4957,3441,4964,3421,4972,3381,4980,3361,4989,3341,4999,3321,5009,3301,5020,3261,5031,3241,5044,3221,5057,3201,5070,3181,5084,3141,5099,3121,5115,3101,5131,3081,5147,3061,5165,3021,5183,3001,5201,2981,5220,2961,5240,2941,5260,2921,5281,2901,5302,2881,5324,2861,5347,2841,5370,2801,5393,2781,5417,2761,5442,2741,5467,2721,5493,2701,5519,2681,5557,2681,5530,2701,5531,2701,5505,2721,5505,2721,5479,2741,5479,2741,5454,2761,5454,2761,5430,2781,5430,2781,5406,2801,5406,2801,5383,2821,5383,2821,5360,2841,5360,2841,5338,2861,5338,2861,5316,2881,5316,2881,5295,2901,5295,2901,5275,2941,5275,2941,5255,2961,5255,2961,5235,2981,5235,2981,5216,3001,5217,3001,5198,3021,5198,3021,5181,3041,5181,3041,5164,3061,5164,3061,5147,3081,5147,3081,5131,3121,5131,3121,5116,3141,5116,3141,5101,3161,5102,3161,5087,3181,5088,3181,5074,3201,5074,3201,5061,3221,5062,3221,5049,3261,5049,3261,5038,3281,5038,3281,5027,3301,5027,3301,5017,3321,5017,3321,5008,3341,5008,3341,4999,3361,4999,3361,4991,3401,4991,3401,4983,3421,4983,3421,4977,3441,4977,3441,4971,3461,4971,3461,4965,3481,4965,3481,4961,3521,4961,3521,4957,3541,4957,3541,4954,3561,4954,3561,4951,3581,4951,3581,4950,3601,4950,3601,4949,3621,4949,3641,4948,3641,4948,3661,4949,3661,4949,3681,4950,3701,4950,3701,4952,3721,4952,3721,4955,3741,4955,3741,4958,3761,4958,3761,4963,3781,4963,3781,4968,3801,4968,3801,4974,3821,4974,3821,4980,3841,4980,3841,4984,3861xm7356,2701l7327,2701,7321,2681,7350,2681,7356,2701xm7373,2741l7355,2741,7350,2721,7344,2721,7339,2701,7362,2701,7367,2721,7373,2741xm7383,2761l7365,2761,7360,2741,7378,2741,7383,2761xm7369,2781l7365,2761,7369,2761,7369,2781xm7392,2781l7374,2781,7369,2761,7388,2761,7392,2781xm7401,2801l7378,2801,7374,2781,7397,2781,7401,2801xm6713,4081l6674,4081,6703,4061,6703,4061,6731,4041,6731,4041,6759,4021,6759,4021,6786,4001,6786,4001,6813,3981,6813,3981,6840,3961,6839,3961,6865,3941,6865,3941,6891,3921,6891,3921,6916,3901,6916,3901,6940,3881,6940,3881,6964,3861,6964,3861,6987,3841,6987,3841,7010,3821,7010,3821,7032,3801,7032,3801,7054,3781,7054,3781,7075,3761,7075,3761,7095,3741,7095,3741,7115,3721,7115,3721,7135,3701,7135,3701,7153,3681,7153,3681,7172,3661,7172,3661,7189,3621,7189,3621,7206,3601,7206,3601,7223,3581,7223,3581,7239,3561,7239,3561,7254,3541,7254,3541,7269,3521,7268,3521,7283,3501,7282,3501,7296,3461,7296,3461,7309,3441,7308,3441,7321,3421,7321,3421,7332,3401,7332,3401,7343,3381,7343,3381,7353,3341,7353,3341,7362,3321,7362,3321,7371,3301,7371,3301,7379,3281,7379,3281,7387,3261,7386,3261,7393,3241,7393,3241,7399,3201,7399,3201,7405,3181,7405,3181,7409,3161,7409,3161,7413,3141,7413,3141,7416,3121,7416,3121,7419,3101,7419,3101,7420,3061,7420,3061,7421,3041,7422,3021,7421,3001,7420,2981,7420,2981,7418,2961,7418,2961,7415,2941,7415,2941,7411,2901,7412,2901,7407,2881,7407,2881,7402,2861,7402,2861,7396,2841,7396,2841,7390,2821,7386,2821,7382,2801,7405,2801,7409,2821,7415,2841,7422,2861,7427,2881,7431,2901,7435,2921,7438,2961,7440,2981,7441,3001,7442,3021,7441,3041,7440,3061,7439,3101,7436,3121,7433,3141,7429,3161,7424,3181,7419,3221,7413,3241,7406,3261,7398,3281,7390,3301,7381,3341,7371,3361,7361,3381,7350,3401,7338,3421,7326,3461,7313,3481,7300,3501,7286,3521,7271,3541,7255,3581,7239,3601,7222,3621,7205,3641,7187,3661,7169,3681,7150,3701,7130,3741,7110,3761,7089,3781,7068,3801,7046,3821,7023,3841,7000,3861,6977,3881,6953,3901,6928,3921,6903,3941,6877,3961,6851,3981,6825,4001,6797,4021,6770,4041,6742,4061,6713,4081xm4948,3648l4948,3641,4949,3641,4948,3648xm4949,3661l4948,3661,4948,3648,4949,3661xm4992,3881l4969,3881,4965,3861,4988,3861,4992,3881xm4996,3901l4978,3901,4973,3881,4992,3881,4996,3901xm5015,3941l4992,3941,4987,3921,4982,3901,5001,3901,5005,3921,5010,3921,5015,3941xm5026,3961l5003,3961,4997,3941,5020,3941,5026,3961xm5037,3981l5014,3981,5008,3961,5031,3961,5037,3981xm5049,4001l5026,4001,5020,3981,5043,3981,5049,4001xm5055,4001l5049,4001,5049,3981,5055,4001xm5075,4021l5039,4021,5032,4001,5062,4001,5075,4021xm5135,4101l5104,4101,5089,4081,5074,4061,5059,4041,5046,4021,5075,4021,5089,4041,5089,4041,5104,4061,5104,4061,5119,4081,5119,4081,5135,4101xm6563,4161l6524,4161,6555,4141,6554,4141,6585,4121,6585,4121,6615,4101,6615,4101,6645,4081,6684,4081,6624,4121,6563,4161xm5204,4161l5173,4161,5155,4141,5138,4121,5121,4101,5151,4101,5168,4121,5168,4121,5186,4141,5186,4141,5204,4161xm5282,4201l5231,4201,5211,4181,5192,4161,5222,4161,5242,4181,5261,4181,5282,4201xm6471,4201l6432,4201,6463,4181,6463,4181,6494,4161,6533,4161,6471,4201xm5345,4241l5293,4241,5272,4221,5251,4201,5282,4201,5303,4221,5324,4221,5345,4241xm6378,4241l6310,4241,6341,4221,6371,4221,6402,4201,6440,4201,6378,4241xm5390,4261l5337,4261,5315,4241,5367,4241,5390,4261xm6316,4261l6249,4261,6279,4241,6347,4241,6316,4261xm5461,4281l5383,4281,5360,4261,5437,4261,5461,4281xm6254,4281l6188,4281,6218,4261,6285,4261,6254,4281xm5535,4301l5455,4301,5431,4281,5510,4281,5535,4301xm6193,4301l6097,4301,6127,4281,6223,4281,6193,4301xm5639,4321l5531,4321,5505,4301,5612,4301,5639,4321xm6101,4321l5948,4321,5978,4301,6131,4301,6101,4321xm5950,4341l5636,4341,5609,4321,5980,4321,5950,4341xe" filled="true" fillcolor="#ffc000" stroked="false">
              <v:path arrowok="t"/>
              <v:fill type="solid"/>
            </v:shape>
            <v:shape style="position:absolute;left:3986;top:1274;width:918;height:156" type="#_x0000_t202" filled="false" stroked="false">
              <v:textbox inset="0,0,0,0">
                <w:txbxContent>
                  <w:p>
                    <w:pPr>
                      <w:spacing w:line="155" w:lineRule="exact" w:before="0"/>
                      <w:ind w:left="0" w:right="0" w:firstLine="0"/>
                      <w:jc w:val="left"/>
                      <w:rPr>
                        <w:sz w:val="15"/>
                      </w:rPr>
                    </w:pPr>
                    <w:r>
                      <w:rPr>
                        <w:sz w:val="15"/>
                      </w:rPr>
                      <w:t>趋势策略夏普</w:t>
                    </w:r>
                  </w:p>
                </w:txbxContent>
              </v:textbox>
              <w10:wrap type="none"/>
            </v:shape>
            <v:shape style="position:absolute;left:9048;top:3981;width:1818;height:156" type="#_x0000_t202" filled="false" stroked="false">
              <v:textbox inset="0,0,0,0">
                <w:txbxContent>
                  <w:p>
                    <w:pPr>
                      <w:spacing w:line="155" w:lineRule="exact" w:before="0"/>
                      <w:ind w:left="0" w:right="0" w:firstLine="0"/>
                      <w:jc w:val="left"/>
                      <w:rPr>
                        <w:sz w:val="15"/>
                      </w:rPr>
                    </w:pPr>
                    <w:r>
                      <w:rPr>
                        <w:sz w:val="15"/>
                      </w:rPr>
                      <w:t>底层资产加权平均有效波动</w:t>
                    </w:r>
                  </w:p>
                </w:txbxContent>
              </v:textbox>
              <w10:wrap type="none"/>
            </v:shape>
            <w10:wrap type="topAndBottom"/>
          </v:group>
        </w:pict>
      </w:r>
      <w:r>
        <w:rPr/>
        <w:pict>
          <v:line style="position:absolute;mso-position-horizontal-relative:page;mso-position-vertical-relative:paragraph;z-index:15744512" from="153.699997pt,20.030769pt" to="564.699997pt,20.030769pt" stroked="true" strokeweight=".96pt" strokecolor="#c06363">
            <v:stroke dashstyle="solid"/>
            <w10:wrap type="none"/>
          </v:line>
        </w:pict>
      </w:r>
      <w:r>
        <w:rPr>
          <w:rFonts w:ascii="Microsoft JhengHei" w:eastAsia="Microsoft JhengHei" w:hint="eastAsia"/>
          <w:b/>
          <w:spacing w:val="21"/>
          <w:sz w:val="20"/>
        </w:rPr>
        <w:t>图 </w:t>
      </w:r>
      <w:bookmarkStart w:name="_bookmark20" w:id="35"/>
      <w:bookmarkEnd w:id="35"/>
      <w:r>
        <w:rPr>
          <w:rFonts w:ascii="Microsoft JhengHei" w:eastAsia="Microsoft JhengHei" w:hint="eastAsia"/>
          <w:b/>
          <w:sz w:val="20"/>
        </w:rPr>
        <w:t>9</w:t>
      </w:r>
      <w:r>
        <w:rPr>
          <w:rFonts w:ascii="Microsoft JhengHei" w:eastAsia="Microsoft JhengHei" w:hint="eastAsia"/>
          <w:b/>
          <w:sz w:val="20"/>
        </w:rPr>
        <w:t>: 按年度的有效波动与策略夏普丨单位：无</w:t>
      </w:r>
    </w:p>
    <w:p>
      <w:pPr>
        <w:spacing w:before="12"/>
        <w:ind w:left="2862" w:right="0" w:firstLine="0"/>
        <w:jc w:val="left"/>
        <w:rPr>
          <w:sz w:val="16"/>
        </w:rPr>
      </w:pPr>
      <w:r>
        <w:rPr>
          <w:sz w:val="16"/>
        </w:rPr>
        <w:t>数据来源：AQR，华泰期货研究院</w:t>
      </w:r>
    </w:p>
    <w:p>
      <w:pPr>
        <w:pStyle w:val="BodyText"/>
        <w:spacing w:before="3"/>
        <w:rPr>
          <w:sz w:val="23"/>
        </w:rPr>
      </w:pPr>
    </w:p>
    <w:p>
      <w:pPr>
        <w:pStyle w:val="BodyText"/>
        <w:spacing w:line="331" w:lineRule="auto" w:before="59"/>
        <w:ind w:left="2920" w:right="415"/>
        <w:jc w:val="both"/>
      </w:pPr>
      <w:r>
        <w:rPr/>
        <w:t>AQR</w:t>
      </w:r>
      <w:r>
        <w:rPr>
          <w:spacing w:val="-7"/>
        </w:rPr>
        <w:t> 在文章总结中也提到，如果未来市场有效波动回到历史长期均值，那么趋势跟</w:t>
      </w:r>
      <w:r>
        <w:rPr>
          <w:spacing w:val="-3"/>
        </w:rPr>
        <w:t>踪策略仍然可以期待。实际上，就在文章 </w:t>
      </w:r>
      <w:r>
        <w:rPr/>
        <w:t>2019</w:t>
      </w:r>
      <w:r>
        <w:rPr>
          <w:spacing w:val="-8"/>
        </w:rPr>
        <w:t> 年发布后不久，</w:t>
      </w:r>
      <w:r>
        <w:rPr/>
        <w:t>2020</w:t>
      </w:r>
      <w:r>
        <w:rPr>
          <w:spacing w:val="-8"/>
        </w:rPr>
        <w:t> 年至今，全球</w:t>
      </w:r>
      <w:r>
        <w:rPr/>
        <w:t>各类资产就🎧现了较大幅度的有效波动，SG</w:t>
      </w:r>
      <w:r>
        <w:rPr>
          <w:spacing w:val="-17"/>
        </w:rPr>
        <w:t> </w:t>
      </w:r>
      <w:r>
        <w:rPr/>
        <w:t>CTA</w:t>
      </w:r>
      <w:r>
        <w:rPr>
          <w:spacing w:val="-6"/>
        </w:rPr>
        <w:t> 基金指数的表现也如期十分优异。</w:t>
      </w:r>
    </w:p>
    <w:p>
      <w:pPr>
        <w:pStyle w:val="BodyText"/>
        <w:spacing w:line="333" w:lineRule="auto" w:before="158"/>
        <w:ind w:left="2920" w:right="605"/>
        <w:jc w:val="both"/>
      </w:pPr>
      <w:r>
        <w:rPr/>
        <w:t>国内的情况也是如此，2022</w:t>
      </w:r>
      <w:r>
        <w:rPr>
          <w:spacing w:val="-8"/>
        </w:rPr>
        <w:t> 年国内商品市场各重点品种的有效波动减少是 </w:t>
      </w:r>
      <w:r>
        <w:rPr/>
        <w:t>CTA</w:t>
      </w:r>
      <w:r>
        <w:rPr>
          <w:spacing w:val="-21"/>
        </w:rPr>
        <w:t> 表</w:t>
      </w:r>
      <w:r>
        <w:rPr>
          <w:w w:val="105"/>
        </w:rPr>
        <w:t>现较差的重要因素。</w:t>
      </w:r>
    </w:p>
    <w:p>
      <w:pPr>
        <w:spacing w:before="49"/>
        <w:ind w:left="9" w:right="111" w:firstLine="0"/>
        <w:jc w:val="center"/>
        <w:rPr>
          <w:rFonts w:ascii="Microsoft JhengHei" w:eastAsia="Microsoft JhengHei" w:hint="eastAsia"/>
          <w:b/>
          <w:sz w:val="20"/>
        </w:rPr>
      </w:pPr>
      <w:r>
        <w:rPr>
          <w:rFonts w:ascii="Microsoft JhengHei" w:eastAsia="Microsoft JhengHei" w:hint="eastAsia"/>
          <w:b/>
          <w:spacing w:val="1"/>
          <w:sz w:val="20"/>
        </w:rPr>
        <w:t>表 </w:t>
      </w:r>
      <w:r>
        <w:rPr>
          <w:rFonts w:ascii="Times New Roman" w:eastAsia="Times New Roman"/>
          <w:b/>
          <w:sz w:val="20"/>
        </w:rPr>
        <w:t>2</w:t>
      </w:r>
      <w:bookmarkStart w:name="_bookmark21" w:id="36"/>
      <w:bookmarkEnd w:id="36"/>
      <w:r>
        <w:rPr>
          <w:rFonts w:ascii="Times New Roman" w:eastAsia="Times New Roman"/>
          <w:b/>
          <w:spacing w:val="25"/>
          <w:sz w:val="20"/>
        </w:rPr>
        <w:t>: </w:t>
      </w:r>
      <w:r>
        <w:rPr>
          <w:rFonts w:ascii="Microsoft JhengHei" w:eastAsia="Microsoft JhengHei" w:hint="eastAsia"/>
          <w:b/>
          <w:sz w:val="20"/>
        </w:rPr>
        <w:t>重要品种有效波动丨单位：无</w:t>
      </w:r>
    </w:p>
    <w:p>
      <w:pPr>
        <w:pStyle w:val="BodyText"/>
        <w:spacing w:before="7"/>
        <w:rPr>
          <w:rFonts w:ascii="Microsoft JhengHei"/>
          <w:b/>
          <w:sz w:val="11"/>
        </w:rPr>
      </w:pPr>
    </w:p>
    <w:tbl>
      <w:tblPr>
        <w:tblW w:w="0" w:type="auto"/>
        <w:jc w:val="left"/>
        <w:tblInd w:w="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44"/>
        <w:gridCol w:w="510"/>
        <w:gridCol w:w="515"/>
        <w:gridCol w:w="505"/>
        <w:gridCol w:w="515"/>
        <w:gridCol w:w="508"/>
        <w:gridCol w:w="513"/>
        <w:gridCol w:w="511"/>
        <w:gridCol w:w="509"/>
        <w:gridCol w:w="509"/>
        <w:gridCol w:w="517"/>
        <w:gridCol w:w="512"/>
        <w:gridCol w:w="512"/>
        <w:gridCol w:w="507"/>
        <w:gridCol w:w="517"/>
        <w:gridCol w:w="510"/>
        <w:gridCol w:w="515"/>
        <w:gridCol w:w="511"/>
        <w:gridCol w:w="511"/>
        <w:gridCol w:w="515"/>
        <w:gridCol w:w="513"/>
      </w:tblGrid>
      <w:tr>
        <w:trPr>
          <w:trHeight w:val="301" w:hRule="atLeast"/>
        </w:trPr>
        <w:tc>
          <w:tcPr>
            <w:tcW w:w="544" w:type="dxa"/>
          </w:tcPr>
          <w:p>
            <w:pPr>
              <w:pStyle w:val="TableParagraph"/>
              <w:spacing w:before="0"/>
              <w:jc w:val="left"/>
              <w:rPr>
                <w:sz w:val="18"/>
              </w:rPr>
            </w:pPr>
          </w:p>
        </w:tc>
        <w:tc>
          <w:tcPr>
            <w:tcW w:w="510" w:type="dxa"/>
          </w:tcPr>
          <w:p>
            <w:pPr>
              <w:pStyle w:val="TableParagraph"/>
              <w:spacing w:line="165" w:lineRule="exact" w:before="0"/>
              <w:ind w:left="1"/>
              <w:rPr>
                <w:b/>
                <w:sz w:val="15"/>
              </w:rPr>
            </w:pPr>
            <w:r>
              <w:rPr>
                <w:b/>
                <w:w w:val="99"/>
                <w:sz w:val="15"/>
              </w:rPr>
              <w:t>V</w:t>
            </w:r>
          </w:p>
        </w:tc>
        <w:tc>
          <w:tcPr>
            <w:tcW w:w="515" w:type="dxa"/>
          </w:tcPr>
          <w:p>
            <w:pPr>
              <w:pStyle w:val="TableParagraph"/>
              <w:spacing w:line="165" w:lineRule="exact" w:before="0"/>
              <w:ind w:left="160"/>
              <w:jc w:val="left"/>
              <w:rPr>
                <w:b/>
                <w:sz w:val="15"/>
              </w:rPr>
            </w:pPr>
            <w:r>
              <w:rPr>
                <w:b/>
                <w:sz w:val="15"/>
              </w:rPr>
              <w:t>SC</w:t>
            </w:r>
          </w:p>
        </w:tc>
        <w:tc>
          <w:tcPr>
            <w:tcW w:w="505" w:type="dxa"/>
          </w:tcPr>
          <w:p>
            <w:pPr>
              <w:pStyle w:val="TableParagraph"/>
              <w:spacing w:line="165" w:lineRule="exact" w:before="0"/>
              <w:ind w:left="101" w:right="101"/>
              <w:rPr>
                <w:b/>
                <w:sz w:val="15"/>
              </w:rPr>
            </w:pPr>
            <w:r>
              <w:rPr>
                <w:b/>
                <w:sz w:val="15"/>
              </w:rPr>
              <w:t>AL</w:t>
            </w:r>
          </w:p>
        </w:tc>
        <w:tc>
          <w:tcPr>
            <w:tcW w:w="515" w:type="dxa"/>
          </w:tcPr>
          <w:p>
            <w:pPr>
              <w:pStyle w:val="TableParagraph"/>
              <w:spacing w:line="165" w:lineRule="exact" w:before="0"/>
              <w:rPr>
                <w:b/>
                <w:sz w:val="15"/>
              </w:rPr>
            </w:pPr>
            <w:r>
              <w:rPr>
                <w:b/>
                <w:w w:val="99"/>
                <w:sz w:val="15"/>
              </w:rPr>
              <w:t>C</w:t>
            </w:r>
          </w:p>
        </w:tc>
        <w:tc>
          <w:tcPr>
            <w:tcW w:w="508" w:type="dxa"/>
          </w:tcPr>
          <w:p>
            <w:pPr>
              <w:pStyle w:val="TableParagraph"/>
              <w:spacing w:line="165" w:lineRule="exact" w:before="0"/>
              <w:ind w:left="144"/>
              <w:jc w:val="left"/>
              <w:rPr>
                <w:b/>
                <w:sz w:val="15"/>
              </w:rPr>
            </w:pPr>
            <w:r>
              <w:rPr>
                <w:b/>
                <w:sz w:val="15"/>
              </w:rPr>
              <w:t>RU</w:t>
            </w:r>
          </w:p>
        </w:tc>
        <w:tc>
          <w:tcPr>
            <w:tcW w:w="513" w:type="dxa"/>
          </w:tcPr>
          <w:p>
            <w:pPr>
              <w:pStyle w:val="TableParagraph"/>
              <w:spacing w:line="165" w:lineRule="exact" w:before="0"/>
              <w:ind w:left="72" w:right="73"/>
              <w:rPr>
                <w:b/>
                <w:sz w:val="15"/>
              </w:rPr>
            </w:pPr>
            <w:r>
              <w:rPr>
                <w:b/>
                <w:sz w:val="15"/>
              </w:rPr>
              <w:t>FG</w:t>
            </w:r>
          </w:p>
        </w:tc>
        <w:tc>
          <w:tcPr>
            <w:tcW w:w="511" w:type="dxa"/>
          </w:tcPr>
          <w:p>
            <w:pPr>
              <w:pStyle w:val="TableParagraph"/>
              <w:spacing w:line="165" w:lineRule="exact" w:before="0"/>
              <w:ind w:left="138"/>
              <w:jc w:val="left"/>
              <w:rPr>
                <w:b/>
                <w:sz w:val="15"/>
              </w:rPr>
            </w:pPr>
            <w:r>
              <w:rPr>
                <w:b/>
                <w:sz w:val="15"/>
              </w:rPr>
              <w:t>HC</w:t>
            </w:r>
          </w:p>
        </w:tc>
        <w:tc>
          <w:tcPr>
            <w:tcW w:w="509" w:type="dxa"/>
          </w:tcPr>
          <w:p>
            <w:pPr>
              <w:pStyle w:val="TableParagraph"/>
              <w:spacing w:line="165" w:lineRule="exact" w:before="0"/>
              <w:ind w:left="97" w:right="106"/>
              <w:rPr>
                <w:b/>
                <w:sz w:val="15"/>
              </w:rPr>
            </w:pPr>
            <w:r>
              <w:rPr>
                <w:b/>
                <w:sz w:val="15"/>
              </w:rPr>
              <w:t>MA</w:t>
            </w:r>
          </w:p>
        </w:tc>
        <w:tc>
          <w:tcPr>
            <w:tcW w:w="509" w:type="dxa"/>
          </w:tcPr>
          <w:p>
            <w:pPr>
              <w:pStyle w:val="TableParagraph"/>
              <w:spacing w:line="165" w:lineRule="exact" w:before="0"/>
              <w:ind w:right="4"/>
              <w:rPr>
                <w:b/>
                <w:sz w:val="15"/>
              </w:rPr>
            </w:pPr>
            <w:r>
              <w:rPr>
                <w:b/>
                <w:w w:val="99"/>
                <w:sz w:val="15"/>
              </w:rPr>
              <w:t>P</w:t>
            </w:r>
          </w:p>
        </w:tc>
        <w:tc>
          <w:tcPr>
            <w:tcW w:w="517" w:type="dxa"/>
          </w:tcPr>
          <w:p>
            <w:pPr>
              <w:pStyle w:val="TableParagraph"/>
              <w:spacing w:line="165" w:lineRule="exact" w:before="0"/>
              <w:ind w:left="155"/>
              <w:jc w:val="left"/>
              <w:rPr>
                <w:b/>
                <w:sz w:val="15"/>
              </w:rPr>
            </w:pPr>
            <w:r>
              <w:rPr>
                <w:b/>
                <w:sz w:val="15"/>
              </w:rPr>
              <w:t>SR</w:t>
            </w:r>
          </w:p>
        </w:tc>
        <w:tc>
          <w:tcPr>
            <w:tcW w:w="512" w:type="dxa"/>
          </w:tcPr>
          <w:p>
            <w:pPr>
              <w:pStyle w:val="TableParagraph"/>
              <w:spacing w:line="165" w:lineRule="exact" w:before="0"/>
              <w:ind w:left="189"/>
              <w:jc w:val="left"/>
              <w:rPr>
                <w:b/>
                <w:sz w:val="15"/>
              </w:rPr>
            </w:pPr>
            <w:r>
              <w:rPr>
                <w:b/>
                <w:w w:val="99"/>
                <w:sz w:val="15"/>
              </w:rPr>
              <w:t>Y</w:t>
            </w:r>
          </w:p>
        </w:tc>
        <w:tc>
          <w:tcPr>
            <w:tcW w:w="512" w:type="dxa"/>
          </w:tcPr>
          <w:p>
            <w:pPr>
              <w:pStyle w:val="TableParagraph"/>
              <w:spacing w:line="165" w:lineRule="exact" w:before="0"/>
              <w:ind w:left="90" w:right="118"/>
              <w:rPr>
                <w:b/>
                <w:sz w:val="15"/>
              </w:rPr>
            </w:pPr>
            <w:r>
              <w:rPr>
                <w:b/>
                <w:sz w:val="15"/>
              </w:rPr>
              <w:t>SA</w:t>
            </w:r>
          </w:p>
        </w:tc>
        <w:tc>
          <w:tcPr>
            <w:tcW w:w="507" w:type="dxa"/>
          </w:tcPr>
          <w:p>
            <w:pPr>
              <w:pStyle w:val="TableParagraph"/>
              <w:spacing w:line="165" w:lineRule="exact" w:before="0"/>
              <w:ind w:left="128"/>
              <w:jc w:val="left"/>
              <w:rPr>
                <w:b/>
                <w:sz w:val="15"/>
              </w:rPr>
            </w:pPr>
            <w:r>
              <w:rPr>
                <w:b/>
                <w:sz w:val="15"/>
              </w:rPr>
              <w:t>AG</w:t>
            </w:r>
          </w:p>
        </w:tc>
        <w:tc>
          <w:tcPr>
            <w:tcW w:w="517" w:type="dxa"/>
          </w:tcPr>
          <w:p>
            <w:pPr>
              <w:pStyle w:val="TableParagraph"/>
              <w:spacing w:line="165" w:lineRule="exact" w:before="0"/>
              <w:ind w:left="91" w:right="117"/>
              <w:rPr>
                <w:b/>
                <w:sz w:val="15"/>
              </w:rPr>
            </w:pPr>
            <w:r>
              <w:rPr>
                <w:b/>
                <w:sz w:val="15"/>
              </w:rPr>
              <w:t>CF</w:t>
            </w:r>
          </w:p>
        </w:tc>
        <w:tc>
          <w:tcPr>
            <w:tcW w:w="510" w:type="dxa"/>
          </w:tcPr>
          <w:p>
            <w:pPr>
              <w:pStyle w:val="TableParagraph"/>
              <w:spacing w:line="165" w:lineRule="exact" w:before="0"/>
              <w:ind w:left="165"/>
              <w:jc w:val="left"/>
              <w:rPr>
                <w:b/>
                <w:sz w:val="15"/>
              </w:rPr>
            </w:pPr>
            <w:r>
              <w:rPr>
                <w:b/>
                <w:w w:val="99"/>
                <w:sz w:val="15"/>
              </w:rPr>
              <w:t>M</w:t>
            </w:r>
          </w:p>
        </w:tc>
        <w:tc>
          <w:tcPr>
            <w:tcW w:w="515" w:type="dxa"/>
          </w:tcPr>
          <w:p>
            <w:pPr>
              <w:pStyle w:val="TableParagraph"/>
              <w:spacing w:line="165" w:lineRule="exact" w:before="0"/>
              <w:ind w:left="137"/>
              <w:jc w:val="left"/>
              <w:rPr>
                <w:b/>
                <w:sz w:val="15"/>
              </w:rPr>
            </w:pPr>
            <w:r>
              <w:rPr>
                <w:b/>
                <w:sz w:val="15"/>
              </w:rPr>
              <w:t>TA</w:t>
            </w:r>
          </w:p>
        </w:tc>
        <w:tc>
          <w:tcPr>
            <w:tcW w:w="511" w:type="dxa"/>
          </w:tcPr>
          <w:p>
            <w:pPr>
              <w:pStyle w:val="TableParagraph"/>
              <w:spacing w:line="165" w:lineRule="exact" w:before="0"/>
              <w:ind w:left="78" w:right="124"/>
              <w:rPr>
                <w:b/>
                <w:sz w:val="15"/>
              </w:rPr>
            </w:pPr>
            <w:r>
              <w:rPr>
                <w:b/>
                <w:sz w:val="15"/>
              </w:rPr>
              <w:t>AU</w:t>
            </w:r>
          </w:p>
        </w:tc>
        <w:tc>
          <w:tcPr>
            <w:tcW w:w="511" w:type="dxa"/>
          </w:tcPr>
          <w:p>
            <w:pPr>
              <w:pStyle w:val="TableParagraph"/>
              <w:spacing w:line="165" w:lineRule="exact" w:before="0"/>
              <w:ind w:right="48"/>
              <w:rPr>
                <w:b/>
                <w:sz w:val="15"/>
              </w:rPr>
            </w:pPr>
            <w:r>
              <w:rPr>
                <w:b/>
                <w:w w:val="99"/>
                <w:sz w:val="15"/>
              </w:rPr>
              <w:t>I</w:t>
            </w:r>
          </w:p>
        </w:tc>
        <w:tc>
          <w:tcPr>
            <w:tcW w:w="515" w:type="dxa"/>
          </w:tcPr>
          <w:p>
            <w:pPr>
              <w:pStyle w:val="TableParagraph"/>
              <w:spacing w:line="165" w:lineRule="exact" w:before="0"/>
              <w:ind w:left="55" w:right="106"/>
              <w:rPr>
                <w:b/>
                <w:sz w:val="15"/>
              </w:rPr>
            </w:pPr>
            <w:r>
              <w:rPr>
                <w:b/>
                <w:sz w:val="15"/>
              </w:rPr>
              <w:t>RB</w:t>
            </w:r>
          </w:p>
        </w:tc>
        <w:tc>
          <w:tcPr>
            <w:tcW w:w="513" w:type="dxa"/>
          </w:tcPr>
          <w:p>
            <w:pPr>
              <w:pStyle w:val="TableParagraph"/>
              <w:spacing w:line="165" w:lineRule="exact" w:before="0"/>
              <w:ind w:left="45" w:right="108"/>
              <w:rPr>
                <w:b/>
                <w:sz w:val="15"/>
              </w:rPr>
            </w:pPr>
            <w:r>
              <w:rPr>
                <w:b/>
                <w:sz w:val="15"/>
              </w:rPr>
              <w:t>CU</w:t>
            </w:r>
          </w:p>
        </w:tc>
      </w:tr>
      <w:tr>
        <w:trPr>
          <w:trHeight w:val="402" w:hRule="atLeast"/>
        </w:trPr>
        <w:tc>
          <w:tcPr>
            <w:tcW w:w="544" w:type="dxa"/>
          </w:tcPr>
          <w:p>
            <w:pPr>
              <w:pStyle w:val="TableParagraph"/>
              <w:spacing w:before="85"/>
              <w:ind w:left="50"/>
              <w:jc w:val="left"/>
              <w:rPr>
                <w:sz w:val="16"/>
              </w:rPr>
            </w:pPr>
            <w:r>
              <w:rPr>
                <w:sz w:val="16"/>
              </w:rPr>
              <w:t>2017</w:t>
            </w:r>
          </w:p>
        </w:tc>
        <w:tc>
          <w:tcPr>
            <w:tcW w:w="510" w:type="dxa"/>
            <w:shd w:val="clear" w:color="auto" w:fill="C3D980"/>
          </w:tcPr>
          <w:p>
            <w:pPr>
              <w:pStyle w:val="TableParagraph"/>
              <w:ind w:left="99" w:right="97"/>
              <w:rPr>
                <w:sz w:val="15"/>
              </w:rPr>
            </w:pPr>
            <w:r>
              <w:rPr>
                <w:sz w:val="15"/>
              </w:rPr>
              <w:t>0.48</w:t>
            </w:r>
          </w:p>
        </w:tc>
        <w:tc>
          <w:tcPr>
            <w:tcW w:w="515" w:type="dxa"/>
          </w:tcPr>
          <w:p>
            <w:pPr>
              <w:pStyle w:val="TableParagraph"/>
              <w:spacing w:before="0"/>
              <w:jc w:val="left"/>
              <w:rPr>
                <w:sz w:val="18"/>
              </w:rPr>
            </w:pPr>
          </w:p>
        </w:tc>
        <w:tc>
          <w:tcPr>
            <w:tcW w:w="505" w:type="dxa"/>
            <w:shd w:val="clear" w:color="auto" w:fill="F8E983"/>
          </w:tcPr>
          <w:p>
            <w:pPr>
              <w:pStyle w:val="TableParagraph"/>
              <w:ind w:left="101" w:right="101"/>
              <w:rPr>
                <w:sz w:val="15"/>
              </w:rPr>
            </w:pPr>
            <w:r>
              <w:rPr>
                <w:sz w:val="15"/>
              </w:rPr>
              <w:t>0.74</w:t>
            </w:r>
          </w:p>
        </w:tc>
        <w:tc>
          <w:tcPr>
            <w:tcW w:w="515" w:type="dxa"/>
            <w:shd w:val="clear" w:color="auto" w:fill="F8E983"/>
          </w:tcPr>
          <w:p>
            <w:pPr>
              <w:pStyle w:val="TableParagraph"/>
              <w:ind w:left="79" w:right="82"/>
              <w:rPr>
                <w:sz w:val="15"/>
              </w:rPr>
            </w:pPr>
            <w:r>
              <w:rPr>
                <w:sz w:val="15"/>
              </w:rPr>
              <w:t>0.74</w:t>
            </w:r>
          </w:p>
        </w:tc>
        <w:tc>
          <w:tcPr>
            <w:tcW w:w="508" w:type="dxa"/>
            <w:shd w:val="clear" w:color="auto" w:fill="FFDB81"/>
          </w:tcPr>
          <w:p>
            <w:pPr>
              <w:pStyle w:val="TableParagraph"/>
              <w:ind w:left="120"/>
              <w:jc w:val="left"/>
              <w:rPr>
                <w:sz w:val="15"/>
              </w:rPr>
            </w:pPr>
            <w:r>
              <w:rPr>
                <w:sz w:val="15"/>
              </w:rPr>
              <w:t>1.15</w:t>
            </w:r>
          </w:p>
        </w:tc>
        <w:tc>
          <w:tcPr>
            <w:tcW w:w="513" w:type="dxa"/>
            <w:shd w:val="clear" w:color="auto" w:fill="FFDB81"/>
          </w:tcPr>
          <w:p>
            <w:pPr>
              <w:pStyle w:val="TableParagraph"/>
              <w:ind w:left="72" w:right="79"/>
              <w:rPr>
                <w:sz w:val="15"/>
              </w:rPr>
            </w:pPr>
            <w:r>
              <w:rPr>
                <w:sz w:val="15"/>
              </w:rPr>
              <w:t>1.16</w:t>
            </w:r>
          </w:p>
        </w:tc>
        <w:tc>
          <w:tcPr>
            <w:tcW w:w="511" w:type="dxa"/>
            <w:shd w:val="clear" w:color="auto" w:fill="FFE283"/>
          </w:tcPr>
          <w:p>
            <w:pPr>
              <w:pStyle w:val="TableParagraph"/>
              <w:ind w:left="119"/>
              <w:jc w:val="left"/>
              <w:rPr>
                <w:sz w:val="15"/>
              </w:rPr>
            </w:pPr>
            <w:r>
              <w:rPr>
                <w:sz w:val="15"/>
              </w:rPr>
              <w:t>0.96</w:t>
            </w:r>
          </w:p>
        </w:tc>
        <w:tc>
          <w:tcPr>
            <w:tcW w:w="509" w:type="dxa"/>
            <w:shd w:val="clear" w:color="auto" w:fill="CCDC81"/>
          </w:tcPr>
          <w:p>
            <w:pPr>
              <w:pStyle w:val="TableParagraph"/>
              <w:ind w:left="95" w:right="106"/>
              <w:rPr>
                <w:sz w:val="15"/>
              </w:rPr>
            </w:pPr>
            <w:r>
              <w:rPr>
                <w:sz w:val="15"/>
              </w:rPr>
              <w:t>0.52</w:t>
            </w:r>
          </w:p>
        </w:tc>
        <w:tc>
          <w:tcPr>
            <w:tcW w:w="509" w:type="dxa"/>
            <w:shd w:val="clear" w:color="auto" w:fill="FFE984"/>
          </w:tcPr>
          <w:p>
            <w:pPr>
              <w:pStyle w:val="TableParagraph"/>
              <w:ind w:left="97" w:right="103"/>
              <w:rPr>
                <w:sz w:val="15"/>
              </w:rPr>
            </w:pPr>
            <w:r>
              <w:rPr>
                <w:sz w:val="15"/>
              </w:rPr>
              <w:t>0.83</w:t>
            </w:r>
          </w:p>
        </w:tc>
        <w:tc>
          <w:tcPr>
            <w:tcW w:w="517" w:type="dxa"/>
            <w:shd w:val="clear" w:color="auto" w:fill="FDD681"/>
          </w:tcPr>
          <w:p>
            <w:pPr>
              <w:pStyle w:val="TableParagraph"/>
              <w:ind w:left="118"/>
              <w:jc w:val="left"/>
              <w:rPr>
                <w:sz w:val="15"/>
              </w:rPr>
            </w:pPr>
            <w:r>
              <w:rPr>
                <w:sz w:val="15"/>
              </w:rPr>
              <w:t>1.25</w:t>
            </w:r>
          </w:p>
        </w:tc>
        <w:tc>
          <w:tcPr>
            <w:tcW w:w="512" w:type="dxa"/>
            <w:shd w:val="clear" w:color="auto" w:fill="FBAE79"/>
          </w:tcPr>
          <w:p>
            <w:pPr>
              <w:pStyle w:val="TableParagraph"/>
              <w:ind w:left="113"/>
              <w:jc w:val="left"/>
              <w:rPr>
                <w:sz w:val="15"/>
              </w:rPr>
            </w:pPr>
            <w:r>
              <w:rPr>
                <w:sz w:val="15"/>
              </w:rPr>
              <w:t>2.15</w:t>
            </w:r>
          </w:p>
        </w:tc>
        <w:tc>
          <w:tcPr>
            <w:tcW w:w="512" w:type="dxa"/>
          </w:tcPr>
          <w:p>
            <w:pPr>
              <w:pStyle w:val="TableParagraph"/>
              <w:spacing w:before="0"/>
              <w:jc w:val="left"/>
              <w:rPr>
                <w:sz w:val="18"/>
              </w:rPr>
            </w:pPr>
          </w:p>
        </w:tc>
        <w:tc>
          <w:tcPr>
            <w:tcW w:w="507" w:type="dxa"/>
            <w:shd w:val="clear" w:color="auto" w:fill="FDEA83"/>
          </w:tcPr>
          <w:p>
            <w:pPr>
              <w:pStyle w:val="TableParagraph"/>
              <w:ind w:left="109"/>
              <w:jc w:val="left"/>
              <w:rPr>
                <w:sz w:val="15"/>
              </w:rPr>
            </w:pPr>
            <w:r>
              <w:rPr>
                <w:sz w:val="15"/>
              </w:rPr>
              <w:t>0.77</w:t>
            </w:r>
          </w:p>
        </w:tc>
        <w:tc>
          <w:tcPr>
            <w:tcW w:w="517" w:type="dxa"/>
            <w:shd w:val="clear" w:color="auto" w:fill="93CC7C"/>
          </w:tcPr>
          <w:p>
            <w:pPr>
              <w:pStyle w:val="TableParagraph"/>
              <w:ind w:left="91" w:right="122"/>
              <w:rPr>
                <w:sz w:val="15"/>
              </w:rPr>
            </w:pPr>
            <w:r>
              <w:rPr>
                <w:sz w:val="15"/>
              </w:rPr>
              <w:t>0.25</w:t>
            </w:r>
          </w:p>
        </w:tc>
        <w:tc>
          <w:tcPr>
            <w:tcW w:w="510" w:type="dxa"/>
            <w:shd w:val="clear" w:color="auto" w:fill="6BC07A"/>
          </w:tcPr>
          <w:p>
            <w:pPr>
              <w:pStyle w:val="TableParagraph"/>
              <w:ind w:left="105"/>
              <w:jc w:val="left"/>
              <w:rPr>
                <w:sz w:val="15"/>
              </w:rPr>
            </w:pPr>
            <w:r>
              <w:rPr>
                <w:sz w:val="15"/>
              </w:rPr>
              <w:t>0.04</w:t>
            </w:r>
          </w:p>
        </w:tc>
        <w:tc>
          <w:tcPr>
            <w:tcW w:w="515" w:type="dxa"/>
            <w:shd w:val="clear" w:color="auto" w:fill="94CC7C"/>
          </w:tcPr>
          <w:p>
            <w:pPr>
              <w:pStyle w:val="TableParagraph"/>
              <w:ind w:left="103"/>
              <w:jc w:val="left"/>
              <w:rPr>
                <w:sz w:val="15"/>
              </w:rPr>
            </w:pPr>
            <w:r>
              <w:rPr>
                <w:sz w:val="15"/>
              </w:rPr>
              <w:t>0.25</w:t>
            </w:r>
          </w:p>
        </w:tc>
        <w:tc>
          <w:tcPr>
            <w:tcW w:w="511" w:type="dxa"/>
            <w:shd w:val="clear" w:color="auto" w:fill="73C27A"/>
          </w:tcPr>
          <w:p>
            <w:pPr>
              <w:pStyle w:val="TableParagraph"/>
              <w:ind w:left="78" w:right="124"/>
              <w:rPr>
                <w:sz w:val="15"/>
              </w:rPr>
            </w:pPr>
            <w:r>
              <w:rPr>
                <w:sz w:val="15"/>
              </w:rPr>
              <w:t>0.08</w:t>
            </w:r>
          </w:p>
        </w:tc>
        <w:tc>
          <w:tcPr>
            <w:tcW w:w="511" w:type="dxa"/>
            <w:shd w:val="clear" w:color="auto" w:fill="D6DF81"/>
          </w:tcPr>
          <w:p>
            <w:pPr>
              <w:pStyle w:val="TableParagraph"/>
              <w:ind w:left="76" w:right="127"/>
              <w:rPr>
                <w:sz w:val="15"/>
              </w:rPr>
            </w:pPr>
            <w:r>
              <w:rPr>
                <w:sz w:val="15"/>
              </w:rPr>
              <w:t>0.58</w:t>
            </w:r>
          </w:p>
        </w:tc>
        <w:tc>
          <w:tcPr>
            <w:tcW w:w="515" w:type="dxa"/>
            <w:shd w:val="clear" w:color="auto" w:fill="FDCF7E"/>
          </w:tcPr>
          <w:p>
            <w:pPr>
              <w:pStyle w:val="TableParagraph"/>
              <w:ind w:left="52" w:right="106"/>
              <w:rPr>
                <w:sz w:val="15"/>
              </w:rPr>
            </w:pPr>
            <w:r>
              <w:rPr>
                <w:sz w:val="15"/>
              </w:rPr>
              <w:t>1.42</w:t>
            </w:r>
          </w:p>
        </w:tc>
        <w:tc>
          <w:tcPr>
            <w:tcW w:w="513" w:type="dxa"/>
            <w:shd w:val="clear" w:color="auto" w:fill="FFDA81"/>
          </w:tcPr>
          <w:p>
            <w:pPr>
              <w:pStyle w:val="TableParagraph"/>
              <w:ind w:left="43" w:right="108"/>
              <w:rPr>
                <w:sz w:val="15"/>
              </w:rPr>
            </w:pPr>
            <w:r>
              <w:rPr>
                <w:sz w:val="15"/>
              </w:rPr>
              <w:t>1.16</w:t>
            </w:r>
          </w:p>
        </w:tc>
      </w:tr>
      <w:tr>
        <w:trPr>
          <w:trHeight w:val="397" w:hRule="atLeast"/>
        </w:trPr>
        <w:tc>
          <w:tcPr>
            <w:tcW w:w="544" w:type="dxa"/>
          </w:tcPr>
          <w:p>
            <w:pPr>
              <w:pStyle w:val="TableParagraph"/>
              <w:spacing w:before="83"/>
              <w:ind w:left="50"/>
              <w:jc w:val="left"/>
              <w:rPr>
                <w:sz w:val="16"/>
              </w:rPr>
            </w:pPr>
            <w:r>
              <w:rPr>
                <w:sz w:val="16"/>
              </w:rPr>
              <w:t>2018</w:t>
            </w:r>
          </w:p>
        </w:tc>
        <w:tc>
          <w:tcPr>
            <w:tcW w:w="510" w:type="dxa"/>
            <w:shd w:val="clear" w:color="auto" w:fill="62BD7A"/>
          </w:tcPr>
          <w:p>
            <w:pPr>
              <w:pStyle w:val="TableParagraph"/>
              <w:spacing w:before="90"/>
              <w:ind w:left="99" w:right="97"/>
              <w:rPr>
                <w:sz w:val="15"/>
              </w:rPr>
            </w:pPr>
            <w:r>
              <w:rPr>
                <w:sz w:val="15"/>
              </w:rPr>
              <w:t>0.00</w:t>
            </w:r>
          </w:p>
        </w:tc>
        <w:tc>
          <w:tcPr>
            <w:tcW w:w="515" w:type="dxa"/>
            <w:shd w:val="clear" w:color="auto" w:fill="92CC7C"/>
          </w:tcPr>
          <w:p>
            <w:pPr>
              <w:pStyle w:val="TableParagraph"/>
              <w:spacing w:before="90"/>
              <w:ind w:left="124"/>
              <w:jc w:val="left"/>
              <w:rPr>
                <w:sz w:val="15"/>
              </w:rPr>
            </w:pPr>
            <w:r>
              <w:rPr>
                <w:sz w:val="15"/>
              </w:rPr>
              <w:t>0.24</w:t>
            </w:r>
          </w:p>
        </w:tc>
        <w:tc>
          <w:tcPr>
            <w:tcW w:w="505" w:type="dxa"/>
            <w:shd w:val="clear" w:color="auto" w:fill="FDD580"/>
          </w:tcPr>
          <w:p>
            <w:pPr>
              <w:pStyle w:val="TableParagraph"/>
              <w:spacing w:before="90"/>
              <w:ind w:left="101" w:right="101"/>
              <w:rPr>
                <w:sz w:val="15"/>
              </w:rPr>
            </w:pPr>
            <w:r>
              <w:rPr>
                <w:sz w:val="15"/>
              </w:rPr>
              <w:t>1.26</w:t>
            </w:r>
          </w:p>
        </w:tc>
        <w:tc>
          <w:tcPr>
            <w:tcW w:w="515" w:type="dxa"/>
            <w:shd w:val="clear" w:color="auto" w:fill="97CD7D"/>
          </w:tcPr>
          <w:p>
            <w:pPr>
              <w:pStyle w:val="TableParagraph"/>
              <w:spacing w:before="90"/>
              <w:ind w:left="79" w:right="82"/>
              <w:rPr>
                <w:sz w:val="15"/>
              </w:rPr>
            </w:pPr>
            <w:r>
              <w:rPr>
                <w:sz w:val="15"/>
              </w:rPr>
              <w:t>0.27</w:t>
            </w:r>
          </w:p>
        </w:tc>
        <w:tc>
          <w:tcPr>
            <w:tcW w:w="508" w:type="dxa"/>
            <w:shd w:val="clear" w:color="auto" w:fill="FCBA7A"/>
          </w:tcPr>
          <w:p>
            <w:pPr>
              <w:pStyle w:val="TableParagraph"/>
              <w:spacing w:before="90"/>
              <w:ind w:left="120"/>
              <w:jc w:val="left"/>
              <w:rPr>
                <w:sz w:val="15"/>
              </w:rPr>
            </w:pPr>
            <w:r>
              <w:rPr>
                <w:sz w:val="15"/>
              </w:rPr>
              <w:t>1.89</w:t>
            </w:r>
          </w:p>
        </w:tc>
        <w:tc>
          <w:tcPr>
            <w:tcW w:w="513" w:type="dxa"/>
            <w:shd w:val="clear" w:color="auto" w:fill="B8D57E"/>
          </w:tcPr>
          <w:p>
            <w:pPr>
              <w:pStyle w:val="TableParagraph"/>
              <w:spacing w:before="90"/>
              <w:ind w:left="72" w:right="79"/>
              <w:rPr>
                <w:sz w:val="15"/>
              </w:rPr>
            </w:pPr>
            <w:r>
              <w:rPr>
                <w:sz w:val="15"/>
              </w:rPr>
              <w:t>0.43</w:t>
            </w:r>
          </w:p>
        </w:tc>
        <w:tc>
          <w:tcPr>
            <w:tcW w:w="511" w:type="dxa"/>
            <w:shd w:val="clear" w:color="auto" w:fill="73C27A"/>
          </w:tcPr>
          <w:p>
            <w:pPr>
              <w:pStyle w:val="TableParagraph"/>
              <w:spacing w:before="90"/>
              <w:ind w:left="119"/>
              <w:jc w:val="left"/>
              <w:rPr>
                <w:sz w:val="15"/>
              </w:rPr>
            </w:pPr>
            <w:r>
              <w:rPr>
                <w:sz w:val="15"/>
              </w:rPr>
              <w:t>0.08</w:t>
            </w:r>
          </w:p>
        </w:tc>
        <w:tc>
          <w:tcPr>
            <w:tcW w:w="509" w:type="dxa"/>
            <w:shd w:val="clear" w:color="auto" w:fill="CCDC81"/>
          </w:tcPr>
          <w:p>
            <w:pPr>
              <w:pStyle w:val="TableParagraph"/>
              <w:spacing w:before="87"/>
              <w:ind w:left="95" w:right="106"/>
              <w:rPr>
                <w:sz w:val="15"/>
              </w:rPr>
            </w:pPr>
            <w:r>
              <w:rPr>
                <w:sz w:val="15"/>
              </w:rPr>
              <w:t>0.52</w:t>
            </w:r>
          </w:p>
        </w:tc>
        <w:tc>
          <w:tcPr>
            <w:tcW w:w="509" w:type="dxa"/>
            <w:shd w:val="clear" w:color="auto" w:fill="FCC07B"/>
          </w:tcPr>
          <w:p>
            <w:pPr>
              <w:pStyle w:val="TableParagraph"/>
              <w:spacing w:before="87"/>
              <w:ind w:left="97" w:right="103"/>
              <w:rPr>
                <w:sz w:val="15"/>
              </w:rPr>
            </w:pPr>
            <w:r>
              <w:rPr>
                <w:sz w:val="15"/>
              </w:rPr>
              <w:t>1.76</w:t>
            </w:r>
          </w:p>
        </w:tc>
        <w:tc>
          <w:tcPr>
            <w:tcW w:w="517" w:type="dxa"/>
            <w:shd w:val="clear" w:color="auto" w:fill="FCB579"/>
          </w:tcPr>
          <w:p>
            <w:pPr>
              <w:pStyle w:val="TableParagraph"/>
              <w:spacing w:before="87"/>
              <w:ind w:left="118"/>
              <w:jc w:val="left"/>
              <w:rPr>
                <w:sz w:val="15"/>
              </w:rPr>
            </w:pPr>
            <w:r>
              <w:rPr>
                <w:sz w:val="15"/>
              </w:rPr>
              <w:t>2.02</w:t>
            </w:r>
          </w:p>
        </w:tc>
        <w:tc>
          <w:tcPr>
            <w:tcW w:w="512" w:type="dxa"/>
            <w:shd w:val="clear" w:color="auto" w:fill="FFE082"/>
          </w:tcPr>
          <w:p>
            <w:pPr>
              <w:pStyle w:val="TableParagraph"/>
              <w:spacing w:before="87"/>
              <w:ind w:left="113"/>
              <w:jc w:val="left"/>
              <w:rPr>
                <w:sz w:val="15"/>
              </w:rPr>
            </w:pPr>
            <w:r>
              <w:rPr>
                <w:sz w:val="15"/>
              </w:rPr>
              <w:t>1.02</w:t>
            </w:r>
          </w:p>
        </w:tc>
        <w:tc>
          <w:tcPr>
            <w:tcW w:w="512" w:type="dxa"/>
          </w:tcPr>
          <w:p>
            <w:pPr>
              <w:pStyle w:val="TableParagraph"/>
              <w:spacing w:before="0"/>
              <w:jc w:val="left"/>
              <w:rPr>
                <w:sz w:val="18"/>
              </w:rPr>
            </w:pPr>
          </w:p>
        </w:tc>
        <w:tc>
          <w:tcPr>
            <w:tcW w:w="507" w:type="dxa"/>
            <w:shd w:val="clear" w:color="auto" w:fill="FFE082"/>
          </w:tcPr>
          <w:p>
            <w:pPr>
              <w:pStyle w:val="TableParagraph"/>
              <w:spacing w:before="87"/>
              <w:ind w:left="109"/>
              <w:jc w:val="left"/>
              <w:rPr>
                <w:sz w:val="15"/>
              </w:rPr>
            </w:pPr>
            <w:r>
              <w:rPr>
                <w:sz w:val="15"/>
              </w:rPr>
              <w:t>1.02</w:t>
            </w:r>
          </w:p>
        </w:tc>
        <w:tc>
          <w:tcPr>
            <w:tcW w:w="517" w:type="dxa"/>
            <w:shd w:val="clear" w:color="auto" w:fill="ECE683"/>
          </w:tcPr>
          <w:p>
            <w:pPr>
              <w:pStyle w:val="TableParagraph"/>
              <w:spacing w:before="87"/>
              <w:ind w:left="91" w:right="122"/>
              <w:rPr>
                <w:sz w:val="15"/>
              </w:rPr>
            </w:pPr>
            <w:r>
              <w:rPr>
                <w:sz w:val="15"/>
              </w:rPr>
              <w:t>0.69</w:t>
            </w:r>
          </w:p>
        </w:tc>
        <w:tc>
          <w:tcPr>
            <w:tcW w:w="510" w:type="dxa"/>
            <w:shd w:val="clear" w:color="auto" w:fill="CFDD81"/>
          </w:tcPr>
          <w:p>
            <w:pPr>
              <w:pStyle w:val="TableParagraph"/>
              <w:spacing w:before="87"/>
              <w:ind w:left="105"/>
              <w:jc w:val="left"/>
              <w:rPr>
                <w:sz w:val="15"/>
              </w:rPr>
            </w:pPr>
            <w:r>
              <w:rPr>
                <w:sz w:val="15"/>
              </w:rPr>
              <w:t>0.54</w:t>
            </w:r>
          </w:p>
        </w:tc>
        <w:tc>
          <w:tcPr>
            <w:tcW w:w="515" w:type="dxa"/>
            <w:shd w:val="clear" w:color="auto" w:fill="BCD680"/>
          </w:tcPr>
          <w:p>
            <w:pPr>
              <w:pStyle w:val="TableParagraph"/>
              <w:spacing w:before="87"/>
              <w:ind w:left="103"/>
              <w:jc w:val="left"/>
              <w:rPr>
                <w:sz w:val="15"/>
              </w:rPr>
            </w:pPr>
            <w:r>
              <w:rPr>
                <w:sz w:val="15"/>
              </w:rPr>
              <w:t>0.45</w:t>
            </w:r>
          </w:p>
        </w:tc>
        <w:tc>
          <w:tcPr>
            <w:tcW w:w="511" w:type="dxa"/>
            <w:shd w:val="clear" w:color="auto" w:fill="67BE7A"/>
          </w:tcPr>
          <w:p>
            <w:pPr>
              <w:pStyle w:val="TableParagraph"/>
              <w:spacing w:before="87"/>
              <w:ind w:left="78" w:right="124"/>
              <w:rPr>
                <w:sz w:val="15"/>
              </w:rPr>
            </w:pPr>
            <w:r>
              <w:rPr>
                <w:sz w:val="15"/>
              </w:rPr>
              <w:t>0.02</w:t>
            </w:r>
          </w:p>
        </w:tc>
        <w:tc>
          <w:tcPr>
            <w:tcW w:w="511" w:type="dxa"/>
            <w:shd w:val="clear" w:color="auto" w:fill="83C67B"/>
          </w:tcPr>
          <w:p>
            <w:pPr>
              <w:pStyle w:val="TableParagraph"/>
              <w:spacing w:before="87"/>
              <w:ind w:left="76" w:right="127"/>
              <w:rPr>
                <w:sz w:val="15"/>
              </w:rPr>
            </w:pPr>
            <w:r>
              <w:rPr>
                <w:sz w:val="15"/>
              </w:rPr>
              <w:t>0.16</w:t>
            </w:r>
          </w:p>
        </w:tc>
        <w:tc>
          <w:tcPr>
            <w:tcW w:w="515" w:type="dxa"/>
            <w:shd w:val="clear" w:color="auto" w:fill="95CC7C"/>
          </w:tcPr>
          <w:p>
            <w:pPr>
              <w:pStyle w:val="TableParagraph"/>
              <w:spacing w:before="87"/>
              <w:ind w:left="52" w:right="106"/>
              <w:rPr>
                <w:sz w:val="15"/>
              </w:rPr>
            </w:pPr>
            <w:r>
              <w:rPr>
                <w:sz w:val="15"/>
              </w:rPr>
              <w:t>0.26</w:t>
            </w:r>
          </w:p>
        </w:tc>
        <w:tc>
          <w:tcPr>
            <w:tcW w:w="513" w:type="dxa"/>
            <w:shd w:val="clear" w:color="auto" w:fill="FFDF82"/>
          </w:tcPr>
          <w:p>
            <w:pPr>
              <w:pStyle w:val="TableParagraph"/>
              <w:spacing w:before="87"/>
              <w:ind w:left="43" w:right="108"/>
              <w:rPr>
                <w:sz w:val="15"/>
              </w:rPr>
            </w:pPr>
            <w:r>
              <w:rPr>
                <w:sz w:val="15"/>
              </w:rPr>
              <w:t>1.06</w:t>
            </w:r>
          </w:p>
        </w:tc>
      </w:tr>
      <w:tr>
        <w:trPr>
          <w:trHeight w:val="400" w:hRule="atLeast"/>
        </w:trPr>
        <w:tc>
          <w:tcPr>
            <w:tcW w:w="544" w:type="dxa"/>
          </w:tcPr>
          <w:p>
            <w:pPr>
              <w:pStyle w:val="TableParagraph"/>
              <w:spacing w:before="84"/>
              <w:ind w:left="50"/>
              <w:jc w:val="left"/>
              <w:rPr>
                <w:sz w:val="16"/>
              </w:rPr>
            </w:pPr>
            <w:r>
              <w:rPr>
                <w:sz w:val="16"/>
              </w:rPr>
              <w:t>2019</w:t>
            </w:r>
          </w:p>
        </w:tc>
        <w:tc>
          <w:tcPr>
            <w:tcW w:w="510" w:type="dxa"/>
            <w:shd w:val="clear" w:color="auto" w:fill="D6DF81"/>
          </w:tcPr>
          <w:p>
            <w:pPr>
              <w:pStyle w:val="TableParagraph"/>
              <w:spacing w:before="91"/>
              <w:ind w:left="99" w:right="97"/>
              <w:rPr>
                <w:sz w:val="15"/>
              </w:rPr>
            </w:pPr>
            <w:r>
              <w:rPr>
                <w:sz w:val="15"/>
              </w:rPr>
              <w:t>0.58</w:t>
            </w:r>
          </w:p>
        </w:tc>
        <w:tc>
          <w:tcPr>
            <w:tcW w:w="515" w:type="dxa"/>
            <w:shd w:val="clear" w:color="auto" w:fill="FFD981"/>
          </w:tcPr>
          <w:p>
            <w:pPr>
              <w:pStyle w:val="TableParagraph"/>
              <w:spacing w:before="91"/>
              <w:ind w:left="124"/>
              <w:jc w:val="left"/>
              <w:rPr>
                <w:sz w:val="15"/>
              </w:rPr>
            </w:pPr>
            <w:r>
              <w:rPr>
                <w:sz w:val="15"/>
              </w:rPr>
              <w:t>1.19</w:t>
            </w:r>
          </w:p>
        </w:tc>
        <w:tc>
          <w:tcPr>
            <w:tcW w:w="505" w:type="dxa"/>
            <w:shd w:val="clear" w:color="auto" w:fill="D1DD81"/>
          </w:tcPr>
          <w:p>
            <w:pPr>
              <w:pStyle w:val="TableParagraph"/>
              <w:spacing w:before="91"/>
              <w:ind w:left="101" w:right="101"/>
              <w:rPr>
                <w:sz w:val="15"/>
              </w:rPr>
            </w:pPr>
            <w:r>
              <w:rPr>
                <w:sz w:val="15"/>
              </w:rPr>
              <w:t>0.55</w:t>
            </w:r>
          </w:p>
        </w:tc>
        <w:tc>
          <w:tcPr>
            <w:tcW w:w="515" w:type="dxa"/>
            <w:shd w:val="clear" w:color="auto" w:fill="E6E382"/>
          </w:tcPr>
          <w:p>
            <w:pPr>
              <w:pStyle w:val="TableParagraph"/>
              <w:spacing w:before="91"/>
              <w:ind w:left="79" w:right="82"/>
              <w:rPr>
                <w:sz w:val="15"/>
              </w:rPr>
            </w:pPr>
            <w:r>
              <w:rPr>
                <w:sz w:val="15"/>
              </w:rPr>
              <w:t>0.65</w:t>
            </w:r>
          </w:p>
        </w:tc>
        <w:tc>
          <w:tcPr>
            <w:tcW w:w="508" w:type="dxa"/>
            <w:shd w:val="clear" w:color="auto" w:fill="76C37B"/>
          </w:tcPr>
          <w:p>
            <w:pPr>
              <w:pStyle w:val="TableParagraph"/>
              <w:spacing w:before="91"/>
              <w:ind w:left="120"/>
              <w:jc w:val="left"/>
              <w:rPr>
                <w:sz w:val="15"/>
              </w:rPr>
            </w:pPr>
            <w:r>
              <w:rPr>
                <w:sz w:val="15"/>
              </w:rPr>
              <w:t>0.10</w:t>
            </w:r>
          </w:p>
        </w:tc>
        <w:tc>
          <w:tcPr>
            <w:tcW w:w="513" w:type="dxa"/>
            <w:shd w:val="clear" w:color="auto" w:fill="FDD17E"/>
          </w:tcPr>
          <w:p>
            <w:pPr>
              <w:pStyle w:val="TableParagraph"/>
              <w:spacing w:before="91"/>
              <w:ind w:left="72" w:right="79"/>
              <w:rPr>
                <w:sz w:val="15"/>
              </w:rPr>
            </w:pPr>
            <w:r>
              <w:rPr>
                <w:sz w:val="15"/>
              </w:rPr>
              <w:t>1.39</w:t>
            </w:r>
          </w:p>
        </w:tc>
        <w:tc>
          <w:tcPr>
            <w:tcW w:w="511" w:type="dxa"/>
            <w:shd w:val="clear" w:color="auto" w:fill="FDCA7D"/>
          </w:tcPr>
          <w:p>
            <w:pPr>
              <w:pStyle w:val="TableParagraph"/>
              <w:spacing w:before="91"/>
              <w:ind w:left="119"/>
              <w:jc w:val="left"/>
              <w:rPr>
                <w:sz w:val="15"/>
              </w:rPr>
            </w:pPr>
            <w:r>
              <w:rPr>
                <w:sz w:val="15"/>
              </w:rPr>
              <w:t>1.51</w:t>
            </w:r>
          </w:p>
        </w:tc>
        <w:tc>
          <w:tcPr>
            <w:tcW w:w="509" w:type="dxa"/>
            <w:shd w:val="clear" w:color="auto" w:fill="FFE984"/>
          </w:tcPr>
          <w:p>
            <w:pPr>
              <w:pStyle w:val="TableParagraph"/>
              <w:spacing w:before="91"/>
              <w:ind w:left="95" w:right="106"/>
              <w:rPr>
                <w:sz w:val="15"/>
              </w:rPr>
            </w:pPr>
            <w:r>
              <w:rPr>
                <w:sz w:val="15"/>
              </w:rPr>
              <w:t>0.82</w:t>
            </w:r>
          </w:p>
        </w:tc>
        <w:tc>
          <w:tcPr>
            <w:tcW w:w="509" w:type="dxa"/>
            <w:shd w:val="clear" w:color="auto" w:fill="FDC77D"/>
          </w:tcPr>
          <w:p>
            <w:pPr>
              <w:pStyle w:val="TableParagraph"/>
              <w:spacing w:before="91"/>
              <w:ind w:left="97" w:right="103"/>
              <w:rPr>
                <w:sz w:val="15"/>
              </w:rPr>
            </w:pPr>
            <w:r>
              <w:rPr>
                <w:sz w:val="15"/>
              </w:rPr>
              <w:t>1.59</w:t>
            </w:r>
          </w:p>
        </w:tc>
        <w:tc>
          <w:tcPr>
            <w:tcW w:w="517" w:type="dxa"/>
            <w:shd w:val="clear" w:color="auto" w:fill="FDD07E"/>
          </w:tcPr>
          <w:p>
            <w:pPr>
              <w:pStyle w:val="TableParagraph"/>
              <w:spacing w:before="91"/>
              <w:ind w:left="118"/>
              <w:jc w:val="left"/>
              <w:rPr>
                <w:sz w:val="15"/>
              </w:rPr>
            </w:pPr>
            <w:r>
              <w:rPr>
                <w:sz w:val="15"/>
              </w:rPr>
              <w:t>1.40</w:t>
            </w:r>
          </w:p>
        </w:tc>
        <w:tc>
          <w:tcPr>
            <w:tcW w:w="512" w:type="dxa"/>
            <w:shd w:val="clear" w:color="auto" w:fill="FDCC7D"/>
          </w:tcPr>
          <w:p>
            <w:pPr>
              <w:pStyle w:val="TableParagraph"/>
              <w:spacing w:before="91"/>
              <w:ind w:left="113"/>
              <w:jc w:val="left"/>
              <w:rPr>
                <w:sz w:val="15"/>
              </w:rPr>
            </w:pPr>
            <w:r>
              <w:rPr>
                <w:sz w:val="15"/>
              </w:rPr>
              <w:t>1.50</w:t>
            </w:r>
          </w:p>
        </w:tc>
        <w:tc>
          <w:tcPr>
            <w:tcW w:w="512" w:type="dxa"/>
            <w:shd w:val="clear" w:color="auto" w:fill="DDE082"/>
          </w:tcPr>
          <w:p>
            <w:pPr>
              <w:pStyle w:val="TableParagraph"/>
              <w:spacing w:before="91"/>
              <w:ind w:left="90" w:right="118"/>
              <w:rPr>
                <w:sz w:val="15"/>
              </w:rPr>
            </w:pPr>
            <w:r>
              <w:rPr>
                <w:sz w:val="15"/>
              </w:rPr>
              <w:t>0.61</w:t>
            </w:r>
          </w:p>
        </w:tc>
        <w:tc>
          <w:tcPr>
            <w:tcW w:w="507" w:type="dxa"/>
            <w:shd w:val="clear" w:color="auto" w:fill="FFE283"/>
          </w:tcPr>
          <w:p>
            <w:pPr>
              <w:pStyle w:val="TableParagraph"/>
              <w:spacing w:before="91"/>
              <w:ind w:left="109"/>
              <w:jc w:val="left"/>
              <w:rPr>
                <w:sz w:val="15"/>
              </w:rPr>
            </w:pPr>
            <w:r>
              <w:rPr>
                <w:sz w:val="15"/>
              </w:rPr>
              <w:t>0.96</w:t>
            </w:r>
          </w:p>
        </w:tc>
        <w:tc>
          <w:tcPr>
            <w:tcW w:w="517" w:type="dxa"/>
            <w:shd w:val="clear" w:color="auto" w:fill="FFE684"/>
          </w:tcPr>
          <w:p>
            <w:pPr>
              <w:pStyle w:val="TableParagraph"/>
              <w:spacing w:before="91"/>
              <w:ind w:left="91" w:right="122"/>
              <w:rPr>
                <w:sz w:val="15"/>
              </w:rPr>
            </w:pPr>
            <w:r>
              <w:rPr>
                <w:sz w:val="15"/>
              </w:rPr>
              <w:t>0.89</w:t>
            </w:r>
          </w:p>
        </w:tc>
        <w:tc>
          <w:tcPr>
            <w:tcW w:w="510" w:type="dxa"/>
            <w:shd w:val="clear" w:color="auto" w:fill="CDDC81"/>
          </w:tcPr>
          <w:p>
            <w:pPr>
              <w:pStyle w:val="TableParagraph"/>
              <w:spacing w:before="91"/>
              <w:ind w:left="105"/>
              <w:jc w:val="left"/>
              <w:rPr>
                <w:sz w:val="15"/>
              </w:rPr>
            </w:pPr>
            <w:r>
              <w:rPr>
                <w:sz w:val="15"/>
              </w:rPr>
              <w:t>0.53</w:t>
            </w:r>
          </w:p>
        </w:tc>
        <w:tc>
          <w:tcPr>
            <w:tcW w:w="515" w:type="dxa"/>
            <w:shd w:val="clear" w:color="auto" w:fill="8BC87C"/>
          </w:tcPr>
          <w:p>
            <w:pPr>
              <w:pStyle w:val="TableParagraph"/>
              <w:spacing w:before="91"/>
              <w:ind w:left="103"/>
              <w:jc w:val="left"/>
              <w:rPr>
                <w:sz w:val="15"/>
              </w:rPr>
            </w:pPr>
            <w:r>
              <w:rPr>
                <w:sz w:val="15"/>
              </w:rPr>
              <w:t>0.21</w:t>
            </w:r>
          </w:p>
        </w:tc>
        <w:tc>
          <w:tcPr>
            <w:tcW w:w="511" w:type="dxa"/>
            <w:shd w:val="clear" w:color="auto" w:fill="FDD280"/>
          </w:tcPr>
          <w:p>
            <w:pPr>
              <w:pStyle w:val="TableParagraph"/>
              <w:spacing w:before="91"/>
              <w:ind w:left="78" w:right="124"/>
              <w:rPr>
                <w:sz w:val="15"/>
              </w:rPr>
            </w:pPr>
            <w:r>
              <w:rPr>
                <w:sz w:val="15"/>
              </w:rPr>
              <w:t>1.36</w:t>
            </w:r>
          </w:p>
        </w:tc>
        <w:tc>
          <w:tcPr>
            <w:tcW w:w="511" w:type="dxa"/>
            <w:shd w:val="clear" w:color="auto" w:fill="FCB479"/>
          </w:tcPr>
          <w:p>
            <w:pPr>
              <w:pStyle w:val="TableParagraph"/>
              <w:spacing w:before="91"/>
              <w:ind w:left="76" w:right="127"/>
              <w:rPr>
                <w:sz w:val="15"/>
              </w:rPr>
            </w:pPr>
            <w:r>
              <w:rPr>
                <w:sz w:val="15"/>
              </w:rPr>
              <w:t>2.04</w:t>
            </w:r>
          </w:p>
        </w:tc>
        <w:tc>
          <w:tcPr>
            <w:tcW w:w="515" w:type="dxa"/>
            <w:shd w:val="clear" w:color="auto" w:fill="FDCE7E"/>
          </w:tcPr>
          <w:p>
            <w:pPr>
              <w:pStyle w:val="TableParagraph"/>
              <w:spacing w:before="91"/>
              <w:ind w:left="52" w:right="106"/>
              <w:rPr>
                <w:sz w:val="15"/>
              </w:rPr>
            </w:pPr>
            <w:r>
              <w:rPr>
                <w:sz w:val="15"/>
              </w:rPr>
              <w:t>1.45</w:t>
            </w:r>
          </w:p>
        </w:tc>
        <w:tc>
          <w:tcPr>
            <w:tcW w:w="513" w:type="dxa"/>
            <w:shd w:val="clear" w:color="auto" w:fill="87C77C"/>
          </w:tcPr>
          <w:p>
            <w:pPr>
              <w:pStyle w:val="TableParagraph"/>
              <w:spacing w:before="91"/>
              <w:ind w:left="43" w:right="108"/>
              <w:rPr>
                <w:sz w:val="15"/>
              </w:rPr>
            </w:pPr>
            <w:r>
              <w:rPr>
                <w:sz w:val="15"/>
              </w:rPr>
              <w:t>0.19</w:t>
            </w:r>
          </w:p>
        </w:tc>
      </w:tr>
      <w:tr>
        <w:trPr>
          <w:trHeight w:val="405" w:hRule="atLeast"/>
        </w:trPr>
        <w:tc>
          <w:tcPr>
            <w:tcW w:w="544" w:type="dxa"/>
          </w:tcPr>
          <w:p>
            <w:pPr>
              <w:pStyle w:val="TableParagraph"/>
              <w:spacing w:before="85"/>
              <w:ind w:left="50"/>
              <w:jc w:val="left"/>
              <w:rPr>
                <w:sz w:val="16"/>
              </w:rPr>
            </w:pPr>
            <w:r>
              <w:rPr>
                <w:sz w:val="16"/>
              </w:rPr>
              <w:t>2020</w:t>
            </w:r>
          </w:p>
        </w:tc>
        <w:tc>
          <w:tcPr>
            <w:tcW w:w="510" w:type="dxa"/>
            <w:shd w:val="clear" w:color="auto" w:fill="F5E883"/>
          </w:tcPr>
          <w:p>
            <w:pPr>
              <w:pStyle w:val="TableParagraph"/>
              <w:ind w:left="99" w:right="97"/>
              <w:rPr>
                <w:sz w:val="15"/>
              </w:rPr>
            </w:pPr>
            <w:r>
              <w:rPr>
                <w:sz w:val="15"/>
              </w:rPr>
              <w:t>0.73</w:t>
            </w:r>
          </w:p>
        </w:tc>
        <w:tc>
          <w:tcPr>
            <w:tcW w:w="515" w:type="dxa"/>
            <w:shd w:val="clear" w:color="auto" w:fill="FCBA7A"/>
          </w:tcPr>
          <w:p>
            <w:pPr>
              <w:pStyle w:val="TableParagraph"/>
              <w:ind w:left="124"/>
              <w:jc w:val="left"/>
              <w:rPr>
                <w:sz w:val="15"/>
              </w:rPr>
            </w:pPr>
            <w:r>
              <w:rPr>
                <w:sz w:val="15"/>
              </w:rPr>
              <w:t>1.88</w:t>
            </w:r>
          </w:p>
        </w:tc>
        <w:tc>
          <w:tcPr>
            <w:tcW w:w="505" w:type="dxa"/>
            <w:shd w:val="clear" w:color="auto" w:fill="FFDB81"/>
          </w:tcPr>
          <w:p>
            <w:pPr>
              <w:pStyle w:val="TableParagraph"/>
              <w:ind w:left="101" w:right="101"/>
              <w:rPr>
                <w:sz w:val="15"/>
              </w:rPr>
            </w:pPr>
            <w:r>
              <w:rPr>
                <w:sz w:val="15"/>
              </w:rPr>
              <w:t>1.15</w:t>
            </w:r>
          </w:p>
        </w:tc>
        <w:tc>
          <w:tcPr>
            <w:tcW w:w="515" w:type="dxa"/>
            <w:shd w:val="clear" w:color="auto" w:fill="F98D71"/>
          </w:tcPr>
          <w:p>
            <w:pPr>
              <w:pStyle w:val="TableParagraph"/>
              <w:ind w:left="79" w:right="82"/>
              <w:rPr>
                <w:sz w:val="15"/>
              </w:rPr>
            </w:pPr>
            <w:r>
              <w:rPr>
                <w:sz w:val="15"/>
              </w:rPr>
              <w:t>2.94</w:t>
            </w:r>
          </w:p>
        </w:tc>
        <w:tc>
          <w:tcPr>
            <w:tcW w:w="508" w:type="dxa"/>
            <w:shd w:val="clear" w:color="auto" w:fill="78C47B"/>
          </w:tcPr>
          <w:p>
            <w:pPr>
              <w:pStyle w:val="TableParagraph"/>
              <w:ind w:left="122"/>
              <w:jc w:val="left"/>
              <w:rPr>
                <w:sz w:val="15"/>
              </w:rPr>
            </w:pPr>
            <w:r>
              <w:rPr>
                <w:sz w:val="15"/>
              </w:rPr>
              <w:t>0.11</w:t>
            </w:r>
          </w:p>
        </w:tc>
        <w:tc>
          <w:tcPr>
            <w:tcW w:w="513" w:type="dxa"/>
            <w:shd w:val="clear" w:color="auto" w:fill="FDC87D"/>
          </w:tcPr>
          <w:p>
            <w:pPr>
              <w:pStyle w:val="TableParagraph"/>
              <w:ind w:left="72" w:right="79"/>
              <w:rPr>
                <w:sz w:val="15"/>
              </w:rPr>
            </w:pPr>
            <w:r>
              <w:rPr>
                <w:sz w:val="15"/>
              </w:rPr>
              <w:t>1.57</w:t>
            </w:r>
          </w:p>
        </w:tc>
        <w:tc>
          <w:tcPr>
            <w:tcW w:w="511" w:type="dxa"/>
            <w:shd w:val="clear" w:color="auto" w:fill="FCB97A"/>
          </w:tcPr>
          <w:p>
            <w:pPr>
              <w:pStyle w:val="TableParagraph"/>
              <w:ind w:left="119"/>
              <w:jc w:val="left"/>
              <w:rPr>
                <w:sz w:val="15"/>
              </w:rPr>
            </w:pPr>
            <w:r>
              <w:rPr>
                <w:sz w:val="15"/>
              </w:rPr>
              <w:t>1.89</w:t>
            </w:r>
          </w:p>
        </w:tc>
        <w:tc>
          <w:tcPr>
            <w:tcW w:w="509" w:type="dxa"/>
            <w:shd w:val="clear" w:color="auto" w:fill="6BC07A"/>
          </w:tcPr>
          <w:p>
            <w:pPr>
              <w:pStyle w:val="TableParagraph"/>
              <w:ind w:left="95" w:right="106"/>
              <w:rPr>
                <w:sz w:val="15"/>
              </w:rPr>
            </w:pPr>
            <w:r>
              <w:rPr>
                <w:sz w:val="15"/>
              </w:rPr>
              <w:t>0.04</w:t>
            </w:r>
          </w:p>
        </w:tc>
        <w:tc>
          <w:tcPr>
            <w:tcW w:w="509" w:type="dxa"/>
            <w:shd w:val="clear" w:color="auto" w:fill="FAE983"/>
          </w:tcPr>
          <w:p>
            <w:pPr>
              <w:pStyle w:val="TableParagraph"/>
              <w:ind w:left="97" w:right="103"/>
              <w:rPr>
                <w:sz w:val="15"/>
              </w:rPr>
            </w:pPr>
            <w:r>
              <w:rPr>
                <w:sz w:val="15"/>
              </w:rPr>
              <w:t>0.75</w:t>
            </w:r>
          </w:p>
        </w:tc>
        <w:tc>
          <w:tcPr>
            <w:tcW w:w="517" w:type="dxa"/>
            <w:shd w:val="clear" w:color="auto" w:fill="92CA7C"/>
          </w:tcPr>
          <w:p>
            <w:pPr>
              <w:pStyle w:val="TableParagraph"/>
              <w:ind w:left="118"/>
              <w:jc w:val="left"/>
              <w:rPr>
                <w:sz w:val="15"/>
              </w:rPr>
            </w:pPr>
            <w:r>
              <w:rPr>
                <w:sz w:val="15"/>
              </w:rPr>
              <w:t>0.24</w:t>
            </w:r>
          </w:p>
        </w:tc>
        <w:tc>
          <w:tcPr>
            <w:tcW w:w="512" w:type="dxa"/>
            <w:shd w:val="clear" w:color="auto" w:fill="FFE683"/>
          </w:tcPr>
          <w:p>
            <w:pPr>
              <w:pStyle w:val="TableParagraph"/>
              <w:ind w:left="113"/>
              <w:jc w:val="left"/>
              <w:rPr>
                <w:sz w:val="15"/>
              </w:rPr>
            </w:pPr>
            <w:r>
              <w:rPr>
                <w:sz w:val="15"/>
              </w:rPr>
              <w:t>0.91</w:t>
            </w:r>
          </w:p>
        </w:tc>
        <w:tc>
          <w:tcPr>
            <w:tcW w:w="512" w:type="dxa"/>
            <w:shd w:val="clear" w:color="auto" w:fill="FFE183"/>
          </w:tcPr>
          <w:p>
            <w:pPr>
              <w:pStyle w:val="TableParagraph"/>
              <w:ind w:left="90" w:right="118"/>
              <w:rPr>
                <w:sz w:val="15"/>
              </w:rPr>
            </w:pPr>
            <w:r>
              <w:rPr>
                <w:sz w:val="15"/>
              </w:rPr>
              <w:t>0.98</w:t>
            </w:r>
          </w:p>
        </w:tc>
        <w:tc>
          <w:tcPr>
            <w:tcW w:w="507" w:type="dxa"/>
            <w:shd w:val="clear" w:color="auto" w:fill="F7E883"/>
          </w:tcPr>
          <w:p>
            <w:pPr>
              <w:pStyle w:val="TableParagraph"/>
              <w:ind w:left="109"/>
              <w:jc w:val="left"/>
              <w:rPr>
                <w:sz w:val="15"/>
              </w:rPr>
            </w:pPr>
            <w:r>
              <w:rPr>
                <w:sz w:val="15"/>
              </w:rPr>
              <w:t>0.73</w:t>
            </w:r>
          </w:p>
        </w:tc>
        <w:tc>
          <w:tcPr>
            <w:tcW w:w="517" w:type="dxa"/>
            <w:shd w:val="clear" w:color="auto" w:fill="68BE7A"/>
          </w:tcPr>
          <w:p>
            <w:pPr>
              <w:pStyle w:val="TableParagraph"/>
              <w:ind w:left="91" w:right="122"/>
              <w:rPr>
                <w:sz w:val="15"/>
              </w:rPr>
            </w:pPr>
            <w:r>
              <w:rPr>
                <w:sz w:val="15"/>
              </w:rPr>
              <w:t>0.03</w:t>
            </w:r>
          </w:p>
        </w:tc>
        <w:tc>
          <w:tcPr>
            <w:tcW w:w="510" w:type="dxa"/>
            <w:shd w:val="clear" w:color="auto" w:fill="FCC37C"/>
          </w:tcPr>
          <w:p>
            <w:pPr>
              <w:pStyle w:val="TableParagraph"/>
              <w:ind w:left="105"/>
              <w:jc w:val="left"/>
              <w:rPr>
                <w:sz w:val="15"/>
              </w:rPr>
            </w:pPr>
            <w:r>
              <w:rPr>
                <w:sz w:val="15"/>
              </w:rPr>
              <w:t>1.69</w:t>
            </w:r>
          </w:p>
        </w:tc>
        <w:tc>
          <w:tcPr>
            <w:tcW w:w="515" w:type="dxa"/>
            <w:shd w:val="clear" w:color="auto" w:fill="FDCA7D"/>
          </w:tcPr>
          <w:p>
            <w:pPr>
              <w:pStyle w:val="TableParagraph"/>
              <w:ind w:left="103"/>
              <w:jc w:val="left"/>
              <w:rPr>
                <w:sz w:val="15"/>
              </w:rPr>
            </w:pPr>
            <w:r>
              <w:rPr>
                <w:sz w:val="15"/>
              </w:rPr>
              <w:t>1.50</w:t>
            </w:r>
          </w:p>
        </w:tc>
        <w:tc>
          <w:tcPr>
            <w:tcW w:w="511" w:type="dxa"/>
            <w:shd w:val="clear" w:color="auto" w:fill="F8E983"/>
          </w:tcPr>
          <w:p>
            <w:pPr>
              <w:pStyle w:val="TableParagraph"/>
              <w:ind w:left="78" w:right="124"/>
              <w:rPr>
                <w:sz w:val="15"/>
              </w:rPr>
            </w:pPr>
            <w:r>
              <w:rPr>
                <w:sz w:val="15"/>
              </w:rPr>
              <w:t>0.74</w:t>
            </w:r>
          </w:p>
        </w:tc>
        <w:tc>
          <w:tcPr>
            <w:tcW w:w="511" w:type="dxa"/>
            <w:shd w:val="clear" w:color="auto" w:fill="FBA878"/>
          </w:tcPr>
          <w:p>
            <w:pPr>
              <w:pStyle w:val="TableParagraph"/>
              <w:ind w:left="76" w:right="127"/>
              <w:rPr>
                <w:sz w:val="15"/>
              </w:rPr>
            </w:pPr>
            <w:r>
              <w:rPr>
                <w:sz w:val="15"/>
              </w:rPr>
              <w:t>2.31</w:t>
            </w:r>
          </w:p>
        </w:tc>
        <w:tc>
          <w:tcPr>
            <w:tcW w:w="515" w:type="dxa"/>
            <w:shd w:val="clear" w:color="auto" w:fill="FCBD7B"/>
          </w:tcPr>
          <w:p>
            <w:pPr>
              <w:pStyle w:val="TableParagraph"/>
              <w:ind w:left="52" w:right="106"/>
              <w:rPr>
                <w:sz w:val="15"/>
              </w:rPr>
            </w:pPr>
            <w:r>
              <w:rPr>
                <w:sz w:val="15"/>
              </w:rPr>
              <w:t>1.80</w:t>
            </w:r>
          </w:p>
        </w:tc>
        <w:tc>
          <w:tcPr>
            <w:tcW w:w="513" w:type="dxa"/>
            <w:shd w:val="clear" w:color="auto" w:fill="FFE784"/>
          </w:tcPr>
          <w:p>
            <w:pPr>
              <w:pStyle w:val="TableParagraph"/>
              <w:ind w:left="43" w:right="108"/>
              <w:rPr>
                <w:sz w:val="15"/>
              </w:rPr>
            </w:pPr>
            <w:r>
              <w:rPr>
                <w:sz w:val="15"/>
              </w:rPr>
              <w:t>0.88</w:t>
            </w:r>
          </w:p>
        </w:tc>
      </w:tr>
    </w:tbl>
    <w:p>
      <w:pPr>
        <w:spacing w:after="0"/>
        <w:rPr>
          <w:sz w:val="15"/>
        </w:rPr>
        <w:sectPr>
          <w:type w:val="continuous"/>
          <w:pgSz w:w="11910" w:h="16840"/>
          <w:pgMar w:top="200" w:bottom="280" w:left="320" w:right="220"/>
        </w:sectPr>
      </w:pPr>
    </w:p>
    <w:p>
      <w:pPr>
        <w:pStyle w:val="BodyText"/>
        <w:spacing w:before="4"/>
        <w:rPr>
          <w:rFonts w:ascii="Microsoft JhengHei"/>
          <w:b/>
          <w:sz w:val="11"/>
        </w:rPr>
      </w:pPr>
    </w:p>
    <w:p>
      <w:pPr>
        <w:spacing w:before="95"/>
        <w:ind w:left="560" w:right="0" w:firstLine="0"/>
        <w:jc w:val="left"/>
        <w:rPr>
          <w:rFonts w:ascii="Times New Roman"/>
          <w:sz w:val="16"/>
        </w:rPr>
      </w:pPr>
      <w:r>
        <w:rPr/>
        <w:pict>
          <v:shape style="position:absolute;margin-left:68.75pt;margin-top:.548730pt;width:510.25pt;height:60.25pt;mso-position-horizontal-relative:page;mso-position-vertical-relative:paragraph;z-index:15750656" type="#_x0000_t202" filled="false" stroked="false">
            <v:textbox inset="0,0,0,0">
              <w:txbxContent>
                <w:tbl>
                  <w:tblPr>
                    <w:tblW w:w="0" w:type="auto"/>
                    <w:jc w:val="left"/>
                    <w:tblInd w:w="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15"/>
                    <w:gridCol w:w="510"/>
                    <w:gridCol w:w="510"/>
                    <w:gridCol w:w="510"/>
                    <w:gridCol w:w="510"/>
                    <w:gridCol w:w="510"/>
                    <w:gridCol w:w="510"/>
                    <w:gridCol w:w="510"/>
                    <w:gridCol w:w="510"/>
                    <w:gridCol w:w="510"/>
                    <w:gridCol w:w="510"/>
                    <w:gridCol w:w="510"/>
                    <w:gridCol w:w="510"/>
                    <w:gridCol w:w="510"/>
                    <w:gridCol w:w="510"/>
                    <w:gridCol w:w="510"/>
                    <w:gridCol w:w="510"/>
                    <w:gridCol w:w="510"/>
                    <w:gridCol w:w="510"/>
                    <w:gridCol w:w="510"/>
                  </w:tblGrid>
                  <w:tr>
                    <w:trPr>
                      <w:trHeight w:val="400" w:hRule="atLeast"/>
                    </w:trPr>
                    <w:tc>
                      <w:tcPr>
                        <w:tcW w:w="515" w:type="dxa"/>
                        <w:shd w:val="clear" w:color="auto" w:fill="FFE784"/>
                      </w:tcPr>
                      <w:p>
                        <w:pPr>
                          <w:pStyle w:val="TableParagraph"/>
                          <w:spacing w:before="91"/>
                          <w:ind w:left="79" w:right="80"/>
                          <w:rPr>
                            <w:sz w:val="15"/>
                          </w:rPr>
                        </w:pPr>
                        <w:r>
                          <w:rPr>
                            <w:sz w:val="15"/>
                          </w:rPr>
                          <w:t>0.79</w:t>
                        </w:r>
                      </w:p>
                    </w:tc>
                    <w:tc>
                      <w:tcPr>
                        <w:tcW w:w="510" w:type="dxa"/>
                        <w:shd w:val="clear" w:color="auto" w:fill="FDD480"/>
                      </w:tcPr>
                      <w:p>
                        <w:pPr>
                          <w:pStyle w:val="TableParagraph"/>
                          <w:spacing w:before="91"/>
                          <w:ind w:left="118"/>
                          <w:jc w:val="left"/>
                          <w:rPr>
                            <w:sz w:val="15"/>
                          </w:rPr>
                        </w:pPr>
                        <w:r>
                          <w:rPr>
                            <w:sz w:val="15"/>
                          </w:rPr>
                          <w:t>1.48</w:t>
                        </w:r>
                      </w:p>
                    </w:tc>
                    <w:tc>
                      <w:tcPr>
                        <w:tcW w:w="510" w:type="dxa"/>
                        <w:shd w:val="clear" w:color="auto" w:fill="FDD480"/>
                      </w:tcPr>
                      <w:p>
                        <w:pPr>
                          <w:pStyle w:val="TableParagraph"/>
                          <w:spacing w:before="91"/>
                          <w:ind w:right="126"/>
                          <w:jc w:val="right"/>
                          <w:rPr>
                            <w:sz w:val="15"/>
                          </w:rPr>
                        </w:pPr>
                        <w:r>
                          <w:rPr>
                            <w:sz w:val="15"/>
                          </w:rPr>
                          <w:t>1.28</w:t>
                        </w:r>
                      </w:p>
                    </w:tc>
                    <w:tc>
                      <w:tcPr>
                        <w:tcW w:w="510" w:type="dxa"/>
                        <w:shd w:val="clear" w:color="auto" w:fill="64BD7A"/>
                      </w:tcPr>
                      <w:p>
                        <w:pPr>
                          <w:pStyle w:val="TableParagraph"/>
                          <w:spacing w:before="91"/>
                          <w:ind w:left="94" w:right="102"/>
                          <w:rPr>
                            <w:sz w:val="15"/>
                          </w:rPr>
                        </w:pPr>
                        <w:r>
                          <w:rPr>
                            <w:sz w:val="15"/>
                          </w:rPr>
                          <w:t>0.01</w:t>
                        </w:r>
                      </w:p>
                    </w:tc>
                    <w:tc>
                      <w:tcPr>
                        <w:tcW w:w="510" w:type="dxa"/>
                        <w:shd w:val="clear" w:color="auto" w:fill="7AC47B"/>
                      </w:tcPr>
                      <w:p>
                        <w:pPr>
                          <w:pStyle w:val="TableParagraph"/>
                          <w:spacing w:before="91"/>
                          <w:ind w:left="96" w:right="102"/>
                          <w:rPr>
                            <w:sz w:val="15"/>
                          </w:rPr>
                        </w:pPr>
                        <w:r>
                          <w:rPr>
                            <w:sz w:val="15"/>
                          </w:rPr>
                          <w:t>0.18</w:t>
                        </w:r>
                      </w:p>
                    </w:tc>
                    <w:tc>
                      <w:tcPr>
                        <w:tcW w:w="510" w:type="dxa"/>
                        <w:shd w:val="clear" w:color="auto" w:fill="7AC47B"/>
                      </w:tcPr>
                      <w:p>
                        <w:pPr>
                          <w:pStyle w:val="TableParagraph"/>
                          <w:spacing w:before="91"/>
                          <w:ind w:left="94" w:right="102"/>
                          <w:rPr>
                            <w:sz w:val="15"/>
                          </w:rPr>
                        </w:pPr>
                        <w:r>
                          <w:rPr>
                            <w:sz w:val="15"/>
                          </w:rPr>
                          <w:t>0.12</w:t>
                        </w:r>
                      </w:p>
                    </w:tc>
                    <w:tc>
                      <w:tcPr>
                        <w:tcW w:w="510" w:type="dxa"/>
                        <w:shd w:val="clear" w:color="auto" w:fill="A8D27E"/>
                      </w:tcPr>
                      <w:p>
                        <w:pPr>
                          <w:pStyle w:val="TableParagraph"/>
                          <w:spacing w:before="91"/>
                          <w:ind w:left="120"/>
                          <w:jc w:val="left"/>
                          <w:rPr>
                            <w:sz w:val="15"/>
                          </w:rPr>
                        </w:pPr>
                        <w:r>
                          <w:rPr>
                            <w:sz w:val="15"/>
                          </w:rPr>
                          <w:t>0.31</w:t>
                        </w:r>
                      </w:p>
                    </w:tc>
                    <w:tc>
                      <w:tcPr>
                        <w:tcW w:w="510" w:type="dxa"/>
                        <w:shd w:val="clear" w:color="auto" w:fill="A8D27E"/>
                      </w:tcPr>
                      <w:p>
                        <w:pPr>
                          <w:pStyle w:val="TableParagraph"/>
                          <w:spacing w:before="91"/>
                          <w:ind w:left="94" w:right="102"/>
                          <w:rPr>
                            <w:sz w:val="15"/>
                          </w:rPr>
                        </w:pPr>
                        <w:r>
                          <w:rPr>
                            <w:sz w:val="15"/>
                          </w:rPr>
                          <w:t>0.34</w:t>
                        </w:r>
                      </w:p>
                    </w:tc>
                    <w:tc>
                      <w:tcPr>
                        <w:tcW w:w="510" w:type="dxa"/>
                        <w:shd w:val="clear" w:color="auto" w:fill="FDCC7D"/>
                      </w:tcPr>
                      <w:p>
                        <w:pPr>
                          <w:pStyle w:val="TableParagraph"/>
                          <w:spacing w:before="91"/>
                          <w:ind w:left="96" w:right="102"/>
                          <w:rPr>
                            <w:sz w:val="15"/>
                          </w:rPr>
                        </w:pPr>
                        <w:r>
                          <w:rPr>
                            <w:sz w:val="15"/>
                          </w:rPr>
                          <w:t>1.50</w:t>
                        </w:r>
                      </w:p>
                    </w:tc>
                    <w:tc>
                      <w:tcPr>
                        <w:tcW w:w="510" w:type="dxa"/>
                        <w:shd w:val="clear" w:color="auto" w:fill="B5D47E"/>
                      </w:tcPr>
                      <w:p>
                        <w:pPr>
                          <w:pStyle w:val="TableParagraph"/>
                          <w:spacing w:before="91"/>
                          <w:ind w:left="118"/>
                          <w:jc w:val="left"/>
                          <w:rPr>
                            <w:sz w:val="15"/>
                          </w:rPr>
                        </w:pPr>
                        <w:r>
                          <w:rPr>
                            <w:sz w:val="15"/>
                          </w:rPr>
                          <w:t>0.41</w:t>
                        </w:r>
                      </w:p>
                    </w:tc>
                    <w:tc>
                      <w:tcPr>
                        <w:tcW w:w="510" w:type="dxa"/>
                        <w:shd w:val="clear" w:color="auto" w:fill="FFDA81"/>
                      </w:tcPr>
                      <w:p>
                        <w:pPr>
                          <w:pStyle w:val="TableParagraph"/>
                          <w:spacing w:before="91"/>
                          <w:ind w:right="126"/>
                          <w:jc w:val="right"/>
                          <w:rPr>
                            <w:sz w:val="15"/>
                          </w:rPr>
                        </w:pPr>
                        <w:r>
                          <w:rPr>
                            <w:sz w:val="15"/>
                          </w:rPr>
                          <w:t>1.16</w:t>
                        </w:r>
                      </w:p>
                    </w:tc>
                    <w:tc>
                      <w:tcPr>
                        <w:tcW w:w="510" w:type="dxa"/>
                        <w:shd w:val="clear" w:color="auto" w:fill="F1E783"/>
                      </w:tcPr>
                      <w:p>
                        <w:pPr>
                          <w:pStyle w:val="TableParagraph"/>
                          <w:spacing w:before="91"/>
                          <w:ind w:left="94" w:right="102"/>
                          <w:rPr>
                            <w:sz w:val="15"/>
                          </w:rPr>
                        </w:pPr>
                        <w:r>
                          <w:rPr>
                            <w:sz w:val="15"/>
                          </w:rPr>
                          <w:t>0.71</w:t>
                        </w:r>
                      </w:p>
                    </w:tc>
                    <w:tc>
                      <w:tcPr>
                        <w:tcW w:w="510" w:type="dxa"/>
                        <w:shd w:val="clear" w:color="auto" w:fill="C6DA80"/>
                      </w:tcPr>
                      <w:p>
                        <w:pPr>
                          <w:pStyle w:val="TableParagraph"/>
                          <w:spacing w:before="91"/>
                          <w:ind w:left="96" w:right="102"/>
                          <w:rPr>
                            <w:sz w:val="15"/>
                          </w:rPr>
                        </w:pPr>
                        <w:r>
                          <w:rPr>
                            <w:sz w:val="15"/>
                          </w:rPr>
                          <w:t>0.56</w:t>
                        </w:r>
                      </w:p>
                    </w:tc>
                    <w:tc>
                      <w:tcPr>
                        <w:tcW w:w="510" w:type="dxa"/>
                        <w:shd w:val="clear" w:color="auto" w:fill="FDD781"/>
                      </w:tcPr>
                      <w:p>
                        <w:pPr>
                          <w:pStyle w:val="TableParagraph"/>
                          <w:spacing w:before="91"/>
                          <w:ind w:left="94" w:right="102"/>
                          <w:rPr>
                            <w:sz w:val="15"/>
                          </w:rPr>
                        </w:pPr>
                        <w:r>
                          <w:rPr>
                            <w:sz w:val="15"/>
                          </w:rPr>
                          <w:t>1.49</w:t>
                        </w:r>
                      </w:p>
                    </w:tc>
                    <w:tc>
                      <w:tcPr>
                        <w:tcW w:w="510" w:type="dxa"/>
                        <w:shd w:val="clear" w:color="auto" w:fill="7AC57B"/>
                      </w:tcPr>
                      <w:p>
                        <w:pPr>
                          <w:pStyle w:val="TableParagraph"/>
                          <w:spacing w:before="91"/>
                          <w:ind w:left="120"/>
                          <w:jc w:val="left"/>
                          <w:rPr>
                            <w:sz w:val="15"/>
                          </w:rPr>
                        </w:pPr>
                        <w:r>
                          <w:rPr>
                            <w:sz w:val="15"/>
                          </w:rPr>
                          <w:t>0.12</w:t>
                        </w:r>
                      </w:p>
                    </w:tc>
                    <w:tc>
                      <w:tcPr>
                        <w:tcW w:w="510" w:type="dxa"/>
                        <w:shd w:val="clear" w:color="auto" w:fill="FFE283"/>
                      </w:tcPr>
                      <w:p>
                        <w:pPr>
                          <w:pStyle w:val="TableParagraph"/>
                          <w:spacing w:before="91"/>
                          <w:ind w:left="94" w:right="102"/>
                          <w:rPr>
                            <w:sz w:val="15"/>
                          </w:rPr>
                        </w:pPr>
                        <w:r>
                          <w:rPr>
                            <w:sz w:val="15"/>
                          </w:rPr>
                          <w:t>0.96</w:t>
                        </w:r>
                      </w:p>
                    </w:tc>
                    <w:tc>
                      <w:tcPr>
                        <w:tcW w:w="510" w:type="dxa"/>
                        <w:shd w:val="clear" w:color="auto" w:fill="C7DB80"/>
                      </w:tcPr>
                      <w:p>
                        <w:pPr>
                          <w:pStyle w:val="TableParagraph"/>
                          <w:spacing w:before="91"/>
                          <w:ind w:left="96" w:right="102"/>
                          <w:rPr>
                            <w:sz w:val="15"/>
                          </w:rPr>
                        </w:pPr>
                        <w:r>
                          <w:rPr>
                            <w:sz w:val="15"/>
                          </w:rPr>
                          <w:t>0.50</w:t>
                        </w:r>
                      </w:p>
                    </w:tc>
                    <w:tc>
                      <w:tcPr>
                        <w:tcW w:w="510" w:type="dxa"/>
                        <w:shd w:val="clear" w:color="auto" w:fill="6EC17A"/>
                      </w:tcPr>
                      <w:p>
                        <w:pPr>
                          <w:pStyle w:val="TableParagraph"/>
                          <w:spacing w:before="91"/>
                          <w:ind w:left="118"/>
                          <w:jc w:val="left"/>
                          <w:rPr>
                            <w:sz w:val="15"/>
                          </w:rPr>
                        </w:pPr>
                        <w:r>
                          <w:rPr>
                            <w:sz w:val="15"/>
                          </w:rPr>
                          <w:t>0.07</w:t>
                        </w:r>
                      </w:p>
                    </w:tc>
                    <w:tc>
                      <w:tcPr>
                        <w:tcW w:w="510" w:type="dxa"/>
                        <w:shd w:val="clear" w:color="auto" w:fill="ACD27E"/>
                      </w:tcPr>
                      <w:p>
                        <w:pPr>
                          <w:pStyle w:val="TableParagraph"/>
                          <w:spacing w:before="91"/>
                          <w:ind w:right="126"/>
                          <w:jc w:val="right"/>
                          <w:rPr>
                            <w:sz w:val="15"/>
                          </w:rPr>
                        </w:pPr>
                        <w:r>
                          <w:rPr>
                            <w:sz w:val="15"/>
                          </w:rPr>
                          <w:t>0.37</w:t>
                        </w:r>
                      </w:p>
                    </w:tc>
                    <w:tc>
                      <w:tcPr>
                        <w:tcW w:w="510" w:type="dxa"/>
                        <w:shd w:val="clear" w:color="auto" w:fill="FFDD82"/>
                      </w:tcPr>
                      <w:p>
                        <w:pPr>
                          <w:pStyle w:val="TableParagraph"/>
                          <w:spacing w:before="91"/>
                          <w:ind w:left="94" w:right="102"/>
                          <w:rPr>
                            <w:sz w:val="15"/>
                          </w:rPr>
                        </w:pPr>
                        <w:r>
                          <w:rPr>
                            <w:sz w:val="15"/>
                          </w:rPr>
                          <w:t>1.10</w:t>
                        </w:r>
                      </w:p>
                    </w:tc>
                  </w:tr>
                  <w:tr>
                    <w:trPr>
                      <w:trHeight w:val="400" w:hRule="atLeast"/>
                    </w:trPr>
                    <w:tc>
                      <w:tcPr>
                        <w:tcW w:w="515" w:type="dxa"/>
                        <w:shd w:val="clear" w:color="auto" w:fill="FFE784"/>
                      </w:tcPr>
                      <w:p>
                        <w:pPr>
                          <w:pStyle w:val="TableParagraph"/>
                          <w:ind w:left="79" w:right="80"/>
                          <w:rPr>
                            <w:sz w:val="15"/>
                          </w:rPr>
                        </w:pPr>
                        <w:r>
                          <w:rPr>
                            <w:sz w:val="15"/>
                          </w:rPr>
                          <w:t>0.87</w:t>
                        </w:r>
                      </w:p>
                    </w:tc>
                    <w:tc>
                      <w:tcPr>
                        <w:tcW w:w="510" w:type="dxa"/>
                        <w:shd w:val="clear" w:color="auto" w:fill="FFE784"/>
                      </w:tcPr>
                      <w:p>
                        <w:pPr>
                          <w:pStyle w:val="TableParagraph"/>
                          <w:ind w:left="118"/>
                          <w:jc w:val="left"/>
                          <w:rPr>
                            <w:sz w:val="15"/>
                          </w:rPr>
                        </w:pPr>
                        <w:r>
                          <w:rPr>
                            <w:sz w:val="15"/>
                          </w:rPr>
                          <w:t>0.87</w:t>
                        </w:r>
                      </w:p>
                    </w:tc>
                    <w:tc>
                      <w:tcPr>
                        <w:tcW w:w="510" w:type="dxa"/>
                        <w:shd w:val="clear" w:color="auto" w:fill="78C47B"/>
                      </w:tcPr>
                      <w:p>
                        <w:pPr>
                          <w:pStyle w:val="TableParagraph"/>
                          <w:ind w:right="126"/>
                          <w:jc w:val="right"/>
                          <w:rPr>
                            <w:sz w:val="15"/>
                          </w:rPr>
                        </w:pPr>
                        <w:r>
                          <w:rPr>
                            <w:sz w:val="15"/>
                          </w:rPr>
                          <w:t>0.18</w:t>
                        </w:r>
                      </w:p>
                    </w:tc>
                    <w:tc>
                      <w:tcPr>
                        <w:tcW w:w="510" w:type="dxa"/>
                        <w:shd w:val="clear" w:color="auto" w:fill="B5D47E"/>
                      </w:tcPr>
                      <w:p>
                        <w:pPr>
                          <w:pStyle w:val="TableParagraph"/>
                          <w:ind w:left="94" w:right="102"/>
                          <w:rPr>
                            <w:sz w:val="15"/>
                          </w:rPr>
                        </w:pPr>
                        <w:r>
                          <w:rPr>
                            <w:sz w:val="15"/>
                          </w:rPr>
                          <w:t>0.41</w:t>
                        </w:r>
                      </w:p>
                    </w:tc>
                    <w:tc>
                      <w:tcPr>
                        <w:tcW w:w="510" w:type="dxa"/>
                        <w:shd w:val="clear" w:color="auto" w:fill="FFE183"/>
                      </w:tcPr>
                      <w:p>
                        <w:pPr>
                          <w:pStyle w:val="TableParagraph"/>
                          <w:ind w:left="96" w:right="102"/>
                          <w:rPr>
                            <w:sz w:val="15"/>
                          </w:rPr>
                        </w:pPr>
                        <w:r>
                          <w:rPr>
                            <w:sz w:val="15"/>
                          </w:rPr>
                          <w:t>1.00</w:t>
                        </w:r>
                      </w:p>
                    </w:tc>
                    <w:tc>
                      <w:tcPr>
                        <w:tcW w:w="510" w:type="dxa"/>
                        <w:shd w:val="clear" w:color="auto" w:fill="7BC57B"/>
                      </w:tcPr>
                      <w:p>
                        <w:pPr>
                          <w:pStyle w:val="TableParagraph"/>
                          <w:ind w:left="94" w:right="102"/>
                          <w:rPr>
                            <w:sz w:val="15"/>
                          </w:rPr>
                        </w:pPr>
                        <w:r>
                          <w:rPr>
                            <w:sz w:val="15"/>
                          </w:rPr>
                          <w:t>0.14</w:t>
                        </w:r>
                      </w:p>
                    </w:tc>
                    <w:tc>
                      <w:tcPr>
                        <w:tcW w:w="510" w:type="dxa"/>
                        <w:shd w:val="clear" w:color="auto" w:fill="7BC57B"/>
                      </w:tcPr>
                      <w:p>
                        <w:pPr>
                          <w:pStyle w:val="TableParagraph"/>
                          <w:ind w:left="120"/>
                          <w:jc w:val="left"/>
                          <w:rPr>
                            <w:sz w:val="15"/>
                          </w:rPr>
                        </w:pPr>
                        <w:r>
                          <w:rPr>
                            <w:sz w:val="15"/>
                          </w:rPr>
                          <w:t>0.13</w:t>
                        </w:r>
                      </w:p>
                    </w:tc>
                    <w:tc>
                      <w:tcPr>
                        <w:tcW w:w="510" w:type="dxa"/>
                        <w:shd w:val="clear" w:color="auto" w:fill="9FCF7D"/>
                      </w:tcPr>
                      <w:p>
                        <w:pPr>
                          <w:pStyle w:val="TableParagraph"/>
                          <w:ind w:left="94" w:right="102"/>
                          <w:rPr>
                            <w:sz w:val="15"/>
                          </w:rPr>
                        </w:pPr>
                        <w:r>
                          <w:rPr>
                            <w:sz w:val="15"/>
                          </w:rPr>
                          <w:t>0.33</w:t>
                        </w:r>
                      </w:p>
                    </w:tc>
                    <w:tc>
                      <w:tcPr>
                        <w:tcW w:w="510" w:type="dxa"/>
                        <w:shd w:val="clear" w:color="auto" w:fill="9FCF7D"/>
                      </w:tcPr>
                      <w:p>
                        <w:pPr>
                          <w:pStyle w:val="TableParagraph"/>
                          <w:ind w:left="96" w:right="102"/>
                          <w:rPr>
                            <w:sz w:val="15"/>
                          </w:rPr>
                        </w:pPr>
                        <w:r>
                          <w:rPr>
                            <w:sz w:val="15"/>
                          </w:rPr>
                          <w:t>0.30</w:t>
                        </w:r>
                      </w:p>
                    </w:tc>
                    <w:tc>
                      <w:tcPr>
                        <w:tcW w:w="510" w:type="dxa"/>
                        <w:shd w:val="clear" w:color="auto" w:fill="6BC07A"/>
                      </w:tcPr>
                      <w:p>
                        <w:pPr>
                          <w:pStyle w:val="TableParagraph"/>
                          <w:ind w:left="118"/>
                          <w:jc w:val="left"/>
                          <w:rPr>
                            <w:sz w:val="15"/>
                          </w:rPr>
                        </w:pPr>
                        <w:r>
                          <w:rPr>
                            <w:sz w:val="15"/>
                          </w:rPr>
                          <w:t>0.04</w:t>
                        </w:r>
                      </w:p>
                    </w:tc>
                    <w:tc>
                      <w:tcPr>
                        <w:tcW w:w="510" w:type="dxa"/>
                        <w:shd w:val="clear" w:color="auto" w:fill="C1D980"/>
                      </w:tcPr>
                      <w:p>
                        <w:pPr>
                          <w:pStyle w:val="TableParagraph"/>
                          <w:ind w:right="126"/>
                          <w:jc w:val="right"/>
                          <w:rPr>
                            <w:sz w:val="15"/>
                          </w:rPr>
                        </w:pPr>
                        <w:r>
                          <w:rPr>
                            <w:sz w:val="15"/>
                          </w:rPr>
                          <w:t>0.47</w:t>
                        </w:r>
                      </w:p>
                    </w:tc>
                    <w:tc>
                      <w:tcPr>
                        <w:tcW w:w="510" w:type="dxa"/>
                        <w:shd w:val="clear" w:color="auto" w:fill="FFDB81"/>
                      </w:tcPr>
                      <w:p>
                        <w:pPr>
                          <w:pStyle w:val="TableParagraph"/>
                          <w:ind w:left="94" w:right="102"/>
                          <w:rPr>
                            <w:sz w:val="15"/>
                          </w:rPr>
                        </w:pPr>
                        <w:r>
                          <w:rPr>
                            <w:sz w:val="15"/>
                          </w:rPr>
                          <w:t>1.15</w:t>
                        </w:r>
                      </w:p>
                    </w:tc>
                    <w:tc>
                      <w:tcPr>
                        <w:tcW w:w="510" w:type="dxa"/>
                        <w:shd w:val="clear" w:color="auto" w:fill="C6DA80"/>
                      </w:tcPr>
                      <w:p>
                        <w:pPr>
                          <w:pStyle w:val="TableParagraph"/>
                          <w:ind w:left="96" w:right="102"/>
                          <w:rPr>
                            <w:sz w:val="15"/>
                          </w:rPr>
                        </w:pPr>
                        <w:r>
                          <w:rPr>
                            <w:sz w:val="15"/>
                          </w:rPr>
                          <w:t>0.50</w:t>
                        </w:r>
                      </w:p>
                    </w:tc>
                    <w:tc>
                      <w:tcPr>
                        <w:tcW w:w="510" w:type="dxa"/>
                        <w:shd w:val="clear" w:color="auto" w:fill="FDD781"/>
                      </w:tcPr>
                      <w:p>
                        <w:pPr>
                          <w:pStyle w:val="TableParagraph"/>
                          <w:ind w:left="94" w:right="102"/>
                          <w:rPr>
                            <w:sz w:val="15"/>
                          </w:rPr>
                        </w:pPr>
                        <w:r>
                          <w:rPr>
                            <w:sz w:val="15"/>
                          </w:rPr>
                          <w:t>1.21</w:t>
                        </w:r>
                      </w:p>
                    </w:tc>
                    <w:tc>
                      <w:tcPr>
                        <w:tcW w:w="510" w:type="dxa"/>
                        <w:shd w:val="clear" w:color="auto" w:fill="FCB679"/>
                      </w:tcPr>
                      <w:p>
                        <w:pPr>
                          <w:pStyle w:val="TableParagraph"/>
                          <w:ind w:left="120"/>
                          <w:jc w:val="left"/>
                          <w:rPr>
                            <w:sz w:val="15"/>
                          </w:rPr>
                        </w:pPr>
                        <w:r>
                          <w:rPr>
                            <w:sz w:val="15"/>
                          </w:rPr>
                          <w:t>1.99</w:t>
                        </w:r>
                      </w:p>
                    </w:tc>
                    <w:tc>
                      <w:tcPr>
                        <w:tcW w:w="510" w:type="dxa"/>
                        <w:shd w:val="clear" w:color="auto" w:fill="E0E182"/>
                      </w:tcPr>
                      <w:p>
                        <w:pPr>
                          <w:pStyle w:val="TableParagraph"/>
                          <w:ind w:left="94" w:right="102"/>
                          <w:rPr>
                            <w:sz w:val="15"/>
                          </w:rPr>
                        </w:pPr>
                        <w:r>
                          <w:rPr>
                            <w:sz w:val="15"/>
                          </w:rPr>
                          <w:t>0.63</w:t>
                        </w:r>
                      </w:p>
                    </w:tc>
                    <w:tc>
                      <w:tcPr>
                        <w:tcW w:w="510" w:type="dxa"/>
                        <w:shd w:val="clear" w:color="auto" w:fill="FFE082"/>
                      </w:tcPr>
                      <w:p>
                        <w:pPr>
                          <w:pStyle w:val="TableParagraph"/>
                          <w:ind w:left="96" w:right="102"/>
                          <w:rPr>
                            <w:sz w:val="15"/>
                          </w:rPr>
                        </w:pPr>
                        <w:r>
                          <w:rPr>
                            <w:sz w:val="15"/>
                          </w:rPr>
                          <w:t>0.77</w:t>
                        </w:r>
                      </w:p>
                    </w:tc>
                    <w:tc>
                      <w:tcPr>
                        <w:tcW w:w="510" w:type="dxa"/>
                        <w:shd w:val="clear" w:color="auto" w:fill="FFE082"/>
                      </w:tcPr>
                      <w:p>
                        <w:pPr>
                          <w:pStyle w:val="TableParagraph"/>
                          <w:ind w:left="118"/>
                          <w:jc w:val="left"/>
                          <w:rPr>
                            <w:sz w:val="15"/>
                          </w:rPr>
                        </w:pPr>
                        <w:r>
                          <w:rPr>
                            <w:sz w:val="15"/>
                          </w:rPr>
                          <w:t>1.02</w:t>
                        </w:r>
                      </w:p>
                    </w:tc>
                    <w:tc>
                      <w:tcPr>
                        <w:tcW w:w="510" w:type="dxa"/>
                        <w:shd w:val="clear" w:color="auto" w:fill="95CC7C"/>
                      </w:tcPr>
                      <w:p>
                        <w:pPr>
                          <w:pStyle w:val="TableParagraph"/>
                          <w:ind w:right="126"/>
                          <w:jc w:val="right"/>
                          <w:rPr>
                            <w:sz w:val="15"/>
                          </w:rPr>
                        </w:pPr>
                        <w:r>
                          <w:rPr>
                            <w:sz w:val="15"/>
                          </w:rPr>
                          <w:t>0.26</w:t>
                        </w:r>
                      </w:p>
                    </w:tc>
                    <w:tc>
                      <w:tcPr>
                        <w:tcW w:w="510" w:type="dxa"/>
                        <w:shd w:val="clear" w:color="auto" w:fill="69BE7A"/>
                      </w:tcPr>
                      <w:p>
                        <w:pPr>
                          <w:pStyle w:val="TableParagraph"/>
                          <w:ind w:left="94" w:right="102"/>
                          <w:rPr>
                            <w:sz w:val="15"/>
                          </w:rPr>
                        </w:pPr>
                        <w:r>
                          <w:rPr>
                            <w:sz w:val="15"/>
                          </w:rPr>
                          <w:t>0.03</w:t>
                        </w:r>
                      </w:p>
                    </w:tc>
                  </w:tr>
                  <w:tr>
                    <w:trPr>
                      <w:trHeight w:val="405" w:hRule="atLeast"/>
                    </w:trPr>
                    <w:tc>
                      <w:tcPr>
                        <w:tcW w:w="515" w:type="dxa"/>
                        <w:shd w:val="clear" w:color="auto" w:fill="FDD280"/>
                      </w:tcPr>
                      <w:p>
                        <w:pPr>
                          <w:pStyle w:val="TableParagraph"/>
                          <w:spacing w:before="90"/>
                          <w:ind w:left="79" w:right="80"/>
                          <w:rPr>
                            <w:sz w:val="15"/>
                          </w:rPr>
                        </w:pPr>
                        <w:r>
                          <w:rPr>
                            <w:sz w:val="15"/>
                          </w:rPr>
                          <w:t>1.35</w:t>
                        </w:r>
                      </w:p>
                    </w:tc>
                    <w:tc>
                      <w:tcPr>
                        <w:tcW w:w="510" w:type="dxa"/>
                        <w:shd w:val="clear" w:color="auto" w:fill="C8DB80"/>
                      </w:tcPr>
                      <w:p>
                        <w:pPr>
                          <w:pStyle w:val="TableParagraph"/>
                          <w:spacing w:before="90"/>
                          <w:ind w:left="118"/>
                          <w:jc w:val="left"/>
                          <w:rPr>
                            <w:sz w:val="15"/>
                          </w:rPr>
                        </w:pPr>
                        <w:r>
                          <w:rPr>
                            <w:sz w:val="15"/>
                          </w:rPr>
                          <w:t>0.51</w:t>
                        </w:r>
                      </w:p>
                    </w:tc>
                    <w:tc>
                      <w:tcPr>
                        <w:tcW w:w="510" w:type="dxa"/>
                        <w:shd w:val="clear" w:color="auto" w:fill="78C47B"/>
                      </w:tcPr>
                      <w:p>
                        <w:pPr>
                          <w:pStyle w:val="TableParagraph"/>
                          <w:spacing w:before="90"/>
                          <w:ind w:right="126"/>
                          <w:jc w:val="right"/>
                          <w:rPr>
                            <w:sz w:val="15"/>
                          </w:rPr>
                        </w:pPr>
                        <w:r>
                          <w:rPr>
                            <w:sz w:val="15"/>
                          </w:rPr>
                          <w:t>0.11</w:t>
                        </w:r>
                      </w:p>
                    </w:tc>
                    <w:tc>
                      <w:tcPr>
                        <w:tcW w:w="510" w:type="dxa"/>
                        <w:shd w:val="clear" w:color="auto" w:fill="92CA7C"/>
                      </w:tcPr>
                      <w:p>
                        <w:pPr>
                          <w:pStyle w:val="TableParagraph"/>
                          <w:spacing w:before="90"/>
                          <w:ind w:left="94" w:right="102"/>
                          <w:rPr>
                            <w:sz w:val="15"/>
                          </w:rPr>
                        </w:pPr>
                        <w:r>
                          <w:rPr>
                            <w:sz w:val="15"/>
                          </w:rPr>
                          <w:t>0.24</w:t>
                        </w:r>
                      </w:p>
                    </w:tc>
                    <w:tc>
                      <w:tcPr>
                        <w:tcW w:w="510" w:type="dxa"/>
                        <w:shd w:val="clear" w:color="auto" w:fill="C8DB80"/>
                      </w:tcPr>
                      <w:p>
                        <w:pPr>
                          <w:pStyle w:val="TableParagraph"/>
                          <w:spacing w:before="90"/>
                          <w:ind w:left="96" w:right="102"/>
                          <w:rPr>
                            <w:sz w:val="15"/>
                          </w:rPr>
                        </w:pPr>
                        <w:r>
                          <w:rPr>
                            <w:sz w:val="15"/>
                          </w:rPr>
                          <w:t>0.51</w:t>
                        </w:r>
                      </w:p>
                    </w:tc>
                    <w:tc>
                      <w:tcPr>
                        <w:tcW w:w="510" w:type="dxa"/>
                        <w:shd w:val="clear" w:color="auto" w:fill="FDD681"/>
                      </w:tcPr>
                      <w:p>
                        <w:pPr>
                          <w:pStyle w:val="TableParagraph"/>
                          <w:spacing w:before="90"/>
                          <w:ind w:left="94" w:right="102"/>
                          <w:rPr>
                            <w:sz w:val="15"/>
                          </w:rPr>
                        </w:pPr>
                        <w:r>
                          <w:rPr>
                            <w:sz w:val="15"/>
                          </w:rPr>
                          <w:t>1.23</w:t>
                        </w:r>
                      </w:p>
                    </w:tc>
                    <w:tc>
                      <w:tcPr>
                        <w:tcW w:w="510" w:type="dxa"/>
                        <w:shd w:val="clear" w:color="auto" w:fill="FCB479"/>
                      </w:tcPr>
                      <w:p>
                        <w:pPr>
                          <w:pStyle w:val="TableParagraph"/>
                          <w:spacing w:before="90"/>
                          <w:ind w:left="120"/>
                          <w:jc w:val="left"/>
                          <w:rPr>
                            <w:sz w:val="15"/>
                          </w:rPr>
                        </w:pPr>
                        <w:r>
                          <w:rPr>
                            <w:sz w:val="15"/>
                          </w:rPr>
                          <w:t>2.04</w:t>
                        </w:r>
                      </w:p>
                    </w:tc>
                    <w:tc>
                      <w:tcPr>
                        <w:tcW w:w="510" w:type="dxa"/>
                        <w:shd w:val="clear" w:color="auto" w:fill="FFE784"/>
                      </w:tcPr>
                      <w:p>
                        <w:pPr>
                          <w:pStyle w:val="TableParagraph"/>
                          <w:spacing w:before="90"/>
                          <w:ind w:left="94" w:right="102"/>
                          <w:rPr>
                            <w:sz w:val="15"/>
                          </w:rPr>
                        </w:pPr>
                        <w:r>
                          <w:rPr>
                            <w:sz w:val="15"/>
                          </w:rPr>
                          <w:t>0.88</w:t>
                        </w:r>
                      </w:p>
                    </w:tc>
                    <w:tc>
                      <w:tcPr>
                        <w:tcW w:w="510" w:type="dxa"/>
                        <w:shd w:val="clear" w:color="auto" w:fill="AED37E"/>
                      </w:tcPr>
                      <w:p>
                        <w:pPr>
                          <w:pStyle w:val="TableParagraph"/>
                          <w:spacing w:before="90"/>
                          <w:ind w:left="96" w:right="102"/>
                          <w:rPr>
                            <w:sz w:val="15"/>
                          </w:rPr>
                        </w:pPr>
                        <w:r>
                          <w:rPr>
                            <w:sz w:val="15"/>
                          </w:rPr>
                          <w:t>0.38</w:t>
                        </w:r>
                      </w:p>
                    </w:tc>
                    <w:tc>
                      <w:tcPr>
                        <w:tcW w:w="510" w:type="dxa"/>
                        <w:shd w:val="clear" w:color="auto" w:fill="F8696B"/>
                      </w:tcPr>
                      <w:p>
                        <w:pPr>
                          <w:pStyle w:val="TableParagraph"/>
                          <w:spacing w:before="90"/>
                          <w:ind w:left="118"/>
                          <w:jc w:val="left"/>
                          <w:rPr>
                            <w:sz w:val="15"/>
                          </w:rPr>
                        </w:pPr>
                        <w:r>
                          <w:rPr>
                            <w:sz w:val="15"/>
                          </w:rPr>
                          <w:t>3.74</w:t>
                        </w:r>
                      </w:p>
                    </w:tc>
                    <w:tc>
                      <w:tcPr>
                        <w:tcW w:w="510" w:type="dxa"/>
                        <w:shd w:val="clear" w:color="auto" w:fill="75C37B"/>
                      </w:tcPr>
                      <w:p>
                        <w:pPr>
                          <w:pStyle w:val="TableParagraph"/>
                          <w:spacing w:before="90"/>
                          <w:ind w:right="126"/>
                          <w:jc w:val="right"/>
                          <w:rPr>
                            <w:sz w:val="15"/>
                          </w:rPr>
                        </w:pPr>
                        <w:r>
                          <w:rPr>
                            <w:sz w:val="15"/>
                          </w:rPr>
                          <w:t>0.09</w:t>
                        </w:r>
                      </w:p>
                    </w:tc>
                    <w:tc>
                      <w:tcPr>
                        <w:tcW w:w="510" w:type="dxa"/>
                        <w:shd w:val="clear" w:color="auto" w:fill="FAA076"/>
                      </w:tcPr>
                      <w:p>
                        <w:pPr>
                          <w:pStyle w:val="TableParagraph"/>
                          <w:spacing w:before="90"/>
                          <w:ind w:left="94" w:right="102"/>
                          <w:rPr>
                            <w:sz w:val="15"/>
                          </w:rPr>
                        </w:pPr>
                        <w:r>
                          <w:rPr>
                            <w:sz w:val="15"/>
                          </w:rPr>
                          <w:t>2.29</w:t>
                        </w:r>
                      </w:p>
                    </w:tc>
                    <w:tc>
                      <w:tcPr>
                        <w:tcW w:w="510" w:type="dxa"/>
                        <w:shd w:val="clear" w:color="auto" w:fill="FAA076"/>
                      </w:tcPr>
                      <w:p>
                        <w:pPr>
                          <w:pStyle w:val="TableParagraph"/>
                          <w:spacing w:before="90"/>
                          <w:ind w:left="96" w:right="102"/>
                          <w:rPr>
                            <w:sz w:val="15"/>
                          </w:rPr>
                        </w:pPr>
                        <w:r>
                          <w:rPr>
                            <w:sz w:val="15"/>
                          </w:rPr>
                          <w:t>2.47</w:t>
                        </w:r>
                      </w:p>
                    </w:tc>
                    <w:tc>
                      <w:tcPr>
                        <w:tcW w:w="510" w:type="dxa"/>
                        <w:shd w:val="clear" w:color="auto" w:fill="FDD781"/>
                      </w:tcPr>
                      <w:p>
                        <w:pPr>
                          <w:pStyle w:val="TableParagraph"/>
                          <w:spacing w:before="90"/>
                          <w:ind w:left="94" w:right="102"/>
                          <w:rPr>
                            <w:sz w:val="15"/>
                          </w:rPr>
                        </w:pPr>
                        <w:r>
                          <w:rPr>
                            <w:sz w:val="15"/>
                          </w:rPr>
                          <w:t>1.36</w:t>
                        </w:r>
                      </w:p>
                    </w:tc>
                    <w:tc>
                      <w:tcPr>
                        <w:tcW w:w="510" w:type="dxa"/>
                        <w:shd w:val="clear" w:color="auto" w:fill="FDCF7E"/>
                      </w:tcPr>
                      <w:p>
                        <w:pPr>
                          <w:pStyle w:val="TableParagraph"/>
                          <w:spacing w:before="90"/>
                          <w:ind w:left="120"/>
                          <w:jc w:val="left"/>
                          <w:rPr>
                            <w:sz w:val="15"/>
                          </w:rPr>
                        </w:pPr>
                        <w:r>
                          <w:rPr>
                            <w:sz w:val="15"/>
                          </w:rPr>
                          <w:t>1.05</w:t>
                        </w:r>
                      </w:p>
                    </w:tc>
                    <w:tc>
                      <w:tcPr>
                        <w:tcW w:w="510" w:type="dxa"/>
                        <w:shd w:val="clear" w:color="auto" w:fill="FDCF7E"/>
                      </w:tcPr>
                      <w:p>
                        <w:pPr>
                          <w:pStyle w:val="TableParagraph"/>
                          <w:spacing w:before="90"/>
                          <w:ind w:left="94" w:right="102"/>
                          <w:rPr>
                            <w:sz w:val="15"/>
                          </w:rPr>
                        </w:pPr>
                        <w:r>
                          <w:rPr>
                            <w:sz w:val="15"/>
                          </w:rPr>
                          <w:t>1.15</w:t>
                        </w:r>
                      </w:p>
                    </w:tc>
                    <w:tc>
                      <w:tcPr>
                        <w:tcW w:w="510" w:type="dxa"/>
                        <w:shd w:val="clear" w:color="auto" w:fill="FDCF7E"/>
                      </w:tcPr>
                      <w:p>
                        <w:pPr>
                          <w:pStyle w:val="TableParagraph"/>
                          <w:spacing w:before="90"/>
                          <w:ind w:left="96" w:right="102"/>
                          <w:rPr>
                            <w:sz w:val="15"/>
                          </w:rPr>
                        </w:pPr>
                        <w:r>
                          <w:rPr>
                            <w:sz w:val="15"/>
                          </w:rPr>
                          <w:t>1.43</w:t>
                        </w:r>
                      </w:p>
                    </w:tc>
                    <w:tc>
                      <w:tcPr>
                        <w:tcW w:w="510" w:type="dxa"/>
                        <w:shd w:val="clear" w:color="auto" w:fill="FDCF7E"/>
                      </w:tcPr>
                      <w:p>
                        <w:pPr>
                          <w:pStyle w:val="TableParagraph"/>
                          <w:spacing w:before="90"/>
                          <w:ind w:left="118"/>
                          <w:jc w:val="left"/>
                          <w:rPr>
                            <w:sz w:val="15"/>
                          </w:rPr>
                        </w:pPr>
                        <w:r>
                          <w:rPr>
                            <w:sz w:val="15"/>
                          </w:rPr>
                          <w:t>1.02</w:t>
                        </w:r>
                      </w:p>
                    </w:tc>
                    <w:tc>
                      <w:tcPr>
                        <w:tcW w:w="510" w:type="dxa"/>
                        <w:shd w:val="clear" w:color="auto" w:fill="FDCF7E"/>
                      </w:tcPr>
                      <w:p>
                        <w:pPr>
                          <w:pStyle w:val="TableParagraph"/>
                          <w:spacing w:before="90"/>
                          <w:ind w:right="126"/>
                          <w:jc w:val="right"/>
                          <w:rPr>
                            <w:sz w:val="15"/>
                          </w:rPr>
                        </w:pPr>
                        <w:r>
                          <w:rPr>
                            <w:sz w:val="15"/>
                          </w:rPr>
                          <w:t>1.24</w:t>
                        </w:r>
                      </w:p>
                    </w:tc>
                    <w:tc>
                      <w:tcPr>
                        <w:tcW w:w="510" w:type="dxa"/>
                        <w:shd w:val="clear" w:color="auto" w:fill="FCB779"/>
                      </w:tcPr>
                      <w:p>
                        <w:pPr>
                          <w:pStyle w:val="TableParagraph"/>
                          <w:spacing w:before="90"/>
                          <w:ind w:left="94" w:right="102"/>
                          <w:rPr>
                            <w:sz w:val="15"/>
                          </w:rPr>
                        </w:pPr>
                        <w:r>
                          <w:rPr>
                            <w:sz w:val="15"/>
                          </w:rPr>
                          <w:t>1.96</w:t>
                        </w:r>
                      </w:p>
                    </w:tc>
                  </w:tr>
                </w:tbl>
                <w:p>
                  <w:pPr>
                    <w:pStyle w:val="BodyText"/>
                  </w:pPr>
                </w:p>
              </w:txbxContent>
            </v:textbox>
            <w10:wrap type="none"/>
          </v:shape>
        </w:pict>
      </w:r>
      <w:r>
        <w:rPr>
          <w:rFonts w:ascii="Times New Roman"/>
          <w:sz w:val="16"/>
        </w:rPr>
        <w:t>2021</w:t>
      </w:r>
    </w:p>
    <w:p>
      <w:pPr>
        <w:pStyle w:val="BodyText"/>
        <w:spacing w:before="9"/>
        <w:rPr>
          <w:rFonts w:ascii="Times New Roman"/>
          <w:sz w:val="18"/>
        </w:rPr>
      </w:pPr>
    </w:p>
    <w:p>
      <w:pPr>
        <w:spacing w:before="0"/>
        <w:ind w:left="560" w:right="0" w:firstLine="0"/>
        <w:jc w:val="left"/>
        <w:rPr>
          <w:rFonts w:ascii="Times New Roman"/>
          <w:sz w:val="16"/>
        </w:rPr>
      </w:pPr>
      <w:r>
        <w:rPr>
          <w:rFonts w:ascii="Times New Roman"/>
          <w:sz w:val="16"/>
        </w:rPr>
        <w:t>2022</w:t>
      </w:r>
    </w:p>
    <w:p>
      <w:pPr>
        <w:pStyle w:val="BodyText"/>
        <w:spacing w:before="10"/>
        <w:rPr>
          <w:rFonts w:ascii="Times New Roman"/>
          <w:sz w:val="18"/>
        </w:rPr>
      </w:pPr>
    </w:p>
    <w:p>
      <w:pPr>
        <w:spacing w:before="0"/>
        <w:ind w:left="560" w:right="0" w:firstLine="0"/>
        <w:jc w:val="left"/>
        <w:rPr>
          <w:rFonts w:ascii="Times New Roman"/>
          <w:sz w:val="16"/>
        </w:rPr>
      </w:pPr>
      <w:r>
        <w:rPr>
          <w:rFonts w:ascii="Times New Roman"/>
          <w:sz w:val="16"/>
        </w:rPr>
        <w:t>2023</w:t>
      </w:r>
    </w:p>
    <w:p>
      <w:pPr>
        <w:pStyle w:val="BodyText"/>
        <w:spacing w:before="3"/>
        <w:rPr>
          <w:rFonts w:ascii="Times New Roman"/>
          <w:sz w:val="15"/>
        </w:rPr>
      </w:pPr>
    </w:p>
    <w:p>
      <w:pPr>
        <w:spacing w:before="0"/>
        <w:ind w:left="400" w:right="0" w:firstLine="0"/>
        <w:jc w:val="left"/>
        <w:rPr>
          <w:sz w:val="16"/>
        </w:rPr>
      </w:pPr>
      <w:r>
        <w:rPr>
          <w:sz w:val="16"/>
        </w:rPr>
        <w:t>资料来源：天软，华泰期货研究院</w:t>
      </w:r>
    </w:p>
    <w:p>
      <w:pPr>
        <w:pStyle w:val="BodyText"/>
        <w:spacing w:before="7"/>
        <w:rPr>
          <w:sz w:val="15"/>
        </w:rPr>
      </w:pPr>
    </w:p>
    <w:p>
      <w:pPr>
        <w:pStyle w:val="BodyText"/>
        <w:spacing w:line="333" w:lineRule="auto" w:before="59"/>
        <w:ind w:left="2951" w:right="497"/>
        <w:jc w:val="both"/>
      </w:pPr>
      <w:r>
        <w:rPr>
          <w:spacing w:val="-2"/>
        </w:rPr>
        <w:t>与交易拥挤相同，在 </w:t>
      </w:r>
      <w:r>
        <w:rPr/>
        <w:t>2023</w:t>
      </w:r>
      <w:r>
        <w:rPr>
          <w:spacing w:val="-4"/>
        </w:rPr>
        <w:t> 年我们也能够关注到有效波动的回升，如果市场持续保</w:t>
      </w:r>
      <w:r>
        <w:rPr>
          <w:spacing w:val="7"/>
        </w:rPr>
        <w:t>持该状态，那么</w:t>
      </w:r>
      <w:r>
        <w:rPr/>
        <w:t>CTA</w:t>
      </w:r>
      <w:r>
        <w:rPr>
          <w:spacing w:val="-8"/>
        </w:rPr>
        <w:t> 基金的表现也值得继续关注。</w:t>
      </w:r>
    </w:p>
    <w:p>
      <w:pPr>
        <w:pStyle w:val="BodyText"/>
      </w:pPr>
    </w:p>
    <w:p>
      <w:pPr>
        <w:pStyle w:val="BodyText"/>
        <w:spacing w:before="4"/>
        <w:rPr>
          <w:sz w:val="27"/>
        </w:rPr>
      </w:pPr>
    </w:p>
    <w:p>
      <w:pPr>
        <w:pStyle w:val="Heading2"/>
        <w:numPr>
          <w:ilvl w:val="2"/>
          <w:numId w:val="1"/>
        </w:numPr>
        <w:tabs>
          <w:tab w:pos="3340" w:val="left" w:leader="none"/>
        </w:tabs>
        <w:spacing w:line="240" w:lineRule="auto" w:before="0" w:after="0"/>
        <w:ind w:left="3340" w:right="0" w:hanging="389"/>
        <w:jc w:val="left"/>
      </w:pPr>
      <w:bookmarkStart w:name="■策略适用性" w:id="37"/>
      <w:bookmarkEnd w:id="37"/>
      <w:r>
        <w:rPr>
          <w:b w:val="0"/>
        </w:rPr>
      </w:r>
      <w:bookmarkStart w:name="_bookmark22" w:id="38"/>
      <w:bookmarkEnd w:id="38"/>
      <w:r>
        <w:rPr>
          <w:b w:val="0"/>
        </w:rPr>
      </w:r>
      <w:bookmarkStart w:name="_bookmark22" w:id="39"/>
      <w:bookmarkEnd w:id="39"/>
      <w:r>
        <w:rPr>
          <w:color w:val="C00000"/>
          <w:spacing w:val="-1"/>
        </w:rPr>
        <w:t>策略适用性</w:t>
      </w:r>
    </w:p>
    <w:p>
      <w:pPr>
        <w:pStyle w:val="BodyText"/>
        <w:spacing w:line="331" w:lineRule="auto" w:before="208"/>
        <w:ind w:left="2951" w:right="497"/>
        <w:jc w:val="both"/>
      </w:pPr>
      <w:r>
        <w:rPr>
          <w:w w:val="115"/>
        </w:rPr>
        <w:t>AQR</w:t>
      </w:r>
      <w:r>
        <w:rPr>
          <w:spacing w:val="70"/>
          <w:w w:val="115"/>
        </w:rPr>
        <w:t> </w:t>
      </w:r>
      <w:r>
        <w:rPr/>
        <w:t>将趋势跟踪策略的平均表现定义为所有资产趋势跟踪策略夏普比率的加权平</w:t>
      </w:r>
      <w:r>
        <w:rPr>
          <w:spacing w:val="1"/>
          <w:w w:val="95"/>
        </w:rPr>
        <w:t>均值，并将其与全部资产的平均有效波动做了线性回归，回归所得到的 </w:t>
      </w:r>
      <w:r>
        <w:rPr>
          <w:rFonts w:ascii="Cambria Math" w:eastAsia="Cambria Math"/>
          <w:w w:val="95"/>
        </w:rPr>
        <w:t/>
      </w:r>
      <w:r>
        <w:rPr>
          <w:rFonts w:ascii="Cambria Math" w:eastAsia="Cambria Math"/>
          <w:spacing w:val="3"/>
          <w:w w:val="95"/>
        </w:rPr>
        <w:t> </w:t>
      </w:r>
      <w:r>
        <w:rPr>
          <w:spacing w:val="20"/>
          <w:w w:val="95"/>
        </w:rPr>
        <w:t>和 </w:t>
      </w:r>
      <w:r>
        <w:rPr>
          <w:rFonts w:ascii="Cambria Math" w:eastAsia="Cambria Math"/>
          <w:w w:val="95"/>
        </w:rPr>
        <w:t/>
      </w:r>
      <w:r>
        <w:rPr>
          <w:rFonts w:ascii="Cambria Math" w:eastAsia="Cambria Math"/>
          <w:spacing w:val="48"/>
        </w:rPr>
        <w:t> </w:t>
      </w:r>
      <w:r>
        <w:rPr>
          <w:w w:val="95"/>
        </w:rPr>
        <w:t>用</w:t>
      </w:r>
      <w:r>
        <w:rPr/>
        <w:t>来衡量趋势跟踪策略从给定的市场有效波动中获利的能力：</w:t>
      </w:r>
    </w:p>
    <w:p>
      <w:pPr>
        <w:pStyle w:val="BodyText"/>
        <w:tabs>
          <w:tab w:pos="10621" w:val="left" w:leader="none"/>
        </w:tabs>
        <w:spacing w:before="160"/>
        <w:ind w:left="5946"/>
      </w:pPr>
      <w:r>
        <w:rPr/>
        <w:pict>
          <v:shape style="position:absolute;margin-left:310.049988pt;margin-top:10.712pt;width:2.75pt;height:10pt;mso-position-horizontal-relative:page;mso-position-vertical-relative:paragraph;z-index:15745536" coordorigin="6201,214" coordsize="55,200" path="m6245,414l6201,318,6201,310,6245,214,6256,218,6221,314,6256,410,6245,414xe" filled="true" fillcolor="#000000" stroked="false">
            <v:path arrowok="t"/>
            <v:fill type="solid"/>
            <w10:wrap type="none"/>
          </v:shape>
        </w:pict>
      </w:r>
      <w:r>
        <w:rPr/>
        <w:pict>
          <v:shape style="position:absolute;margin-left:348.807007pt;margin-top:10.712pt;width:2.75pt;height:10pt;mso-position-horizontal-relative:page;mso-position-vertical-relative:paragraph;z-index:-16393728" coordorigin="6976,214" coordsize="55,200" path="m6987,414l6976,410,7011,314,6976,218,6987,214,7031,310,7031,318,6987,414xe" filled="true" fillcolor="#000000" stroked="false">
            <v:path arrowok="t"/>
            <v:fill type="solid"/>
            <w10:wrap type="none"/>
          </v:shape>
        </w:pict>
      </w:r>
      <w:r>
        <w:rPr/>
        <w:pict>
          <v:shape style="position:absolute;margin-left:393.600006pt;margin-top:10.685976pt;width:5.45pt;height:10.050pt;mso-position-horizontal-relative:page;mso-position-vertical-relative:paragraph;z-index:-16393216" coordorigin="7872,214" coordsize="109,201" path="m7927,218l7916,214,7872,310,7872,318,7916,414,7927,410,7892,314,7927,218xm7981,214l7965,214,7965,414,7981,414,7981,214xe" filled="true" fillcolor="#000000" stroked="false">
            <v:path arrowok="t"/>
            <v:fill type="solid"/>
            <w10:wrap type="none"/>
          </v:shape>
        </w:pict>
      </w:r>
      <w:r>
        <w:rPr/>
        <w:pict>
          <v:shape style="position:absolute;margin-left:414.52002pt;margin-top:10.685976pt;width:5.45pt;height:10.050pt;mso-position-horizontal-relative:page;mso-position-vertical-relative:paragraph;z-index:-16392704" coordorigin="8290,214" coordsize="109,201" path="m8306,214l8290,214,8290,414,8306,414,8306,214xm8399,310l8355,214,8344,218,8379,314,8344,410,8355,414,8399,318,8399,310xe" filled="true" fillcolor="#000000" stroked="false">
            <v:path arrowok="t"/>
            <v:fill type="solid"/>
            <w10:wrap type="none"/>
          </v:shape>
        </w:pict>
      </w:r>
      <w:r>
        <w:rPr>
          <w:rFonts w:ascii="Cambria Math" w:eastAsia="Cambria Math"/>
          <w:w w:val="53"/>
        </w:rPr>
        <w:t/>
      </w:r>
      <w:r>
        <w:rPr>
          <w:rFonts w:ascii="Cambria Math" w:eastAsia="Cambria Math"/>
          <w:spacing w:val="-2"/>
          <w:w w:val="100"/>
        </w:rPr>
        <w:t>𝑅</w:t>
      </w:r>
      <w:r>
        <w:rPr>
          <w:rFonts w:ascii="Cambria Math" w:eastAsia="Cambria Math"/>
          <w:w w:val="68"/>
          <w:vertAlign w:val="subscript"/>
        </w:rPr>
        <w:t/>
      </w:r>
      <w:r>
        <w:rPr>
          <w:rFonts w:ascii="Cambria Math" w:eastAsia="Cambria Math"/>
          <w:spacing w:val="-3"/>
          <w:w w:val="55"/>
          <w:vertAlign w:val="subscript"/>
        </w:rPr>
        <w:t/>
      </w:r>
      <w:r>
        <w:rPr>
          <w:rFonts w:ascii="Cambria Math" w:eastAsia="Cambria Math"/>
          <w:spacing w:val="-1"/>
          <w:w w:val="57"/>
          <w:vertAlign w:val="subscript"/>
        </w:rPr>
        <w:t/>
      </w:r>
      <w:r>
        <w:rPr>
          <w:rFonts w:ascii="Cambria Math" w:eastAsia="Cambria Math"/>
          <w:spacing w:val="1"/>
          <w:w w:val="115"/>
          <w:vertAlign w:val="subscript"/>
        </w:rPr>
        <w:t>𝑛</w:t>
      </w:r>
      <w:r>
        <w:rPr>
          <w:rFonts w:ascii="Cambria Math" w:eastAsia="Cambria Math"/>
          <w:w w:val="67"/>
          <w:vertAlign w:val="subscript"/>
        </w:rPr>
        <w:t/>
      </w:r>
      <w:r>
        <w:rPr>
          <w:rFonts w:ascii="Cambria Math" w:eastAsia="Cambria Math"/>
          <w:vertAlign w:val="baseline"/>
        </w:rPr>
        <w:t>  </w:t>
      </w:r>
      <w:r>
        <w:rPr>
          <w:rFonts w:ascii="Cambria Math" w:eastAsia="Cambria Math"/>
          <w:spacing w:val="-1"/>
          <w:vertAlign w:val="baseline"/>
        </w:rPr>
        <w:t> </w:t>
      </w:r>
      <w:r>
        <w:rPr>
          <w:rFonts w:ascii="Cambria Math" w:eastAsia="Cambria Math"/>
          <w:w w:val="100"/>
          <w:vertAlign w:val="baseline"/>
        </w:rPr>
        <w:t>=</w:t>
      </w:r>
      <w:r>
        <w:rPr>
          <w:rFonts w:ascii="Cambria Math" w:eastAsia="Cambria Math"/>
          <w:spacing w:val="12"/>
          <w:vertAlign w:val="baseline"/>
        </w:rPr>
        <w:t> </w:t>
      </w:r>
      <w:r>
        <w:rPr>
          <w:rFonts w:ascii="Cambria Math" w:eastAsia="Cambria Math"/>
          <w:w w:val="60"/>
          <w:vertAlign w:val="baseline"/>
        </w:rPr>
        <w:t/>
      </w:r>
      <w:r>
        <w:rPr>
          <w:rFonts w:ascii="Cambria Math" w:eastAsia="Cambria Math"/>
          <w:spacing w:val="1"/>
          <w:vertAlign w:val="baseline"/>
        </w:rPr>
        <w:t> </w:t>
      </w:r>
      <w:r>
        <w:rPr>
          <w:rFonts w:ascii="Cambria Math" w:eastAsia="Cambria Math"/>
          <w:w w:val="100"/>
          <w:vertAlign w:val="baseline"/>
        </w:rPr>
        <w:t>+</w:t>
      </w:r>
      <w:r>
        <w:rPr>
          <w:rFonts w:ascii="Cambria Math" w:eastAsia="Cambria Math"/>
          <w:vertAlign w:val="baseline"/>
        </w:rPr>
        <w:t> </w:t>
      </w:r>
      <w:r>
        <w:rPr>
          <w:rFonts w:ascii="Cambria Math" w:eastAsia="Cambria Math"/>
          <w:w w:val="60"/>
          <w:vertAlign w:val="baseline"/>
        </w:rPr>
        <w:t/>
      </w:r>
      <w:r>
        <w:rPr>
          <w:rFonts w:ascii="Cambria Math" w:eastAsia="Cambria Math"/>
          <w:vertAlign w:val="baseline"/>
        </w:rPr>
        <w:t>  </w:t>
      </w:r>
      <w:r>
        <w:rPr>
          <w:rFonts w:ascii="Cambria Math" w:eastAsia="Cambria Math"/>
          <w:spacing w:val="1"/>
          <w:vertAlign w:val="baseline"/>
        </w:rPr>
        <w:t> </w:t>
      </w:r>
      <w:r>
        <w:rPr>
          <w:rFonts w:ascii="Cambria Math" w:eastAsia="Cambria Math"/>
          <w:w w:val="53"/>
          <w:vertAlign w:val="baseline"/>
        </w:rPr>
        <w:t/>
      </w:r>
      <w:r>
        <w:rPr>
          <w:rFonts w:ascii="Cambria Math" w:eastAsia="Cambria Math"/>
          <w:w w:val="100"/>
          <w:vertAlign w:val="baseline"/>
        </w:rPr>
        <w:t>𝑅</w:t>
      </w:r>
      <w:r>
        <w:rPr>
          <w:rFonts w:ascii="Cambria Math" w:eastAsia="Cambria Math"/>
          <w:vertAlign w:val="baseline"/>
        </w:rPr>
        <w:tab/>
      </w:r>
      <w:r>
        <w:rPr>
          <w:w w:val="58"/>
          <w:vertAlign w:val="baseline"/>
        </w:rPr>
        <w:t>(</w:t>
      </w:r>
      <w:r>
        <w:rPr>
          <w:spacing w:val="-2"/>
          <w:w w:val="105"/>
          <w:vertAlign w:val="baseline"/>
        </w:rPr>
        <w:t>4</w:t>
      </w:r>
      <w:r>
        <w:rPr>
          <w:w w:val="58"/>
          <w:vertAlign w:val="baseline"/>
        </w:rPr>
        <w:t>)</w:t>
      </w:r>
    </w:p>
    <w:p>
      <w:pPr>
        <w:pStyle w:val="BodyText"/>
        <w:spacing w:before="10"/>
        <w:rPr>
          <w:sz w:val="20"/>
        </w:rPr>
      </w:pPr>
    </w:p>
    <w:p>
      <w:pPr>
        <w:spacing w:after="0"/>
        <w:rPr>
          <w:sz w:val="20"/>
        </w:rPr>
        <w:sectPr>
          <w:pgSz w:w="11910" w:h="16840"/>
          <w:pgMar w:header="948" w:footer="0" w:top="1460" w:bottom="280" w:left="320" w:right="220"/>
        </w:sectPr>
      </w:pPr>
    </w:p>
    <w:p>
      <w:pPr>
        <w:spacing w:line="108" w:lineRule="exact" w:before="136"/>
        <w:ind w:left="0" w:right="0" w:firstLine="0"/>
        <w:jc w:val="right"/>
        <w:rPr>
          <w:rFonts w:ascii="Cambria Math" w:hAnsi="Cambria Math" w:eastAsia="Cambria Math"/>
          <w:sz w:val="22"/>
        </w:rPr>
      </w:pPr>
      <w:r>
        <w:rPr/>
        <w:pict>
          <v:shape style="position:absolute;margin-left:240.699997pt;margin-top:9.024134pt;width:2.75pt;height:10pt;mso-position-horizontal-relative:page;mso-position-vertical-relative:paragraph;z-index:15747584" coordorigin="4814,180" coordsize="55,200" path="m4858,380l4814,284,4814,276,4858,180,4869,185,4834,280,4869,377,4858,380xe" filled="true" fillcolor="#000000" stroked="false">
            <v:path arrowok="t"/>
            <v:fill type="solid"/>
            <w10:wrap type="none"/>
          </v:shape>
        </w:pict>
      </w:r>
      <w:r>
        <w:rPr/>
        <w:pict>
          <v:shape style="position:absolute;margin-left:279.457001pt;margin-top:9.024134pt;width:2.75pt;height:10pt;mso-position-horizontal-relative:page;mso-position-vertical-relative:paragraph;z-index:-16391680" coordorigin="5589,180" coordsize="55,200" path="m5600,380l5589,376,5624,280,5589,184,5600,180,5644,276,5644,284,5600,380xe" filled="true" fillcolor="#000000" stroked="false">
            <v:path arrowok="t"/>
            <v:fill type="solid"/>
            <w10:wrap type="none"/>
          </v:shape>
        </w:pict>
      </w:r>
      <w:r>
        <w:rPr>
          <w:rFonts w:ascii="Cambria Math" w:hAnsi="Cambria Math" w:eastAsia="Cambria Math"/>
          <w:w w:val="53"/>
          <w:position w:val="4"/>
          <w:sz w:val="22"/>
        </w:rPr>
        <w:t/>
      </w:r>
      <w:r>
        <w:rPr>
          <w:rFonts w:ascii="Cambria Math" w:hAnsi="Cambria Math" w:eastAsia="Cambria Math"/>
          <w:spacing w:val="-2"/>
          <w:w w:val="100"/>
          <w:position w:val="4"/>
          <w:sz w:val="22"/>
        </w:rPr>
        <w:t>𝑅</w:t>
      </w:r>
      <w:r>
        <w:rPr>
          <w:rFonts w:ascii="Cambria Math" w:hAnsi="Cambria Math" w:eastAsia="Cambria Math"/>
          <w:w w:val="59"/>
          <w:sz w:val="16"/>
        </w:rPr>
        <w:t/>
      </w:r>
      <w:r>
        <w:rPr>
          <w:rFonts w:ascii="Cambria Math" w:hAnsi="Cambria Math" w:eastAsia="Cambria Math"/>
          <w:spacing w:val="-3"/>
          <w:w w:val="47"/>
          <w:sz w:val="16"/>
        </w:rPr>
        <w:t/>
      </w:r>
      <w:r>
        <w:rPr>
          <w:rFonts w:ascii="Cambria Math" w:hAnsi="Cambria Math" w:eastAsia="Cambria Math"/>
          <w:spacing w:val="-1"/>
          <w:w w:val="49"/>
          <w:sz w:val="16"/>
        </w:rPr>
        <w:t/>
      </w:r>
      <w:r>
        <w:rPr>
          <w:rFonts w:ascii="Cambria Math" w:hAnsi="Cambria Math" w:eastAsia="Cambria Math"/>
          <w:spacing w:val="1"/>
          <w:w w:val="100"/>
          <w:sz w:val="16"/>
        </w:rPr>
        <w:t>𝑛</w:t>
      </w:r>
      <w:r>
        <w:rPr>
          <w:rFonts w:ascii="Cambria Math" w:hAnsi="Cambria Math" w:eastAsia="Cambria Math"/>
          <w:w w:val="58"/>
          <w:sz w:val="16"/>
        </w:rPr>
        <w:t/>
      </w:r>
      <w:r>
        <w:rPr>
          <w:rFonts w:ascii="Cambria Math" w:hAnsi="Cambria Math" w:eastAsia="Cambria Math"/>
          <w:sz w:val="16"/>
        </w:rPr>
        <w:t>   </w:t>
      </w:r>
      <w:r>
        <w:rPr>
          <w:rFonts w:ascii="Cambria Math" w:hAnsi="Cambria Math" w:eastAsia="Cambria Math"/>
          <w:spacing w:val="3"/>
          <w:sz w:val="16"/>
        </w:rPr>
        <w:t> </w:t>
      </w:r>
      <w:r>
        <w:rPr>
          <w:rFonts w:ascii="Cambria Math" w:hAnsi="Cambria Math" w:eastAsia="Cambria Math"/>
          <w:w w:val="100"/>
          <w:position w:val="4"/>
          <w:sz w:val="22"/>
        </w:rPr>
        <w:t>=</w:t>
      </w:r>
      <w:r>
        <w:rPr>
          <w:rFonts w:ascii="Cambria Math" w:hAnsi="Cambria Math" w:eastAsia="Cambria Math"/>
          <w:spacing w:val="12"/>
          <w:position w:val="4"/>
          <w:sz w:val="22"/>
        </w:rPr>
        <w:t> </w:t>
      </w:r>
      <w:r>
        <w:rPr>
          <w:rFonts w:ascii="Cambria Math" w:hAnsi="Cambria Math" w:eastAsia="Cambria Math"/>
          <w:w w:val="160"/>
          <w:position w:val="4"/>
          <w:sz w:val="22"/>
        </w:rPr>
        <w:t>∑</w:t>
      </w:r>
    </w:p>
    <w:p>
      <w:pPr>
        <w:pStyle w:val="BodyText"/>
        <w:tabs>
          <w:tab w:pos="754" w:val="left" w:leader="none"/>
        </w:tabs>
        <w:spacing w:line="111" w:lineRule="exact" w:before="133"/>
        <w:ind w:left="144"/>
        <w:rPr>
          <w:rFonts w:ascii="Cambria Math" w:hAnsi="Cambria Math" w:eastAsia="Cambria Math"/>
        </w:rPr>
      </w:pPr>
      <w:r>
        <w:rPr/>
        <w:br w:type="column"/>
      </w:r>
      <w:r>
        <w:rPr>
          <w:rFonts w:ascii="Cambria Math" w:hAnsi="Cambria Math" w:eastAsia="Cambria Math"/>
          <w:spacing w:val="-1"/>
          <w:w w:val="53"/>
        </w:rPr>
        <w:t/>
      </w:r>
      <w:r>
        <w:rPr>
          <w:rFonts w:ascii="Cambria Math" w:hAnsi="Cambria Math" w:eastAsia="Cambria Math"/>
          <w:w w:val="36"/>
          <w:vertAlign w:val="superscript"/>
        </w:rPr>
        <w:t/>
      </w:r>
      <w:r>
        <w:rPr>
          <w:rFonts w:ascii="Cambria Math" w:hAnsi="Cambria Math" w:eastAsia="Cambria Math"/>
          <w:vertAlign w:val="baseline"/>
        </w:rPr>
        <w:tab/>
      </w:r>
      <w:r>
        <w:rPr>
          <w:rFonts w:ascii="Cambria Math" w:hAnsi="Cambria Math" w:eastAsia="Cambria Math"/>
          <w:w w:val="100"/>
          <w:vertAlign w:val="baseline"/>
        </w:rPr>
        <w:t>∗</w:t>
      </w:r>
      <w:r>
        <w:rPr>
          <w:rFonts w:ascii="Cambria Math" w:hAnsi="Cambria Math" w:eastAsia="Cambria Math"/>
          <w:vertAlign w:val="baseline"/>
        </w:rPr>
        <w:t> </w:t>
      </w:r>
      <w:r>
        <w:rPr>
          <w:rFonts w:ascii="Cambria Math" w:hAnsi="Cambria Math" w:eastAsia="Cambria Math"/>
          <w:spacing w:val="-5"/>
          <w:w w:val="53"/>
          <w:vertAlign w:val="baseline"/>
        </w:rPr>
        <w:t/>
      </w:r>
      <w:r>
        <w:rPr>
          <w:rFonts w:ascii="Cambria Math" w:hAnsi="Cambria Math" w:eastAsia="Cambria Math"/>
          <w:spacing w:val="-10"/>
          <w:w w:val="100"/>
          <w:vertAlign w:val="baseline"/>
        </w:rPr>
        <w:t>𝑅</w:t>
      </w:r>
      <w:r>
        <w:rPr>
          <w:rFonts w:ascii="Cambria Math" w:hAnsi="Cambria Math" w:eastAsia="Cambria Math"/>
          <w:spacing w:val="-5"/>
          <w:w w:val="36"/>
          <w:vertAlign w:val="superscript"/>
        </w:rPr>
        <w:t/>
      </w:r>
    </w:p>
    <w:p>
      <w:pPr>
        <w:pStyle w:val="BodyText"/>
        <w:tabs>
          <w:tab w:pos="3453" w:val="left" w:leader="none"/>
        </w:tabs>
        <w:spacing w:line="120" w:lineRule="exact" w:before="124"/>
        <w:ind w:left="537"/>
      </w:pPr>
      <w:r>
        <w:rPr/>
        <w:br w:type="column"/>
      </w:r>
      <w:r>
        <w:rPr>
          <w:w w:val="90"/>
        </w:rPr>
        <w:t>对于资</w:t>
      </w:r>
      <w:r>
        <w:rPr>
          <w:spacing w:val="47"/>
          <w:w w:val="90"/>
        </w:rPr>
        <w:t>产</w:t>
      </w:r>
      <w:r>
        <w:rPr>
          <w:rFonts w:ascii="Cambria Math" w:hAnsi="Cambria Math" w:eastAsia="Cambria Math"/>
          <w:w w:val="70"/>
        </w:rPr>
        <w:t/>
      </w:r>
      <w:r>
        <w:rPr>
          <w:rFonts w:ascii="Cambria Math" w:hAnsi="Cambria Math" w:eastAsia="Cambria Math"/>
          <w:spacing w:val="33"/>
          <w:w w:val="70"/>
        </w:rPr>
        <w:t> </w:t>
      </w:r>
      <w:r>
        <w:rPr>
          <w:rFonts w:ascii="Cambria Math" w:hAnsi="Cambria Math" w:eastAsia="Cambria Math"/>
          <w:w w:val="90"/>
        </w:rPr>
        <w:t>=</w:t>
      </w:r>
      <w:r>
        <w:rPr>
          <w:rFonts w:ascii="Cambria Math" w:hAnsi="Cambria Math" w:eastAsia="Cambria Math"/>
          <w:spacing w:val="22"/>
          <w:w w:val="90"/>
        </w:rPr>
        <w:t> </w:t>
      </w:r>
      <w:r>
        <w:rPr>
          <w:rFonts w:ascii="Cambria Math" w:hAnsi="Cambria Math" w:eastAsia="Cambria Math"/>
          <w:w w:val="90"/>
        </w:rPr>
        <w:t>1, …, </w:t>
        <w:tab/>
      </w:r>
      <w:r>
        <w:rPr>
          <w:w w:val="95"/>
        </w:rPr>
        <w:t>(5)</w:t>
      </w:r>
    </w:p>
    <w:p>
      <w:pPr>
        <w:spacing w:after="0" w:line="120" w:lineRule="exact"/>
        <w:sectPr>
          <w:type w:val="continuous"/>
          <w:pgSz w:w="11910" w:h="16840"/>
          <w:pgMar w:top="200" w:bottom="280" w:left="320" w:right="220"/>
          <w:cols w:num="3" w:equalWidth="0">
            <w:col w:w="5872" w:space="40"/>
            <w:col w:w="1216" w:space="39"/>
            <w:col w:w="4203"/>
          </w:cols>
        </w:sectPr>
      </w:pPr>
    </w:p>
    <w:p>
      <w:pPr>
        <w:tabs>
          <w:tab w:pos="302" w:val="left" w:leader="none"/>
        </w:tabs>
        <w:spacing w:before="0"/>
        <w:ind w:left="0" w:right="0" w:firstLine="0"/>
        <w:jc w:val="right"/>
        <w:rPr>
          <w:rFonts w:ascii="Cambria Math" w:eastAsia="Cambria Math"/>
          <w:sz w:val="16"/>
        </w:rPr>
      </w:pPr>
      <w:r>
        <w:rPr/>
        <w:pict>
          <v:shape style="position:absolute;margin-left:314.950012pt;margin-top:-4.878428pt;width:3.65pt;height:13.3pt;mso-position-horizontal-relative:page;mso-position-vertical-relative:paragraph;z-index:-16391168" coordorigin="6299,-98" coordsize="73,266" path="m6369,168l6317,123,6300,60,6299,35,6300,11,6317,-52,6369,-98,6372,-89,6360,-82,6349,-73,6322,-9,6319,36,6320,59,6340,132,6372,160,6369,168xe" filled="true" fillcolor="#000000" stroked="false">
            <v:path arrowok="t"/>
            <v:fill type="solid"/>
            <w10:wrap type="none"/>
          </v:shape>
        </w:pict>
      </w:r>
      <w:r>
        <w:rPr>
          <w:rFonts w:ascii="Cambria Math" w:eastAsia="Cambria Math"/>
          <w:w w:val="31"/>
          <w:position w:val="-3"/>
          <w:sz w:val="16"/>
        </w:rPr>
        <w:t/>
      </w:r>
      <w:r>
        <w:rPr>
          <w:rFonts w:ascii="Cambria Math" w:eastAsia="Cambria Math"/>
          <w:position w:val="-3"/>
          <w:sz w:val="16"/>
        </w:rPr>
        <w:tab/>
      </w: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p>
      <w:pPr>
        <w:spacing w:before="0"/>
        <w:ind w:left="425" w:right="0" w:firstLine="0"/>
        <w:jc w:val="left"/>
        <w:rPr>
          <w:rFonts w:ascii="Cambria Math" w:eastAsia="Cambria Math"/>
          <w:sz w:val="16"/>
        </w:rPr>
      </w:pPr>
      <w:r>
        <w:rPr/>
        <w:br w:type="column"/>
      </w: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p>
      <w:pPr>
        <w:spacing w:after="0"/>
        <w:jc w:val="left"/>
        <w:rPr>
          <w:rFonts w:ascii="Cambria Math" w:eastAsia="Cambria Math"/>
          <w:sz w:val="16"/>
        </w:rPr>
        <w:sectPr>
          <w:type w:val="continuous"/>
          <w:pgSz w:w="11910" w:h="16840"/>
          <w:pgMar w:top="200" w:bottom="280" w:left="320" w:right="220"/>
          <w:cols w:num="2" w:equalWidth="0">
            <w:col w:w="6611" w:space="40"/>
            <w:col w:w="4719"/>
          </w:cols>
        </w:sectPr>
      </w:pPr>
    </w:p>
    <w:p>
      <w:pPr>
        <w:pStyle w:val="BodyText"/>
        <w:rPr>
          <w:rFonts w:ascii="Cambria Math"/>
          <w:sz w:val="14"/>
        </w:rPr>
      </w:pPr>
    </w:p>
    <w:p>
      <w:pPr>
        <w:spacing w:after="0"/>
        <w:rPr>
          <w:rFonts w:ascii="Cambria Math"/>
          <w:sz w:val="14"/>
        </w:rPr>
        <w:sectPr>
          <w:type w:val="continuous"/>
          <w:pgSz w:w="11910" w:h="16840"/>
          <w:pgMar w:top="200" w:bottom="280" w:left="320" w:right="220"/>
        </w:sectPr>
      </w:pPr>
    </w:p>
    <w:p>
      <w:pPr>
        <w:spacing w:line="134" w:lineRule="exact" w:before="100"/>
        <w:ind w:left="7264" w:right="0" w:firstLine="0"/>
        <w:jc w:val="left"/>
        <w:rPr>
          <w:rFonts w:ascii="Cambria Math" w:eastAsia="Cambria Math"/>
          <w:sz w:val="13"/>
        </w:rPr>
      </w:pPr>
      <w:r>
        <w:rPr/>
        <w:pict>
          <v:shape style="position:absolute;margin-left:392.471008pt;margin-top:-24.463724pt;width:3.65pt;height:13.3pt;mso-position-horizontal-relative:page;mso-position-vertical-relative:paragraph;z-index:15749120" coordorigin="7849,-489" coordsize="73,266" path="m7852,-223l7849,-232,7862,-238,7872,-248,7899,-311,7902,-356,7901,-380,7881,-453,7849,-480,7852,-489,7904,-444,7921,-381,7922,-356,7921,-332,7904,-269,7868,-229,7852,-223xe" filled="true" fillcolor="#000000" stroked="false">
            <v:path arrowok="t"/>
            <v:fill type="solid"/>
            <w10:wrap type="none"/>
          </v:shape>
        </w:pict>
      </w:r>
      <w:r>
        <w:rPr/>
        <w:pict>
          <v:shape style="position:absolute;margin-left:325.200012pt;margin-top:7.127203pt;width:54.05pt;height:16.6pt;mso-position-horizontal-relative:page;mso-position-vertical-relative:paragraph;z-index:-16390144" type="#_x0000_t202" filled="false" stroked="false">
            <v:textbox inset="0,0,0,0">
              <w:txbxContent>
                <w:p>
                  <w:pPr>
                    <w:pStyle w:val="BodyText"/>
                    <w:tabs>
                      <w:tab w:pos="847" w:val="left" w:leader="none"/>
                      <w:tab w:pos="986" w:val="left" w:leader="none"/>
                    </w:tabs>
                    <w:spacing w:before="73"/>
                    <w:rPr>
                      <w:rFonts w:ascii="Cambria Math" w:eastAsia="Cambria Math"/>
                    </w:rPr>
                  </w:pPr>
                  <w:r>
                    <w:rPr>
                      <w:rFonts w:ascii="Cambria Math" w:eastAsia="Cambria Math"/>
                      <w:spacing w:val="-1"/>
                      <w:w w:val="53"/>
                    </w:rPr>
                    <w:t/>
                  </w:r>
                  <w:r>
                    <w:rPr>
                      <w:rFonts w:ascii="Cambria Math" w:eastAsia="Cambria Math"/>
                      <w:w w:val="36"/>
                      <w:vertAlign w:val="superscript"/>
                    </w:rPr>
                    <w:t/>
                  </w:r>
                  <w:r>
                    <w:rPr>
                      <w:rFonts w:ascii="Cambria Math" w:eastAsia="Cambria Math"/>
                      <w:vertAlign w:val="baseline"/>
                    </w:rPr>
                    <w:tab/>
                  </w:r>
                  <w:r>
                    <w:rPr>
                      <w:rFonts w:ascii="Times New Roman" w:eastAsia="Times New Roman"/>
                      <w:w w:val="92"/>
                      <w:u w:val="single"/>
                      <w:vertAlign w:val="superscript"/>
                    </w:rPr>
                    <w:t> </w:t>
                  </w:r>
                  <w:r>
                    <w:rPr>
                      <w:rFonts w:ascii="Times New Roman" w:eastAsia="Times New Roman"/>
                      <w:u w:val="single"/>
                      <w:vertAlign w:val="baseline"/>
                    </w:rPr>
                    <w:tab/>
                    <w:tab/>
                  </w:r>
                  <w:r>
                    <w:rPr>
                      <w:rFonts w:ascii="Cambria Math" w:eastAsia="Cambria Math"/>
                      <w:spacing w:val="-459"/>
                      <w:w w:val="67"/>
                      <w:vertAlign w:val="superscript"/>
                    </w:rPr>
                    <w:t/>
                  </w:r>
                  <w:r>
                    <w:rPr>
                      <w:rFonts w:ascii="Cambria Math" w:eastAsia="Cambria Math"/>
                      <w:w w:val="100"/>
                      <w:vertAlign w:val="baseline"/>
                    </w:rPr>
                    <w:t>=</w:t>
                  </w:r>
                </w:p>
              </w:txbxContent>
            </v:textbox>
            <w10:wrap type="none"/>
          </v:shape>
        </w:pict>
      </w:r>
      <w:r>
        <w:rPr>
          <w:rFonts w:ascii="Cambria Math" w:eastAsia="Cambria Math"/>
          <w:w w:val="31"/>
          <w:sz w:val="13"/>
        </w:rPr>
        <w:t/>
      </w:r>
    </w:p>
    <w:p>
      <w:pPr>
        <w:spacing w:line="94" w:lineRule="exact" w:before="0"/>
        <w:ind w:left="7264" w:right="0" w:firstLine="0"/>
        <w:jc w:val="left"/>
        <w:rPr>
          <w:rFonts w:ascii="Cambria Math" w:eastAsia="Cambria Math"/>
          <w:sz w:val="13"/>
        </w:rPr>
      </w:pPr>
      <w:r>
        <w:rPr>
          <w:rFonts w:ascii="Cambria Math" w:eastAsia="Cambria Math"/>
          <w:spacing w:val="-1"/>
          <w:w w:val="59"/>
          <w:sz w:val="13"/>
          <w:u w:val="single"/>
        </w:rPr>
        <w:t/>
      </w:r>
      <w:r>
        <w:rPr>
          <w:rFonts w:ascii="Cambria Math" w:eastAsia="Cambria Math"/>
          <w:w w:val="47"/>
          <w:sz w:val="13"/>
          <w:u w:val="single"/>
        </w:rPr>
        <w:t/>
      </w:r>
      <w:r>
        <w:rPr>
          <w:rFonts w:ascii="Cambria Math" w:eastAsia="Cambria Math"/>
          <w:w w:val="49"/>
          <w:sz w:val="13"/>
          <w:u w:val="single"/>
        </w:rPr>
        <w:t/>
      </w:r>
      <w:r>
        <w:rPr>
          <w:rFonts w:ascii="Cambria Math" w:eastAsia="Cambria Math"/>
          <w:spacing w:val="-1"/>
          <w:sz w:val="13"/>
          <w:u w:val="single"/>
        </w:rPr>
        <w:t>𝑛</w:t>
      </w:r>
      <w:r>
        <w:rPr>
          <w:rFonts w:ascii="Cambria Math" w:eastAsia="Cambria Math"/>
          <w:w w:val="57"/>
          <w:sz w:val="13"/>
          <w:u w:val="single"/>
        </w:rPr>
        <w:t/>
      </w:r>
      <w:r>
        <w:rPr>
          <w:rFonts w:ascii="Cambria Math" w:eastAsia="Cambria Math"/>
          <w:spacing w:val="2"/>
          <w:sz w:val="13"/>
          <w:u w:val="single"/>
        </w:rPr>
        <w:t> </w:t>
      </w:r>
    </w:p>
    <w:p>
      <w:pPr>
        <w:pStyle w:val="BodyText"/>
        <w:spacing w:before="9"/>
        <w:rPr>
          <w:rFonts w:ascii="Cambria Math"/>
          <w:sz w:val="17"/>
        </w:rPr>
      </w:pPr>
      <w:r>
        <w:rPr/>
        <w:br w:type="column"/>
      </w:r>
      <w:r>
        <w:rPr>
          <w:rFonts w:ascii="Cambria Math"/>
          <w:sz w:val="17"/>
        </w:rPr>
      </w:r>
    </w:p>
    <w:p>
      <w:pPr>
        <w:pStyle w:val="BodyText"/>
        <w:spacing w:line="120" w:lineRule="exact"/>
        <w:ind w:right="497"/>
        <w:jc w:val="right"/>
      </w:pPr>
      <w:r>
        <w:rPr>
          <w:w w:val="85"/>
        </w:rPr>
        <w:t>(6)</w:t>
      </w:r>
    </w:p>
    <w:p>
      <w:pPr>
        <w:spacing w:after="0" w:line="120" w:lineRule="exact"/>
        <w:jc w:val="right"/>
        <w:sectPr>
          <w:type w:val="continuous"/>
          <w:pgSz w:w="11910" w:h="16840"/>
          <w:pgMar w:top="200" w:bottom="280" w:left="320" w:right="220"/>
          <w:cols w:num="2" w:equalWidth="0">
            <w:col w:w="7764" w:space="40"/>
            <w:col w:w="3566"/>
          </w:cols>
        </w:sectPr>
      </w:pPr>
    </w:p>
    <w:p>
      <w:pPr>
        <w:spacing w:line="175" w:lineRule="exact" w:before="1"/>
        <w:ind w:left="0" w:right="0" w:firstLine="0"/>
        <w:jc w:val="right"/>
        <w:rPr>
          <w:rFonts w:ascii="Cambria Math" w:eastAsia="Cambria Math"/>
          <w:sz w:val="16"/>
        </w:rPr>
      </w:pP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p>
      <w:pPr>
        <w:spacing w:line="113" w:lineRule="exact" w:before="62"/>
        <w:ind w:left="253" w:right="0" w:firstLine="0"/>
        <w:jc w:val="left"/>
        <w:rPr>
          <w:rFonts w:ascii="Cambria Math" w:hAnsi="Cambria Math" w:eastAsia="Cambria Math"/>
          <w:sz w:val="13"/>
        </w:rPr>
      </w:pPr>
      <w:r>
        <w:rPr/>
        <w:br w:type="column"/>
      </w:r>
      <w:r>
        <w:rPr>
          <w:rFonts w:ascii="Cambria Math" w:hAnsi="Cambria Math" w:eastAsia="Cambria Math"/>
          <w:spacing w:val="-1"/>
          <w:w w:val="135"/>
          <w:sz w:val="16"/>
        </w:rPr>
        <w:t>∑</w:t>
      </w:r>
      <w:r>
        <w:rPr>
          <w:rFonts w:ascii="Cambria Math" w:hAnsi="Cambria Math" w:eastAsia="Cambria Math"/>
          <w:spacing w:val="-4"/>
          <w:w w:val="135"/>
          <w:sz w:val="16"/>
        </w:rPr>
        <w:t> </w:t>
      </w:r>
      <w:r>
        <w:rPr>
          <w:rFonts w:ascii="Cambria Math" w:hAnsi="Cambria Math" w:eastAsia="Cambria Math"/>
          <w:spacing w:val="-1"/>
          <w:w w:val="75"/>
          <w:sz w:val="16"/>
        </w:rPr>
        <w:t/>
      </w:r>
      <w:r>
        <w:rPr>
          <w:rFonts w:ascii="Cambria Math" w:hAnsi="Cambria Math" w:eastAsia="Cambria Math"/>
          <w:spacing w:val="-1"/>
          <w:w w:val="75"/>
          <w:position w:val="7"/>
          <w:sz w:val="13"/>
        </w:rPr>
        <w:t/>
      </w:r>
    </w:p>
    <w:p>
      <w:pPr>
        <w:spacing w:after="0" w:line="113" w:lineRule="exact"/>
        <w:jc w:val="left"/>
        <w:rPr>
          <w:rFonts w:ascii="Cambria Math" w:hAnsi="Cambria Math" w:eastAsia="Cambria Math"/>
          <w:sz w:val="13"/>
        </w:rPr>
        <w:sectPr>
          <w:type w:val="continuous"/>
          <w:pgSz w:w="11910" w:h="16840"/>
          <w:pgMar w:top="200" w:bottom="280" w:left="320" w:right="220"/>
          <w:cols w:num="2" w:equalWidth="0">
            <w:col w:w="6739" w:space="40"/>
            <w:col w:w="4591"/>
          </w:cols>
        </w:sectPr>
      </w:pPr>
    </w:p>
    <w:p>
      <w:pPr>
        <w:spacing w:before="88"/>
        <w:ind w:left="0" w:right="0" w:firstLine="0"/>
        <w:jc w:val="right"/>
        <w:rPr>
          <w:rFonts w:ascii="Cambria Math" w:eastAsia="Cambria Math"/>
          <w:sz w:val="13"/>
        </w:rPr>
      </w:pPr>
      <w:r>
        <w:rPr>
          <w:rFonts w:ascii="Cambria Math" w:eastAsia="Cambria Math"/>
          <w:w w:val="31"/>
          <w:sz w:val="13"/>
        </w:rPr>
        <w:t/>
      </w:r>
    </w:p>
    <w:p>
      <w:pPr>
        <w:pStyle w:val="BodyText"/>
        <w:spacing w:before="3"/>
        <w:rPr>
          <w:rFonts w:ascii="Cambria Math"/>
          <w:sz w:val="17"/>
        </w:rPr>
      </w:pPr>
    </w:p>
    <w:p>
      <w:pPr>
        <w:pStyle w:val="BodyText"/>
        <w:tabs>
          <w:tab w:pos="760" w:val="left" w:leader="none"/>
        </w:tabs>
        <w:spacing w:line="114" w:lineRule="exact"/>
        <w:ind w:right="89"/>
        <w:jc w:val="right"/>
        <w:rPr>
          <w:rFonts w:ascii="Cambria Math" w:eastAsia="Cambria Math"/>
          <w:sz w:val="13"/>
        </w:rPr>
      </w:pPr>
      <w:r>
        <w:rPr>
          <w:rFonts w:ascii="Cambria Math" w:eastAsia="Cambria Math"/>
          <w:w w:val="53"/>
        </w:rPr>
        <w:t/>
      </w:r>
      <w:r>
        <w:rPr>
          <w:rFonts w:ascii="Cambria Math" w:eastAsia="Cambria Math"/>
          <w:spacing w:val="-2"/>
          <w:w w:val="100"/>
        </w:rPr>
        <w:t>𝑅</w:t>
      </w:r>
      <w:r>
        <w:rPr>
          <w:rFonts w:ascii="Cambria Math" w:eastAsia="Cambria Math"/>
          <w:w w:val="36"/>
          <w:vertAlign w:val="superscript"/>
        </w:rPr>
        <w:t/>
      </w:r>
      <w:r>
        <w:rPr>
          <w:rFonts w:ascii="Cambria Math" w:eastAsia="Cambria Math"/>
          <w:vertAlign w:val="baseline"/>
        </w:rPr>
        <w:tab/>
      </w:r>
      <w:r>
        <w:rPr>
          <w:rFonts w:ascii="Cambria Math" w:eastAsia="Cambria Math"/>
          <w:w w:val="100"/>
          <w:vertAlign w:val="baseline"/>
        </w:rPr>
        <w:t>=</w:t>
      </w:r>
      <w:r>
        <w:rPr>
          <w:rFonts w:ascii="Cambria Math" w:eastAsia="Cambria Math"/>
          <w:spacing w:val="19"/>
          <w:vertAlign w:val="baseline"/>
        </w:rPr>
        <w:t> </w:t>
      </w:r>
      <w:r>
        <w:rPr>
          <w:rFonts w:ascii="Cambria Math" w:eastAsia="Cambria Math"/>
          <w:w w:val="55"/>
          <w:vertAlign w:val="superscript"/>
        </w:rPr>
        <w:t/>
      </w:r>
      <w:r>
        <w:rPr>
          <w:rFonts w:ascii="Cambria Math" w:eastAsia="Cambria Math"/>
          <w:w w:val="31"/>
          <w:position w:val="20"/>
          <w:sz w:val="13"/>
          <w:vertAlign w:val="baseline"/>
        </w:rPr>
        <w:t/>
      </w:r>
    </w:p>
    <w:p>
      <w:pPr>
        <w:spacing w:before="0"/>
        <w:ind w:left="79" w:right="0" w:firstLine="0"/>
        <w:jc w:val="left"/>
        <w:rPr>
          <w:rFonts w:ascii="Cambria Math" w:eastAsia="Cambria Math"/>
          <w:sz w:val="13"/>
        </w:rPr>
      </w:pPr>
      <w:r>
        <w:rPr/>
        <w:br w:type="column"/>
      </w:r>
      <w:r>
        <w:rPr>
          <w:rFonts w:ascii="Cambria Math" w:eastAsia="Cambria Math"/>
          <w:spacing w:val="-1"/>
          <w:w w:val="59"/>
          <w:sz w:val="13"/>
        </w:rPr>
        <w:t/>
      </w:r>
      <w:r>
        <w:rPr>
          <w:rFonts w:ascii="Cambria Math" w:eastAsia="Cambria Math"/>
          <w:w w:val="47"/>
          <w:sz w:val="13"/>
        </w:rPr>
        <w:t/>
      </w:r>
      <w:r>
        <w:rPr>
          <w:rFonts w:ascii="Cambria Math" w:eastAsia="Cambria Math"/>
          <w:w w:val="49"/>
          <w:sz w:val="13"/>
        </w:rPr>
        <w:t/>
      </w:r>
      <w:r>
        <w:rPr>
          <w:rFonts w:ascii="Cambria Math" w:eastAsia="Cambria Math"/>
          <w:spacing w:val="-1"/>
          <w:sz w:val="13"/>
        </w:rPr>
        <w:t>𝑛</w:t>
      </w:r>
      <w:r>
        <w:rPr>
          <w:rFonts w:ascii="Cambria Math" w:eastAsia="Cambria Math"/>
          <w:w w:val="57"/>
          <w:sz w:val="13"/>
        </w:rPr>
        <w:t/>
      </w:r>
    </w:p>
    <w:p>
      <w:pPr>
        <w:pStyle w:val="BodyText"/>
        <w:rPr>
          <w:rFonts w:ascii="Cambria Math"/>
        </w:rPr>
      </w:pPr>
      <w:r>
        <w:rPr/>
        <w:br w:type="column"/>
      </w:r>
      <w:r>
        <w:rPr>
          <w:rFonts w:ascii="Cambria Math"/>
        </w:rPr>
      </w:r>
    </w:p>
    <w:p>
      <w:pPr>
        <w:pStyle w:val="BodyText"/>
        <w:spacing w:before="9"/>
        <w:rPr>
          <w:rFonts w:ascii="Cambria Math"/>
          <w:sz w:val="24"/>
        </w:rPr>
      </w:pPr>
    </w:p>
    <w:p>
      <w:pPr>
        <w:pStyle w:val="BodyText"/>
        <w:spacing w:line="8" w:lineRule="exact" w:before="1"/>
        <w:ind w:right="497"/>
        <w:jc w:val="right"/>
      </w:pPr>
      <w:r>
        <w:rPr>
          <w:w w:val="85"/>
        </w:rPr>
        <w:t>(7)</w:t>
      </w:r>
    </w:p>
    <w:p>
      <w:pPr>
        <w:spacing w:after="0" w:line="8" w:lineRule="exact"/>
        <w:jc w:val="right"/>
        <w:sectPr>
          <w:type w:val="continuous"/>
          <w:pgSz w:w="11910" w:h="16840"/>
          <w:pgMar w:top="200" w:bottom="280" w:left="320" w:right="220"/>
          <w:cols w:num="3" w:equalWidth="0">
            <w:col w:w="7284" w:space="40"/>
            <w:col w:w="434" w:space="39"/>
            <w:col w:w="3573"/>
          </w:cols>
        </w:sectPr>
      </w:pPr>
    </w:p>
    <w:p>
      <w:pPr>
        <w:spacing w:before="113"/>
        <w:ind w:left="0" w:right="0" w:firstLine="0"/>
        <w:jc w:val="right"/>
        <w:rPr>
          <w:rFonts w:ascii="Cambria Math" w:eastAsia="Cambria Math"/>
          <w:sz w:val="16"/>
        </w:rPr>
      </w:pPr>
      <w:r>
        <w:rPr/>
        <w:pict>
          <v:shape style="position:absolute;margin-left:369.23999pt;margin-top:8.602479pt;width:4.75pt;height:9.450pt;mso-position-horizontal-relative:page;mso-position-vertical-relative:paragraph;z-index:15750144" type="#_x0000_t202" filled="false" stroked="false">
            <v:textbox inset="0,0,0,0">
              <w:txbxContent>
                <w:p>
                  <w:pPr>
                    <w:spacing w:before="1"/>
                    <w:ind w:left="0" w:right="0" w:firstLine="0"/>
                    <w:jc w:val="left"/>
                    <w:rPr>
                      <w:rFonts w:ascii="Cambria Math" w:eastAsia="Cambria Math"/>
                      <w:sz w:val="16"/>
                    </w:rPr>
                  </w:pPr>
                  <w:r>
                    <w:rPr>
                      <w:rFonts w:ascii="Cambria Math" w:eastAsia="Cambria Math"/>
                      <w:w w:val="58"/>
                      <w:sz w:val="16"/>
                    </w:rPr>
                    <w:t/>
                  </w:r>
                </w:p>
              </w:txbxContent>
            </v:textbox>
            <w10:wrap type="none"/>
          </v:shape>
        </w:pict>
      </w: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p>
      <w:pPr>
        <w:spacing w:line="142" w:lineRule="exact" w:before="0"/>
        <w:ind w:left="253" w:right="0" w:firstLine="0"/>
        <w:jc w:val="left"/>
        <w:rPr>
          <w:rFonts w:ascii="Cambria Math" w:eastAsia="Cambria Math"/>
          <w:sz w:val="13"/>
        </w:rPr>
      </w:pPr>
      <w:r>
        <w:rPr/>
        <w:br w:type="column"/>
      </w:r>
      <w:r>
        <w:rPr>
          <w:rFonts w:ascii="Times New Roman" w:eastAsia="Times New Roman"/>
          <w:sz w:val="13"/>
          <w:u w:val="single"/>
        </w:rPr>
        <w:t>  </w:t>
      </w:r>
      <w:r>
        <w:rPr>
          <w:rFonts w:ascii="Times New Roman" w:eastAsia="Times New Roman"/>
          <w:spacing w:val="-14"/>
          <w:sz w:val="13"/>
          <w:u w:val="single"/>
        </w:rPr>
        <w:t> </w:t>
      </w:r>
      <w:r>
        <w:rPr>
          <w:rFonts w:ascii="Cambria Math" w:eastAsia="Cambria Math"/>
          <w:spacing w:val="-1"/>
          <w:w w:val="59"/>
          <w:sz w:val="13"/>
          <w:u w:val="single"/>
        </w:rPr>
        <w:t/>
      </w:r>
      <w:r>
        <w:rPr>
          <w:rFonts w:ascii="Cambria Math" w:eastAsia="Cambria Math"/>
          <w:w w:val="47"/>
          <w:sz w:val="13"/>
          <w:u w:val="single"/>
        </w:rPr>
        <w:t/>
      </w:r>
      <w:r>
        <w:rPr>
          <w:rFonts w:ascii="Cambria Math" w:eastAsia="Cambria Math"/>
          <w:w w:val="49"/>
          <w:sz w:val="13"/>
          <w:u w:val="single"/>
        </w:rPr>
        <w:t/>
      </w:r>
      <w:r>
        <w:rPr>
          <w:rFonts w:ascii="Cambria Math" w:eastAsia="Cambria Math"/>
          <w:spacing w:val="-1"/>
          <w:sz w:val="13"/>
          <w:u w:val="single"/>
        </w:rPr>
        <w:t>𝑛</w:t>
      </w:r>
      <w:r>
        <w:rPr>
          <w:rFonts w:ascii="Cambria Math" w:eastAsia="Cambria Math"/>
          <w:w w:val="57"/>
          <w:sz w:val="13"/>
          <w:u w:val="single"/>
        </w:rPr>
        <w:t/>
      </w:r>
    </w:p>
    <w:p>
      <w:pPr>
        <w:spacing w:line="122" w:lineRule="exact" w:before="0"/>
        <w:ind w:left="344" w:right="0" w:firstLine="0"/>
        <w:jc w:val="left"/>
        <w:rPr>
          <w:rFonts w:ascii="Cambria Math" w:eastAsia="Cambria Math"/>
          <w:sz w:val="13"/>
        </w:rPr>
      </w:pPr>
      <w:r>
        <w:rPr>
          <w:rFonts w:ascii="Cambria Math" w:eastAsia="Cambria Math"/>
          <w:w w:val="31"/>
          <w:sz w:val="13"/>
        </w:rPr>
        <w:t/>
      </w:r>
    </w:p>
    <w:p>
      <w:pPr>
        <w:spacing w:line="133" w:lineRule="exact" w:before="0"/>
        <w:ind w:left="344" w:right="0" w:firstLine="0"/>
        <w:jc w:val="left"/>
        <w:rPr>
          <w:rFonts w:ascii="Cambria Math" w:eastAsia="Cambria Math"/>
          <w:sz w:val="13"/>
        </w:rPr>
      </w:pPr>
      <w:r>
        <w:rPr>
          <w:rFonts w:ascii="Cambria Math" w:eastAsia="Cambria Math"/>
          <w:spacing w:val="-1"/>
          <w:w w:val="59"/>
          <w:sz w:val="13"/>
        </w:rPr>
        <w:t/>
      </w:r>
      <w:r>
        <w:rPr>
          <w:rFonts w:ascii="Cambria Math" w:eastAsia="Cambria Math"/>
          <w:w w:val="47"/>
          <w:sz w:val="13"/>
        </w:rPr>
        <w:t/>
      </w:r>
      <w:r>
        <w:rPr>
          <w:rFonts w:ascii="Cambria Math" w:eastAsia="Cambria Math"/>
          <w:w w:val="49"/>
          <w:sz w:val="13"/>
        </w:rPr>
        <w:t/>
      </w:r>
      <w:r>
        <w:rPr>
          <w:rFonts w:ascii="Cambria Math" w:eastAsia="Cambria Math"/>
          <w:spacing w:val="-1"/>
          <w:sz w:val="13"/>
        </w:rPr>
        <w:t>𝑛</w:t>
      </w:r>
      <w:r>
        <w:rPr>
          <w:rFonts w:ascii="Cambria Math" w:eastAsia="Cambria Math"/>
          <w:w w:val="57"/>
          <w:sz w:val="13"/>
        </w:rPr>
        <w:t/>
      </w:r>
    </w:p>
    <w:p>
      <w:pPr>
        <w:spacing w:after="0" w:line="133" w:lineRule="exact"/>
        <w:jc w:val="left"/>
        <w:rPr>
          <w:rFonts w:ascii="Cambria Math" w:eastAsia="Cambria Math"/>
          <w:sz w:val="13"/>
        </w:rPr>
        <w:sectPr>
          <w:type w:val="continuous"/>
          <w:pgSz w:w="11910" w:h="16840"/>
          <w:pgMar w:top="200" w:bottom="280" w:left="320" w:right="220"/>
          <w:cols w:num="2" w:equalWidth="0">
            <w:col w:w="6775" w:space="40"/>
            <w:col w:w="4555"/>
          </w:cols>
        </w:sectPr>
      </w:pPr>
    </w:p>
    <w:p>
      <w:pPr>
        <w:pStyle w:val="BodyText"/>
        <w:spacing w:before="9"/>
        <w:rPr>
          <w:rFonts w:ascii="Cambria Math"/>
          <w:sz w:val="20"/>
        </w:rPr>
      </w:pPr>
    </w:p>
    <w:p>
      <w:pPr>
        <w:pStyle w:val="BodyText"/>
        <w:tabs>
          <w:tab w:pos="4158" w:val="left" w:leader="none"/>
          <w:tab w:pos="7935" w:val="left" w:leader="none"/>
        </w:tabs>
        <w:spacing w:line="117" w:lineRule="exact" w:before="127"/>
        <w:ind w:left="2951"/>
      </w:pPr>
      <w:r>
        <w:rPr>
          <w:spacing w:val="-1"/>
          <w:w w:val="100"/>
        </w:rPr>
        <w:t>其</w:t>
      </w:r>
      <w:r>
        <w:rPr>
          <w:w w:val="100"/>
        </w:rPr>
        <w:t>中</w:t>
      </w:r>
      <w:r>
        <w:rPr>
          <w:spacing w:val="-3"/>
        </w:rPr>
        <w:t> </w:t>
      </w:r>
      <w:r>
        <w:rPr>
          <w:rFonts w:ascii="Cambria Math" w:eastAsia="Cambria Math"/>
          <w:spacing w:val="-2"/>
          <w:w w:val="47"/>
        </w:rPr>
        <w:t/>
      </w:r>
      <w:r>
        <w:rPr>
          <w:rFonts w:ascii="Cambria Math" w:eastAsia="Cambria Math"/>
          <w:w w:val="36"/>
          <w:vertAlign w:val="superscript"/>
        </w:rPr>
        <w:t/>
      </w:r>
      <w:r>
        <w:rPr>
          <w:rFonts w:ascii="Cambria Math" w:eastAsia="Cambria Math"/>
          <w:vertAlign w:val="baseline"/>
        </w:rPr>
        <w:tab/>
      </w:r>
      <w:r>
        <w:rPr>
          <w:spacing w:val="-1"/>
          <w:w w:val="100"/>
          <w:vertAlign w:val="baseline"/>
        </w:rPr>
        <w:t>是</w:t>
      </w:r>
      <w:r>
        <w:rPr>
          <w:spacing w:val="-3"/>
          <w:w w:val="100"/>
          <w:vertAlign w:val="baseline"/>
        </w:rPr>
        <w:t>资</w:t>
      </w:r>
      <w:r>
        <w:rPr>
          <w:w w:val="100"/>
          <w:vertAlign w:val="baseline"/>
        </w:rPr>
        <w:t>产</w:t>
      </w:r>
      <w:r>
        <w:rPr>
          <w:vertAlign w:val="baseline"/>
        </w:rPr>
        <w:t> </w:t>
      </w:r>
      <w:r>
        <w:rPr>
          <w:rFonts w:ascii="Cambria Math" w:eastAsia="Cambria Math"/>
          <w:w w:val="31"/>
          <w:vertAlign w:val="baseline"/>
        </w:rPr>
        <w:t/>
      </w:r>
      <w:r>
        <w:rPr>
          <w:rFonts w:ascii="Cambria Math" w:eastAsia="Cambria Math"/>
          <w:vertAlign w:val="baseline"/>
        </w:rPr>
        <w:t> </w:t>
      </w:r>
      <w:r>
        <w:rPr>
          <w:rFonts w:ascii="Cambria Math" w:eastAsia="Cambria Math"/>
          <w:spacing w:val="10"/>
          <w:vertAlign w:val="baseline"/>
        </w:rPr>
        <w:t> </w:t>
      </w:r>
      <w:r>
        <w:rPr>
          <w:spacing w:val="-1"/>
          <w:w w:val="100"/>
          <w:vertAlign w:val="baseline"/>
        </w:rPr>
        <w:t>趋</w:t>
      </w:r>
      <w:r>
        <w:rPr>
          <w:spacing w:val="-3"/>
          <w:w w:val="100"/>
          <w:vertAlign w:val="baseline"/>
        </w:rPr>
        <w:t>势</w:t>
      </w:r>
      <w:r>
        <w:rPr>
          <w:spacing w:val="-1"/>
          <w:w w:val="100"/>
          <w:vertAlign w:val="baseline"/>
        </w:rPr>
        <w:t>策略</w:t>
      </w:r>
      <w:r>
        <w:rPr>
          <w:spacing w:val="-3"/>
          <w:w w:val="100"/>
          <w:vertAlign w:val="baseline"/>
        </w:rPr>
        <w:t>的</w:t>
      </w:r>
      <w:r>
        <w:rPr>
          <w:spacing w:val="-1"/>
          <w:w w:val="100"/>
          <w:vertAlign w:val="baseline"/>
        </w:rPr>
        <w:t>超额</w:t>
      </w:r>
      <w:r>
        <w:rPr>
          <w:spacing w:val="-3"/>
          <w:w w:val="100"/>
          <w:vertAlign w:val="baseline"/>
        </w:rPr>
        <w:t>收</w:t>
      </w:r>
      <w:r>
        <w:rPr>
          <w:spacing w:val="-1"/>
          <w:w w:val="100"/>
          <w:vertAlign w:val="baseline"/>
        </w:rPr>
        <w:t>益</w:t>
      </w:r>
      <w:r>
        <w:rPr>
          <w:spacing w:val="-51"/>
          <w:w w:val="100"/>
          <w:vertAlign w:val="baseline"/>
        </w:rPr>
        <w:t>，</w:t>
      </w:r>
      <w:r>
        <w:rPr>
          <w:rFonts w:ascii="Cambria Math" w:eastAsia="Cambria Math"/>
          <w:spacing w:val="-3"/>
          <w:w w:val="58"/>
          <w:vertAlign w:val="baseline"/>
        </w:rPr>
        <w:t/>
      </w:r>
      <w:r>
        <w:rPr>
          <w:rFonts w:ascii="Cambria Math" w:eastAsia="Cambria Math"/>
          <w:w w:val="36"/>
          <w:vertAlign w:val="superscript"/>
        </w:rPr>
        <w:t/>
      </w:r>
      <w:r>
        <w:rPr>
          <w:rFonts w:ascii="Cambria Math" w:eastAsia="Cambria Math"/>
          <w:vertAlign w:val="baseline"/>
        </w:rPr>
        <w:tab/>
      </w:r>
      <w:r>
        <w:rPr>
          <w:spacing w:val="-1"/>
          <w:w w:val="100"/>
          <w:vertAlign w:val="baseline"/>
        </w:rPr>
        <w:t>是</w:t>
      </w:r>
      <w:r>
        <w:rPr>
          <w:spacing w:val="-3"/>
          <w:w w:val="100"/>
          <w:vertAlign w:val="baseline"/>
        </w:rPr>
        <w:t>资</w:t>
      </w:r>
      <w:r>
        <w:rPr>
          <w:w w:val="100"/>
          <w:vertAlign w:val="baseline"/>
        </w:rPr>
        <w:t>产</w:t>
      </w:r>
      <w:r>
        <w:rPr>
          <w:vertAlign w:val="baseline"/>
        </w:rPr>
        <w:t> </w:t>
      </w:r>
      <w:r>
        <w:rPr>
          <w:rFonts w:ascii="Cambria Math" w:eastAsia="Cambria Math"/>
          <w:w w:val="31"/>
          <w:vertAlign w:val="baseline"/>
        </w:rPr>
        <w:t/>
      </w:r>
      <w:r>
        <w:rPr>
          <w:rFonts w:ascii="Cambria Math" w:eastAsia="Cambria Math"/>
          <w:vertAlign w:val="baseline"/>
        </w:rPr>
        <w:t> </w:t>
      </w:r>
      <w:r>
        <w:rPr>
          <w:rFonts w:ascii="Cambria Math" w:eastAsia="Cambria Math"/>
          <w:spacing w:val="13"/>
          <w:vertAlign w:val="baseline"/>
        </w:rPr>
        <w:t> </w:t>
      </w:r>
      <w:r>
        <w:rPr>
          <w:spacing w:val="-1"/>
          <w:w w:val="100"/>
          <w:vertAlign w:val="baseline"/>
        </w:rPr>
        <w:t>趋</w:t>
      </w:r>
      <w:r>
        <w:rPr>
          <w:spacing w:val="-3"/>
          <w:w w:val="100"/>
          <w:vertAlign w:val="baseline"/>
        </w:rPr>
        <w:t>势</w:t>
      </w:r>
      <w:r>
        <w:rPr>
          <w:spacing w:val="-1"/>
          <w:w w:val="100"/>
          <w:vertAlign w:val="baseline"/>
        </w:rPr>
        <w:t>策略</w:t>
      </w:r>
      <w:r>
        <w:rPr>
          <w:spacing w:val="-3"/>
          <w:w w:val="100"/>
          <w:vertAlign w:val="baseline"/>
        </w:rPr>
        <w:t>超</w:t>
      </w:r>
      <w:r>
        <w:rPr>
          <w:spacing w:val="-1"/>
          <w:w w:val="100"/>
          <w:vertAlign w:val="baseline"/>
        </w:rPr>
        <w:t>额收</w:t>
      </w:r>
      <w:r>
        <w:rPr>
          <w:spacing w:val="-3"/>
          <w:w w:val="100"/>
          <w:vertAlign w:val="baseline"/>
        </w:rPr>
        <w:t>益</w:t>
      </w:r>
      <w:r>
        <w:rPr>
          <w:w w:val="100"/>
          <w:vertAlign w:val="baseline"/>
        </w:rPr>
        <w:t>的</w:t>
      </w:r>
    </w:p>
    <w:p>
      <w:pPr>
        <w:tabs>
          <w:tab w:pos="3838" w:val="left" w:leader="none"/>
        </w:tabs>
        <w:spacing w:before="0"/>
        <w:ind w:left="58" w:right="0" w:firstLine="0"/>
        <w:jc w:val="center"/>
        <w:rPr>
          <w:rFonts w:ascii="Cambria Math" w:eastAsia="Cambria Math"/>
          <w:sz w:val="16"/>
        </w:rPr>
      </w:pP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r>
        <w:rPr>
          <w:rFonts w:ascii="Cambria Math" w:eastAsia="Cambria Math"/>
          <w:sz w:val="16"/>
        </w:rPr>
        <w:tab/>
      </w: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p>
      <w:pPr>
        <w:pStyle w:val="BodyText"/>
        <w:spacing w:before="3"/>
        <w:rPr>
          <w:rFonts w:ascii="Cambria Math"/>
          <w:sz w:val="11"/>
        </w:rPr>
      </w:pPr>
    </w:p>
    <w:p>
      <w:pPr>
        <w:pStyle w:val="BodyText"/>
        <w:spacing w:before="59"/>
        <w:ind w:left="2951"/>
      </w:pPr>
      <w:r>
        <w:rPr/>
        <w:t>年化标准差。</w:t>
      </w:r>
    </w:p>
    <w:p>
      <w:pPr>
        <w:pStyle w:val="BodyText"/>
        <w:spacing w:before="9"/>
        <w:rPr>
          <w:sz w:val="20"/>
        </w:rPr>
      </w:pPr>
    </w:p>
    <w:p>
      <w:pPr>
        <w:pStyle w:val="BodyText"/>
        <w:spacing w:line="331" w:lineRule="auto"/>
        <w:ind w:left="2951" w:right="497"/>
        <w:jc w:val="both"/>
      </w:pPr>
      <w:r>
        <w:rPr>
          <w:spacing w:val="-8"/>
        </w:rPr>
        <w:t>回到图 </w:t>
      </w:r>
      <w:r>
        <w:rPr/>
        <w:t>9，1880</w:t>
      </w:r>
      <w:r>
        <w:rPr>
          <w:spacing w:val="-13"/>
        </w:rPr>
        <w:t> 年</w:t>
      </w:r>
      <w:r>
        <w:rPr/>
        <w:t>~2009</w:t>
      </w:r>
      <w:r>
        <w:rPr>
          <w:spacing w:val="-8"/>
        </w:rPr>
        <w:t> 年的回归系数与 </w:t>
      </w:r>
      <w:r>
        <w:rPr/>
        <w:t>2010</w:t>
      </w:r>
      <w:r>
        <w:rPr>
          <w:spacing w:val="-11"/>
        </w:rPr>
        <w:t> 年</w:t>
      </w:r>
      <w:r>
        <w:rPr/>
        <w:t>~2018</w:t>
      </w:r>
      <w:r>
        <w:rPr>
          <w:spacing w:val="-5"/>
        </w:rPr>
        <w:t> 年的回归系数非常接近，</w:t>
      </w:r>
      <w:r>
        <w:rPr>
          <w:spacing w:val="-107"/>
        </w:rPr>
        <w:t> </w:t>
      </w:r>
      <w:r>
        <w:rPr/>
        <w:t>趋势策略从给定的市场有效波动中获利的能力并没有🎧现显著降低。因此，AQR</w:t>
      </w:r>
      <w:r>
        <w:rPr>
          <w:spacing w:val="-19"/>
        </w:rPr>
        <w:t> 认</w:t>
      </w:r>
      <w:r>
        <w:rPr>
          <w:w w:val="105"/>
        </w:rPr>
        <w:t>为趋势跟踪策略仍旧有效，只是市场环境不够友好。</w:t>
      </w:r>
    </w:p>
    <w:p>
      <w:pPr>
        <w:pStyle w:val="BodyText"/>
        <w:spacing w:line="331" w:lineRule="auto" w:before="158"/>
        <w:ind w:left="2951" w:right="497"/>
        <w:jc w:val="both"/>
      </w:pPr>
      <w:r>
        <w:rPr>
          <w:spacing w:val="-1"/>
        </w:rPr>
        <w:t>同样的，我们在国内也进行了实证。由于国内市场时间较短，我们这里做了简单修改，即不将底层资产加权平均，而直接探讨趋势策略在给定的单一资产有效波动中</w:t>
      </w:r>
      <w:r>
        <w:rPr/>
        <w:t>获利的能力。</w:t>
      </w:r>
    </w:p>
    <w:p>
      <w:pPr>
        <w:pStyle w:val="BodyText"/>
        <w:spacing w:before="161"/>
        <w:ind w:left="2951"/>
        <w:jc w:val="both"/>
      </w:pPr>
      <w:r>
        <w:rPr>
          <w:spacing w:val="-3"/>
        </w:rPr>
        <w:t>从结果来看，2022</w:t>
      </w:r>
      <w:r>
        <w:rPr>
          <w:spacing w:val="-28"/>
        </w:rPr>
        <w:t> 年</w:t>
      </w:r>
      <w:r>
        <w:rPr>
          <w:spacing w:val="-2"/>
        </w:rPr>
        <w:t>（紫线）的策略适用性相比其他年份明显偏弱，基本没有体现</w:t>
      </w:r>
    </w:p>
    <w:p>
      <w:pPr>
        <w:pStyle w:val="BodyText"/>
        <w:spacing w:line="333" w:lineRule="auto" w:before="106"/>
        <w:ind w:left="2951" w:right="499"/>
        <w:jc w:val="both"/>
      </w:pPr>
      <w:r>
        <w:rPr/>
        <w:t>🎧</w:t>
      </w:r>
      <w:r>
        <w:rPr>
          <w:spacing w:val="-2"/>
        </w:rPr>
        <w:t>趋势策略的有效性。但 </w:t>
      </w:r>
      <w:r>
        <w:rPr/>
        <w:t>2023</w:t>
      </w:r>
      <w:r>
        <w:rPr>
          <w:spacing w:val="-4"/>
        </w:rPr>
        <w:t> 年以来，策略的适用性快速恢复，特别是在有效波</w:t>
      </w:r>
      <w:r>
        <w:rPr>
          <w:w w:val="105"/>
        </w:rPr>
        <w:t>动较大的品种上，策略更为强健。</w:t>
      </w:r>
    </w:p>
    <w:p>
      <w:pPr>
        <w:pStyle w:val="BodyText"/>
        <w:spacing w:before="153"/>
        <w:ind w:left="2951"/>
        <w:jc w:val="both"/>
      </w:pPr>
      <w:r>
        <w:rPr>
          <w:spacing w:val="-2"/>
        </w:rPr>
        <w:t>我们认为趋势策略本身长期有效，在 </w:t>
      </w:r>
      <w:r>
        <w:rPr/>
        <w:t>2023</w:t>
      </w:r>
      <w:r>
        <w:rPr>
          <w:spacing w:val="-5"/>
        </w:rPr>
        <w:t> 年，管理人应抓大放小，充分利用好市</w:t>
      </w:r>
    </w:p>
    <w:p>
      <w:pPr>
        <w:spacing w:after="0"/>
        <w:jc w:val="both"/>
        <w:sectPr>
          <w:type w:val="continuous"/>
          <w:pgSz w:w="11910" w:h="16840"/>
          <w:pgMar w:top="200" w:bottom="280" w:left="320" w:right="220"/>
        </w:sectPr>
      </w:pPr>
    </w:p>
    <w:p>
      <w:pPr>
        <w:pStyle w:val="BodyText"/>
        <w:spacing w:before="5"/>
        <w:rPr>
          <w:sz w:val="15"/>
        </w:rPr>
      </w:pPr>
    </w:p>
    <w:p>
      <w:pPr>
        <w:pStyle w:val="BodyText"/>
        <w:spacing w:before="60"/>
        <w:ind w:left="2951"/>
      </w:pPr>
      <w:r>
        <w:rPr/>
        <w:t>场的有效波动。</w:t>
      </w:r>
    </w:p>
    <w:p>
      <w:pPr>
        <w:spacing w:before="154"/>
        <w:ind w:left="4429" w:right="0" w:firstLine="0"/>
        <w:jc w:val="left"/>
        <w:rPr>
          <w:rFonts w:ascii="Microsoft JhengHei" w:eastAsia="Microsoft JhengHei" w:hint="eastAsia"/>
          <w:b/>
          <w:sz w:val="20"/>
        </w:rPr>
      </w:pPr>
      <w:r>
        <w:rPr/>
        <w:drawing>
          <wp:anchor distT="0" distB="0" distL="0" distR="0" allowOverlap="1" layoutInCell="1" locked="0" behindDoc="0" simplePos="0" relativeHeight="44">
            <wp:simplePos x="0" y="0"/>
            <wp:positionH relativeFrom="page">
              <wp:posOffset>2170137</wp:posOffset>
            </wp:positionH>
            <wp:positionV relativeFrom="paragraph">
              <wp:posOffset>409193</wp:posOffset>
            </wp:positionV>
            <wp:extent cx="4198841" cy="2798064"/>
            <wp:effectExtent l="0" t="0" r="0" b="0"/>
            <wp:wrapTopAndBottom/>
            <wp:docPr id="5" name="image14.jpeg"/>
            <wp:cNvGraphicFramePr>
              <a:graphicFrameLocks noChangeAspect="1"/>
            </wp:cNvGraphicFramePr>
            <a:graphic>
              <a:graphicData uri="http://schemas.openxmlformats.org/drawingml/2006/picture">
                <pic:pic>
                  <pic:nvPicPr>
                    <pic:cNvPr id="6" name="image14.jpeg"/>
                    <pic:cNvPicPr/>
                  </pic:nvPicPr>
                  <pic:blipFill>
                    <a:blip r:embed="rId22" cstate="print"/>
                    <a:stretch>
                      <a:fillRect/>
                    </a:stretch>
                  </pic:blipFill>
                  <pic:spPr>
                    <a:xfrm>
                      <a:off x="0" y="0"/>
                      <a:ext cx="4198841" cy="2798064"/>
                    </a:xfrm>
                    <a:prstGeom prst="rect">
                      <a:avLst/>
                    </a:prstGeom>
                  </pic:spPr>
                </pic:pic>
              </a:graphicData>
            </a:graphic>
          </wp:anchor>
        </w:drawing>
      </w:r>
      <w:r>
        <w:rPr/>
        <w:drawing>
          <wp:anchor distT="0" distB="0" distL="0" distR="0" allowOverlap="1" layoutInCell="1" locked="0" behindDoc="0" simplePos="0" relativeHeight="45">
            <wp:simplePos x="0" y="0"/>
            <wp:positionH relativeFrom="page">
              <wp:posOffset>6592247</wp:posOffset>
            </wp:positionH>
            <wp:positionV relativeFrom="paragraph">
              <wp:posOffset>1573508</wp:posOffset>
            </wp:positionV>
            <wp:extent cx="345784" cy="720090"/>
            <wp:effectExtent l="0" t="0" r="0" b="0"/>
            <wp:wrapTopAndBottom/>
            <wp:docPr id="7" name="image15.jpeg"/>
            <wp:cNvGraphicFramePr>
              <a:graphicFrameLocks noChangeAspect="1"/>
            </wp:cNvGraphicFramePr>
            <a:graphic>
              <a:graphicData uri="http://schemas.openxmlformats.org/drawingml/2006/picture">
                <pic:pic>
                  <pic:nvPicPr>
                    <pic:cNvPr id="8" name="image15.jpeg"/>
                    <pic:cNvPicPr/>
                  </pic:nvPicPr>
                  <pic:blipFill>
                    <a:blip r:embed="rId23" cstate="print"/>
                    <a:stretch>
                      <a:fillRect/>
                    </a:stretch>
                  </pic:blipFill>
                  <pic:spPr>
                    <a:xfrm>
                      <a:off x="0" y="0"/>
                      <a:ext cx="345784" cy="720090"/>
                    </a:xfrm>
                    <a:prstGeom prst="rect">
                      <a:avLst/>
                    </a:prstGeom>
                  </pic:spPr>
                </pic:pic>
              </a:graphicData>
            </a:graphic>
          </wp:anchor>
        </w:drawing>
      </w:r>
      <w:r>
        <w:rPr/>
        <w:pict>
          <v:line style="position:absolute;mso-position-horizontal-relative:page;mso-position-vertical-relative:paragraph;z-index:15752704" from="153.699997pt,25.321796pt" to="564.699997pt,25.321796pt" stroked="true" strokeweight=".96pt" strokecolor="#c06363">
            <v:stroke dashstyle="solid"/>
            <w10:wrap type="none"/>
          </v:line>
        </w:pict>
      </w:r>
      <w:r>
        <w:rPr>
          <w:rFonts w:ascii="Microsoft JhengHei" w:eastAsia="Microsoft JhengHei" w:hint="eastAsia"/>
          <w:b/>
          <w:spacing w:val="19"/>
          <w:sz w:val="20"/>
        </w:rPr>
        <w:t>图 </w:t>
      </w:r>
      <w:r>
        <w:rPr>
          <w:rFonts w:ascii="Microsoft JhengHei" w:eastAsia="Microsoft JhengHei" w:hint="eastAsia"/>
          <w:b/>
          <w:sz w:val="20"/>
        </w:rPr>
        <w:t>10</w:t>
      </w:r>
      <w:bookmarkStart w:name="_bookmark23" w:id="40"/>
      <w:bookmarkEnd w:id="40"/>
      <w:r>
        <w:rPr>
          <w:rFonts w:ascii="Microsoft JhengHei" w:eastAsia="Microsoft JhengHei" w:hint="eastAsia"/>
          <w:b/>
          <w:sz w:val="20"/>
        </w:rPr>
        <w:t>: 国内各品种有效波动与趋势策略夏普丨单位：无</w:t>
      </w:r>
    </w:p>
    <w:p>
      <w:pPr>
        <w:pStyle w:val="BodyText"/>
        <w:spacing w:before="1"/>
        <w:rPr>
          <w:rFonts w:ascii="Microsoft JhengHei"/>
          <w:b/>
          <w:sz w:val="3"/>
        </w:rPr>
      </w:pPr>
    </w:p>
    <w:p>
      <w:pPr>
        <w:pStyle w:val="BodyText"/>
        <w:spacing w:line="20" w:lineRule="exact"/>
        <w:ind w:left="2744"/>
        <w:rPr>
          <w:rFonts w:ascii="Microsoft JhengHei"/>
          <w:sz w:val="2"/>
        </w:rPr>
      </w:pPr>
      <w:r>
        <w:rPr>
          <w:rFonts w:ascii="Microsoft JhengHei"/>
          <w:sz w:val="2"/>
        </w:rPr>
        <w:pict>
          <v:group style="width:411pt;height:1pt;mso-position-horizontal-relative:char;mso-position-vertical-relative:line" coordorigin="0,0" coordsize="8220,20">
            <v:line style="position:absolute" from="0,10" to="8220,10" stroked="true" strokeweight=".96pt" strokecolor="#c06363">
              <v:stroke dashstyle="solid"/>
            </v:line>
          </v:group>
        </w:pict>
      </w:r>
      <w:r>
        <w:rPr>
          <w:rFonts w:ascii="Microsoft JhengHei"/>
          <w:sz w:val="2"/>
        </w:rPr>
      </w:r>
    </w:p>
    <w:p>
      <w:pPr>
        <w:spacing w:before="43"/>
        <w:ind w:left="2862" w:right="0" w:firstLine="0"/>
        <w:jc w:val="left"/>
        <w:rPr>
          <w:sz w:val="16"/>
        </w:rPr>
      </w:pPr>
      <w:r>
        <w:rPr>
          <w:sz w:val="16"/>
        </w:rPr>
        <w:t>数据来源：天软，华泰期货研究院</w:t>
      </w:r>
    </w:p>
    <w:p>
      <w:pPr>
        <w:pStyle w:val="BodyText"/>
        <w:rPr>
          <w:sz w:val="20"/>
        </w:rPr>
      </w:pPr>
    </w:p>
    <w:p>
      <w:pPr>
        <w:pStyle w:val="BodyText"/>
        <w:spacing w:before="3"/>
        <w:rPr>
          <w:sz w:val="27"/>
        </w:rPr>
      </w:pPr>
    </w:p>
    <w:p>
      <w:pPr>
        <w:pStyle w:val="Heading2"/>
        <w:numPr>
          <w:ilvl w:val="2"/>
          <w:numId w:val="1"/>
        </w:numPr>
        <w:tabs>
          <w:tab w:pos="3340" w:val="left" w:leader="none"/>
        </w:tabs>
        <w:spacing w:line="403" w:lineRule="exact" w:before="0" w:after="0"/>
        <w:ind w:left="3340" w:right="0" w:hanging="389"/>
        <w:jc w:val="left"/>
      </w:pPr>
      <w:bookmarkStart w:name="■分散性收益" w:id="41"/>
      <w:bookmarkEnd w:id="41"/>
      <w:r>
        <w:rPr>
          <w:b w:val="0"/>
        </w:rPr>
      </w:r>
      <w:bookmarkStart w:name="_bookmark24" w:id="42"/>
      <w:bookmarkEnd w:id="42"/>
      <w:r>
        <w:rPr>
          <w:b w:val="0"/>
        </w:rPr>
      </w:r>
      <w:bookmarkStart w:name="_bookmark24" w:id="43"/>
      <w:bookmarkEnd w:id="43"/>
      <w:r>
        <w:rPr>
          <w:color w:val="C00000"/>
          <w:spacing w:val="-1"/>
        </w:rPr>
        <w:t>分散性收益</w:t>
      </w:r>
    </w:p>
    <w:p>
      <w:pPr>
        <w:pStyle w:val="BodyText"/>
        <w:spacing w:line="331" w:lineRule="auto" w:before="210"/>
        <w:ind w:left="2951" w:right="540"/>
        <w:jc w:val="both"/>
      </w:pPr>
      <w:r>
        <w:rPr/>
        <w:t>最后，AQR</w:t>
      </w:r>
      <w:r>
        <w:rPr>
          <w:spacing w:val="3"/>
        </w:rPr>
        <w:t> 提到了资产间的分散性也是影响</w:t>
      </w:r>
      <w:r>
        <w:rPr/>
        <w:t>CTA 表现的重要因素之一。AQR</w:t>
      </w:r>
      <w:r>
        <w:rPr>
          <w:spacing w:val="2"/>
        </w:rPr>
        <w:t> 将分</w:t>
      </w:r>
      <w:r>
        <w:rPr>
          <w:spacing w:val="13"/>
        </w:rPr>
        <w:t>散化乘数</w:t>
      </w:r>
      <w:r>
        <w:rPr/>
        <w:t>D</w:t>
      </w:r>
      <w:r>
        <w:rPr>
          <w:spacing w:val="-9"/>
        </w:rPr>
        <w:t> 定义为所有资产的趋势策略组合的夏普比率 </w:t>
      </w:r>
      <w:r>
        <w:rPr/>
        <w:t>SR</w:t>
      </w:r>
      <w:r>
        <w:rPr>
          <w:spacing w:val="-7"/>
        </w:rPr>
        <w:t> 除以所有资产单独趋势</w:t>
      </w:r>
      <w:r>
        <w:rPr>
          <w:w w:val="115"/>
        </w:rPr>
        <w:t>策略夏普比率的加权平均值&lt;SR&gt;所获得的结果。</w:t>
      </w:r>
    </w:p>
    <w:p>
      <w:pPr>
        <w:pStyle w:val="BodyText"/>
        <w:spacing w:line="331" w:lineRule="auto" w:before="158"/>
        <w:ind w:left="2951" w:right="492"/>
        <w:jc w:val="both"/>
      </w:pPr>
      <w:r>
        <w:rPr>
          <w:spacing w:val="-1"/>
        </w:rPr>
        <w:t>分散化乘数的大小会受到组合中资产之间的相关性大小所影响，资产之间相关性越小，组合的夏普比率相较于单个资产的夏普比率就会越高，分散化乘数就会越大。</w:t>
      </w:r>
      <w:r>
        <w:rPr/>
        <w:t>公式如下：</w:t>
      </w:r>
    </w:p>
    <w:p>
      <w:pPr>
        <w:pStyle w:val="BodyText"/>
        <w:spacing w:before="3"/>
      </w:pPr>
    </w:p>
    <w:p>
      <w:pPr>
        <w:pStyle w:val="BodyText"/>
        <w:tabs>
          <w:tab w:pos="6603" w:val="left" w:leader="none"/>
          <w:tab w:pos="10621" w:val="left" w:leader="none"/>
        </w:tabs>
        <w:ind w:left="5843"/>
      </w:pPr>
      <w:r>
        <w:rPr/>
        <w:pict>
          <v:shape style="position:absolute;margin-left:378.437012pt;margin-top:2.742994pt;width:2.75pt;height:10pt;mso-position-horizontal-relative:page;mso-position-vertical-relative:paragraph;z-index:-16386560" coordorigin="7569,55" coordsize="55,200" path="m7613,255l7569,159,7569,151,7613,55,7624,59,7589,155,7624,251,7613,255xe" filled="true" fillcolor="#000000" stroked="false">
            <v:path arrowok="t"/>
            <v:fill type="solid"/>
            <w10:wrap type="none"/>
          </v:shape>
        </w:pict>
      </w:r>
      <w:r>
        <w:rPr/>
        <w:pict>
          <v:shape style="position:absolute;margin-left:417.196991pt;margin-top:2.742994pt;width:2.75pt;height:10pt;mso-position-horizontal-relative:page;mso-position-vertical-relative:paragraph;z-index:-16386048" coordorigin="8344,55" coordsize="55,200" path="m8355,255l8344,251,8379,155,8344,59,8355,55,8399,151,8399,159,8355,255xe" filled="true" fillcolor="#000000" stroked="false">
            <v:path arrowok="t"/>
            <v:fill type="solid"/>
            <w10:wrap type="none"/>
          </v:shape>
        </w:pict>
      </w:r>
      <w:r>
        <w:rPr/>
        <w:pict>
          <v:shape style="position:absolute;margin-left:321pt;margin-top:5.871921pt;width:21.85pt;height:9.450pt;mso-position-horizontal-relative:page;mso-position-vertical-relative:paragraph;z-index:-16384512" type="#_x0000_t202" filled="false" stroked="false">
            <v:textbox inset="0,0,0,0">
              <w:txbxContent>
                <w:p>
                  <w:pPr>
                    <w:spacing w:before="1"/>
                    <w:ind w:left="0" w:right="0" w:firstLine="0"/>
                    <w:jc w:val="left"/>
                    <w:rPr>
                      <w:rFonts w:ascii="Cambria Math" w:eastAsia="Cambria Math"/>
                      <w:sz w:val="16"/>
                    </w:rPr>
                  </w:pP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txbxContent>
            </v:textbox>
            <w10:wrap type="none"/>
          </v:shape>
        </w:pict>
      </w:r>
      <w:r>
        <w:rPr>
          <w:rFonts w:ascii="Cambria Math" w:hAnsi="Cambria Math" w:eastAsia="Cambria Math"/>
          <w:w w:val="53"/>
        </w:rPr>
        <w:t/>
      </w:r>
      <w:r>
        <w:rPr>
          <w:rFonts w:ascii="Cambria Math" w:hAnsi="Cambria Math" w:eastAsia="Cambria Math"/>
          <w:spacing w:val="-2"/>
          <w:w w:val="100"/>
        </w:rPr>
        <w:t>𝑅</w:t>
      </w:r>
      <w:r>
        <w:rPr>
          <w:rFonts w:ascii="Cambria Math" w:hAnsi="Cambria Math" w:eastAsia="Cambria Math"/>
          <w:w w:val="71"/>
          <w:vertAlign w:val="superscript"/>
        </w:rPr>
        <w:t/>
      </w:r>
      <w:r>
        <w:rPr>
          <w:rFonts w:ascii="Cambria Math" w:hAnsi="Cambria Math" w:eastAsia="Cambria Math"/>
          <w:vertAlign w:val="baseline"/>
        </w:rPr>
        <w:tab/>
      </w:r>
      <w:r>
        <w:rPr>
          <w:rFonts w:ascii="Cambria Math" w:hAnsi="Cambria Math" w:eastAsia="Cambria Math"/>
          <w:w w:val="100"/>
          <w:vertAlign w:val="baseline"/>
        </w:rPr>
        <w:t>=</w:t>
      </w:r>
      <w:r>
        <w:rPr>
          <w:rFonts w:ascii="Cambria Math" w:hAnsi="Cambria Math" w:eastAsia="Cambria Math"/>
          <w:vertAlign w:val="baseline"/>
        </w:rPr>
        <w:t> </w:t>
      </w:r>
      <w:r>
        <w:rPr>
          <w:rFonts w:ascii="Cambria Math" w:hAnsi="Cambria Math" w:eastAsia="Cambria Math"/>
          <w:spacing w:val="11"/>
          <w:vertAlign w:val="baseline"/>
        </w:rPr>
        <w:t> </w:t>
      </w:r>
      <w:r>
        <w:rPr>
          <w:rFonts w:ascii="Cambria Math" w:hAnsi="Cambria Math" w:eastAsia="Cambria Math"/>
          <w:w w:val="69"/>
          <w:vertAlign w:val="baseline"/>
        </w:rPr>
        <w:t/>
      </w:r>
      <w:r>
        <w:rPr>
          <w:rFonts w:ascii="Cambria Math" w:hAnsi="Cambria Math" w:eastAsia="Cambria Math"/>
          <w:vertAlign w:val="baseline"/>
        </w:rPr>
        <w:t> </w:t>
      </w:r>
      <w:r>
        <w:rPr>
          <w:rFonts w:ascii="Cambria Math" w:hAnsi="Cambria Math" w:eastAsia="Cambria Math"/>
          <w:w w:val="100"/>
          <w:vertAlign w:val="baseline"/>
        </w:rPr>
        <w:t>∗</w:t>
      </w:r>
      <w:r>
        <w:rPr>
          <w:rFonts w:ascii="Cambria Math" w:hAnsi="Cambria Math" w:eastAsia="Cambria Math"/>
          <w:vertAlign w:val="baseline"/>
        </w:rPr>
        <w:t>  </w:t>
      </w:r>
      <w:r>
        <w:rPr>
          <w:rFonts w:ascii="Cambria Math" w:hAnsi="Cambria Math" w:eastAsia="Cambria Math"/>
          <w:spacing w:val="-17"/>
          <w:vertAlign w:val="baseline"/>
        </w:rPr>
        <w:t> </w:t>
      </w:r>
      <w:r>
        <w:rPr>
          <w:rFonts w:ascii="Cambria Math" w:hAnsi="Cambria Math" w:eastAsia="Cambria Math"/>
          <w:w w:val="53"/>
          <w:vertAlign w:val="baseline"/>
        </w:rPr>
        <w:t/>
      </w:r>
      <w:r>
        <w:rPr>
          <w:rFonts w:ascii="Cambria Math" w:hAnsi="Cambria Math" w:eastAsia="Cambria Math"/>
          <w:spacing w:val="-5"/>
          <w:w w:val="100"/>
          <w:vertAlign w:val="baseline"/>
        </w:rPr>
        <w:t>𝑅</w:t>
      </w:r>
      <w:r>
        <w:rPr>
          <w:rFonts w:ascii="Cambria Math" w:hAnsi="Cambria Math" w:eastAsia="Cambria Math"/>
          <w:w w:val="68"/>
          <w:vertAlign w:val="subscript"/>
        </w:rPr>
        <w:t/>
      </w:r>
      <w:r>
        <w:rPr>
          <w:rFonts w:ascii="Cambria Math" w:hAnsi="Cambria Math" w:eastAsia="Cambria Math"/>
          <w:spacing w:val="-3"/>
          <w:w w:val="55"/>
          <w:vertAlign w:val="subscript"/>
        </w:rPr>
        <w:t/>
      </w:r>
      <w:r>
        <w:rPr>
          <w:rFonts w:ascii="Cambria Math" w:hAnsi="Cambria Math" w:eastAsia="Cambria Math"/>
          <w:spacing w:val="-1"/>
          <w:w w:val="57"/>
          <w:vertAlign w:val="subscript"/>
        </w:rPr>
        <w:t/>
      </w:r>
      <w:r>
        <w:rPr>
          <w:rFonts w:ascii="Cambria Math" w:hAnsi="Cambria Math" w:eastAsia="Cambria Math"/>
          <w:spacing w:val="1"/>
          <w:w w:val="115"/>
          <w:vertAlign w:val="subscript"/>
        </w:rPr>
        <w:t>𝑛</w:t>
      </w:r>
      <w:r>
        <w:rPr>
          <w:rFonts w:ascii="Cambria Math" w:hAnsi="Cambria Math" w:eastAsia="Cambria Math"/>
          <w:w w:val="67"/>
          <w:vertAlign w:val="subscript"/>
        </w:rPr>
        <w:t/>
      </w:r>
      <w:r>
        <w:rPr>
          <w:rFonts w:ascii="Cambria Math" w:hAnsi="Cambria Math" w:eastAsia="Cambria Math"/>
          <w:vertAlign w:val="baseline"/>
        </w:rPr>
        <w:tab/>
      </w:r>
      <w:r>
        <w:rPr>
          <w:w w:val="58"/>
          <w:vertAlign w:val="baseline"/>
        </w:rPr>
        <w:t>(</w:t>
      </w:r>
      <w:r>
        <w:rPr>
          <w:spacing w:val="-2"/>
          <w:w w:val="105"/>
          <w:vertAlign w:val="baseline"/>
        </w:rPr>
        <w:t>8</w:t>
      </w:r>
      <w:r>
        <w:rPr>
          <w:w w:val="58"/>
          <w:vertAlign w:val="baseline"/>
        </w:rPr>
        <w:t>)</w:t>
      </w:r>
    </w:p>
    <w:p>
      <w:pPr>
        <w:pStyle w:val="BodyText"/>
        <w:rPr>
          <w:sz w:val="29"/>
        </w:rPr>
      </w:pPr>
    </w:p>
    <w:p>
      <w:pPr>
        <w:spacing w:after="0"/>
        <w:rPr>
          <w:sz w:val="29"/>
        </w:rPr>
        <w:sectPr>
          <w:pgSz w:w="11910" w:h="16840"/>
          <w:pgMar w:header="948" w:footer="0" w:top="1460" w:bottom="280" w:left="320" w:right="220"/>
        </w:sectPr>
      </w:pPr>
    </w:p>
    <w:p>
      <w:pPr>
        <w:pStyle w:val="BodyText"/>
        <w:tabs>
          <w:tab w:pos="7391" w:val="left" w:leader="none"/>
        </w:tabs>
        <w:spacing w:before="127"/>
        <w:ind w:left="2951"/>
      </w:pPr>
      <w:r>
        <w:rPr/>
        <w:pict>
          <v:shape style="position:absolute;margin-left:186.199997pt;margin-top:9.042994pt;width:2.75pt;height:10pt;mso-position-horizontal-relative:page;mso-position-vertical-relative:paragraph;z-index:-16385536" coordorigin="3724,181" coordsize="55,200" path="m3768,381l3724,285,3724,277,3768,181,3779,185,3744,281,3779,377,3768,381xe" filled="true" fillcolor="#000000" stroked="false">
            <v:path arrowok="t"/>
            <v:fill type="solid"/>
            <w10:wrap type="none"/>
          </v:shape>
        </w:pict>
      </w:r>
      <w:r>
        <w:rPr/>
        <w:pict>
          <v:shape style="position:absolute;margin-left:224.996994pt;margin-top:9.042994pt;width:2.75pt;height:10pt;mso-position-horizontal-relative:page;mso-position-vertical-relative:paragraph;z-index:-16385024" coordorigin="4500,181" coordsize="55,200" path="m4511,381l4500,377,4535,281,4500,185,4511,181,4555,277,4555,285,4511,381xe" filled="true" fillcolor="#000000" stroked="false">
            <v:path arrowok="t"/>
            <v:fill type="solid"/>
            <w10:wrap type="none"/>
          </v:shape>
        </w:pict>
      </w:r>
      <w:r>
        <w:rPr/>
        <w:pict>
          <v:shape style="position:absolute;margin-left:363.359009pt;margin-top:12.221921pt;width:21.85pt;height:9.450pt;mso-position-horizontal-relative:page;mso-position-vertical-relative:paragraph;z-index:-16384000" type="#_x0000_t202" filled="false" stroked="false">
            <v:textbox inset="0,0,0,0">
              <w:txbxContent>
                <w:p>
                  <w:pPr>
                    <w:spacing w:before="1"/>
                    <w:ind w:left="0" w:right="0" w:firstLine="0"/>
                    <w:jc w:val="left"/>
                    <w:rPr>
                      <w:rFonts w:ascii="Cambria Math" w:eastAsia="Cambria Math"/>
                      <w:sz w:val="16"/>
                    </w:rPr>
                  </w:pP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txbxContent>
            </v:textbox>
            <w10:wrap type="none"/>
          </v:shape>
        </w:pict>
      </w:r>
      <w:r>
        <w:rPr>
          <w:spacing w:val="-1"/>
          <w:w w:val="100"/>
        </w:rPr>
        <w:t>其</w:t>
      </w:r>
      <w:r>
        <w:rPr>
          <w:w w:val="100"/>
        </w:rPr>
        <w:t>中</w:t>
      </w:r>
      <w:r>
        <w:rPr>
          <w:spacing w:val="-34"/>
        </w:rPr>
        <w:t> </w:t>
      </w:r>
      <w:r>
        <w:rPr>
          <w:rFonts w:ascii="Cambria Math" w:eastAsia="Cambria Math"/>
          <w:w w:val="53"/>
        </w:rPr>
        <w:t/>
      </w:r>
      <w:r>
        <w:rPr>
          <w:rFonts w:ascii="Cambria Math" w:eastAsia="Cambria Math"/>
          <w:spacing w:val="-2"/>
          <w:w w:val="100"/>
        </w:rPr>
        <w:t>𝑅</w:t>
      </w:r>
      <w:r>
        <w:rPr>
          <w:rFonts w:ascii="Cambria Math" w:eastAsia="Cambria Math"/>
          <w:w w:val="68"/>
          <w:vertAlign w:val="subscript"/>
        </w:rPr>
        <w:t/>
      </w:r>
      <w:r>
        <w:rPr>
          <w:rFonts w:ascii="Cambria Math" w:eastAsia="Cambria Math"/>
          <w:spacing w:val="-3"/>
          <w:w w:val="55"/>
          <w:vertAlign w:val="subscript"/>
        </w:rPr>
        <w:t/>
      </w:r>
      <w:r>
        <w:rPr>
          <w:rFonts w:ascii="Cambria Math" w:eastAsia="Cambria Math"/>
          <w:spacing w:val="-1"/>
          <w:w w:val="57"/>
          <w:vertAlign w:val="subscript"/>
        </w:rPr>
        <w:t/>
      </w:r>
      <w:r>
        <w:rPr>
          <w:rFonts w:ascii="Cambria Math" w:eastAsia="Cambria Math"/>
          <w:spacing w:val="1"/>
          <w:w w:val="115"/>
          <w:vertAlign w:val="subscript"/>
        </w:rPr>
        <w:t>𝑛</w:t>
      </w:r>
      <w:r>
        <w:rPr>
          <w:rFonts w:ascii="Cambria Math" w:eastAsia="Cambria Math"/>
          <w:w w:val="67"/>
          <w:vertAlign w:val="subscript"/>
        </w:rPr>
        <w:t/>
      </w:r>
      <w:r>
        <w:rPr>
          <w:rFonts w:ascii="Cambria Math" w:eastAsia="Cambria Math"/>
          <w:vertAlign w:val="baseline"/>
        </w:rPr>
        <w:t> </w:t>
      </w:r>
      <w:r>
        <w:rPr>
          <w:rFonts w:ascii="Cambria Math" w:eastAsia="Cambria Math"/>
          <w:spacing w:val="-13"/>
          <w:vertAlign w:val="baseline"/>
        </w:rPr>
        <w:t> </w:t>
      </w:r>
      <w:r>
        <w:rPr>
          <w:spacing w:val="-1"/>
          <w:w w:val="100"/>
          <w:vertAlign w:val="baseline"/>
        </w:rPr>
        <w:t>可</w:t>
      </w:r>
      <w:r>
        <w:rPr>
          <w:spacing w:val="-3"/>
          <w:w w:val="100"/>
          <w:vertAlign w:val="baseline"/>
        </w:rPr>
        <w:t>以</w:t>
      </w:r>
      <w:r>
        <w:rPr>
          <w:spacing w:val="-1"/>
          <w:w w:val="100"/>
          <w:vertAlign w:val="baseline"/>
        </w:rPr>
        <w:t>由公式</w:t>
      </w:r>
      <w:r>
        <w:rPr>
          <w:spacing w:val="-3"/>
          <w:w w:val="58"/>
          <w:vertAlign w:val="baseline"/>
        </w:rPr>
        <w:t>(</w:t>
      </w:r>
      <w:r>
        <w:rPr>
          <w:spacing w:val="-2"/>
          <w:w w:val="105"/>
          <w:vertAlign w:val="baseline"/>
        </w:rPr>
        <w:t>5</w:t>
      </w:r>
      <w:r>
        <w:rPr>
          <w:w w:val="58"/>
          <w:vertAlign w:val="baseline"/>
        </w:rPr>
        <w:t>)</w:t>
      </w:r>
      <w:r>
        <w:rPr>
          <w:spacing w:val="-1"/>
          <w:w w:val="100"/>
          <w:vertAlign w:val="baseline"/>
        </w:rPr>
        <w:t>计</w:t>
      </w:r>
      <w:r>
        <w:rPr>
          <w:spacing w:val="-3"/>
          <w:w w:val="100"/>
          <w:vertAlign w:val="baseline"/>
        </w:rPr>
        <w:t>算</w:t>
      </w:r>
      <w:r>
        <w:rPr>
          <w:spacing w:val="-1"/>
          <w:w w:val="100"/>
          <w:vertAlign w:val="baseline"/>
        </w:rPr>
        <w:t>得来，</w:t>
      </w:r>
      <w:r>
        <w:rPr>
          <w:rFonts w:ascii="Cambria Math" w:eastAsia="Cambria Math"/>
          <w:w w:val="53"/>
          <w:vertAlign w:val="baseline"/>
        </w:rPr>
        <w:t/>
      </w:r>
      <w:r>
        <w:rPr>
          <w:rFonts w:ascii="Cambria Math" w:eastAsia="Cambria Math"/>
          <w:spacing w:val="-5"/>
          <w:w w:val="100"/>
          <w:vertAlign w:val="baseline"/>
        </w:rPr>
        <w:t>𝑅</w:t>
      </w:r>
      <w:r>
        <w:rPr>
          <w:rFonts w:ascii="Cambria Math" w:eastAsia="Cambria Math"/>
          <w:w w:val="71"/>
          <w:vertAlign w:val="superscript"/>
        </w:rPr>
        <w:t/>
      </w:r>
      <w:r>
        <w:rPr>
          <w:rFonts w:ascii="Cambria Math" w:eastAsia="Cambria Math"/>
          <w:vertAlign w:val="baseline"/>
        </w:rPr>
        <w:tab/>
      </w:r>
      <w:r>
        <w:rPr>
          <w:spacing w:val="-1"/>
          <w:w w:val="100"/>
          <w:vertAlign w:val="baseline"/>
        </w:rPr>
        <w:t>的</w:t>
      </w:r>
      <w:r>
        <w:rPr>
          <w:spacing w:val="-3"/>
          <w:w w:val="100"/>
          <w:vertAlign w:val="baseline"/>
        </w:rPr>
        <w:t>计</w:t>
      </w:r>
      <w:r>
        <w:rPr>
          <w:spacing w:val="-1"/>
          <w:w w:val="100"/>
          <w:vertAlign w:val="baseline"/>
        </w:rPr>
        <w:t>算公</w:t>
      </w:r>
      <w:r>
        <w:rPr>
          <w:spacing w:val="-3"/>
          <w:w w:val="100"/>
          <w:vertAlign w:val="baseline"/>
        </w:rPr>
        <w:t>式</w:t>
      </w:r>
      <w:r>
        <w:rPr>
          <w:spacing w:val="-1"/>
          <w:w w:val="100"/>
          <w:vertAlign w:val="baseline"/>
        </w:rPr>
        <w:t>如下</w:t>
      </w:r>
      <w:r>
        <w:rPr>
          <w:spacing w:val="-16"/>
          <w:w w:val="100"/>
          <w:vertAlign w:val="baseline"/>
        </w:rPr>
        <w:t>：</w:t>
      </w:r>
    </w:p>
    <w:p>
      <w:pPr>
        <w:pStyle w:val="BodyText"/>
        <w:spacing w:before="12"/>
        <w:rPr>
          <w:sz w:val="30"/>
        </w:rPr>
      </w:pPr>
    </w:p>
    <w:p>
      <w:pPr>
        <w:pStyle w:val="BodyText"/>
        <w:tabs>
          <w:tab w:pos="758" w:val="left" w:leader="none"/>
        </w:tabs>
        <w:spacing w:line="226" w:lineRule="exact"/>
        <w:ind w:right="1777"/>
        <w:jc w:val="right"/>
        <w:rPr>
          <w:rFonts w:ascii="Cambria Math" w:eastAsia="Cambria Math"/>
          <w:sz w:val="13"/>
        </w:rPr>
      </w:pPr>
      <w:r>
        <w:rPr/>
        <w:pict>
          <v:shape style="position:absolute;margin-left:380.640015pt;margin-top:5.800006pt;width:17.7pt;height:7.65pt;mso-position-horizontal-relative:page;mso-position-vertical-relative:paragraph;z-index:-16383488" type="#_x0000_t202" filled="false" stroked="false">
            <v:textbox inset="0,0,0,0">
              <w:txbxContent>
                <w:p>
                  <w:pPr>
                    <w:spacing w:before="0"/>
                    <w:ind w:left="0" w:right="0" w:firstLine="0"/>
                    <w:jc w:val="left"/>
                    <w:rPr>
                      <w:rFonts w:ascii="Cambria Math" w:eastAsia="Cambria Math"/>
                      <w:sz w:val="13"/>
                    </w:rPr>
                  </w:pPr>
                  <w:r>
                    <w:rPr>
                      <w:rFonts w:ascii="Cambria Math" w:eastAsia="Cambria Math"/>
                      <w:spacing w:val="-1"/>
                      <w:w w:val="59"/>
                      <w:sz w:val="13"/>
                      <w:u w:val="single"/>
                    </w:rPr>
                    <w:t/>
                  </w:r>
                  <w:r>
                    <w:rPr>
                      <w:rFonts w:ascii="Cambria Math" w:eastAsia="Cambria Math"/>
                      <w:w w:val="47"/>
                      <w:sz w:val="13"/>
                      <w:u w:val="single"/>
                    </w:rPr>
                    <w:t/>
                  </w:r>
                  <w:r>
                    <w:rPr>
                      <w:rFonts w:ascii="Cambria Math" w:eastAsia="Cambria Math"/>
                      <w:w w:val="49"/>
                      <w:sz w:val="13"/>
                      <w:u w:val="single"/>
                    </w:rPr>
                    <w:t/>
                  </w:r>
                  <w:r>
                    <w:rPr>
                      <w:rFonts w:ascii="Cambria Math" w:eastAsia="Cambria Math"/>
                      <w:spacing w:val="-1"/>
                      <w:sz w:val="13"/>
                      <w:u w:val="single"/>
                    </w:rPr>
                    <w:t>𝑛</w:t>
                  </w:r>
                  <w:r>
                    <w:rPr>
                      <w:rFonts w:ascii="Cambria Math" w:eastAsia="Cambria Math"/>
                      <w:w w:val="57"/>
                      <w:sz w:val="13"/>
                      <w:u w:val="single"/>
                    </w:rPr>
                    <w:t/>
                  </w:r>
                </w:p>
              </w:txbxContent>
            </v:textbox>
            <w10:wrap type="none"/>
          </v:shape>
        </w:pict>
      </w:r>
      <w:r>
        <w:rPr>
          <w:rFonts w:ascii="Cambria Math" w:eastAsia="Cambria Math"/>
          <w:w w:val="95"/>
        </w:rPr>
        <w:t>𝑅</w:t>
      </w:r>
      <w:r>
        <w:rPr>
          <w:rFonts w:ascii="Cambria Math" w:eastAsia="Cambria Math"/>
          <w:w w:val="95"/>
          <w:vertAlign w:val="superscript"/>
        </w:rPr>
        <w:t/>
      </w:r>
      <w:r>
        <w:rPr>
          <w:rFonts w:ascii="Cambria Math" w:eastAsia="Cambria Math"/>
          <w:w w:val="95"/>
          <w:vertAlign w:val="baseline"/>
        </w:rPr>
        <w:tab/>
      </w:r>
      <w:r>
        <w:rPr>
          <w:rFonts w:ascii="Cambria Math" w:eastAsia="Cambria Math"/>
          <w:w w:val="90"/>
          <w:vertAlign w:val="baseline"/>
        </w:rPr>
        <w:t>=</w:t>
      </w:r>
      <w:r>
        <w:rPr>
          <w:rFonts w:ascii="Cambria Math" w:eastAsia="Cambria Math"/>
          <w:spacing w:val="17"/>
          <w:w w:val="90"/>
          <w:vertAlign w:val="baseline"/>
        </w:rPr>
        <w:t> </w:t>
      </w:r>
      <w:r>
        <w:rPr>
          <w:rFonts w:ascii="Cambria Math" w:eastAsia="Cambria Math"/>
          <w:spacing w:val="-103"/>
          <w:w w:val="90"/>
          <w:vertAlign w:val="superscript"/>
        </w:rPr>
        <w:t>𝑅</w:t>
      </w:r>
      <w:r>
        <w:rPr>
          <w:rFonts w:ascii="Cambria Math" w:eastAsia="Cambria Math"/>
          <w:spacing w:val="59"/>
          <w:w w:val="90"/>
          <w:u w:val="single"/>
          <w:vertAlign w:val="baseline"/>
        </w:rPr>
        <w:t> </w:t>
      </w:r>
      <w:r>
        <w:rPr>
          <w:rFonts w:ascii="Cambria Math" w:eastAsia="Cambria Math"/>
          <w:w w:val="90"/>
          <w:position w:val="20"/>
          <w:sz w:val="13"/>
          <w:vertAlign w:val="baseline"/>
        </w:rPr>
        <w:t/>
      </w:r>
    </w:p>
    <w:p>
      <w:pPr>
        <w:pStyle w:val="BodyText"/>
        <w:rPr>
          <w:rFonts w:ascii="Cambria Math"/>
        </w:rPr>
      </w:pPr>
      <w:r>
        <w:rPr/>
        <w:br w:type="column"/>
      </w:r>
      <w:r>
        <w:rPr>
          <w:rFonts w:ascii="Cambria Math"/>
        </w:rPr>
      </w:r>
    </w:p>
    <w:p>
      <w:pPr>
        <w:pStyle w:val="BodyText"/>
        <w:rPr>
          <w:rFonts w:ascii="Cambria Math"/>
        </w:rPr>
      </w:pPr>
    </w:p>
    <w:p>
      <w:pPr>
        <w:pStyle w:val="BodyText"/>
        <w:rPr>
          <w:rFonts w:ascii="Cambria Math"/>
        </w:rPr>
      </w:pPr>
    </w:p>
    <w:p>
      <w:pPr>
        <w:pStyle w:val="BodyText"/>
        <w:spacing w:line="117" w:lineRule="exact" w:before="140"/>
        <w:ind w:left="1428"/>
      </w:pPr>
      <w:r>
        <w:rPr>
          <w:w w:val="85"/>
        </w:rPr>
        <w:t>(9)</w:t>
      </w:r>
    </w:p>
    <w:p>
      <w:pPr>
        <w:spacing w:after="0" w:line="117" w:lineRule="exact"/>
        <w:sectPr>
          <w:type w:val="continuous"/>
          <w:pgSz w:w="11910" w:h="16840"/>
          <w:pgMar w:top="200" w:bottom="280" w:left="320" w:right="220"/>
          <w:cols w:num="2" w:equalWidth="0">
            <w:col w:w="9153" w:space="40"/>
            <w:col w:w="2177"/>
          </w:cols>
        </w:sectPr>
      </w:pPr>
    </w:p>
    <w:p>
      <w:pPr>
        <w:spacing w:before="1"/>
        <w:ind w:left="0" w:right="0" w:firstLine="0"/>
        <w:jc w:val="right"/>
        <w:rPr>
          <w:rFonts w:ascii="Cambria Math" w:eastAsia="Cambria Math"/>
          <w:sz w:val="16"/>
        </w:rPr>
      </w:pPr>
      <w:r>
        <w:rPr/>
        <w:pict>
          <v:shape style="position:absolute;margin-left:375.839996pt;margin-top:3.002487pt;width:4.75pt;height:9.450pt;mso-position-horizontal-relative:page;mso-position-vertical-relative:paragraph;z-index:15756800" type="#_x0000_t202" filled="false" stroked="false">
            <v:textbox inset="0,0,0,0">
              <w:txbxContent>
                <w:p>
                  <w:pPr>
                    <w:spacing w:before="1"/>
                    <w:ind w:left="0" w:right="0" w:firstLine="0"/>
                    <w:jc w:val="left"/>
                    <w:rPr>
                      <w:rFonts w:ascii="Cambria Math" w:eastAsia="Cambria Math"/>
                      <w:sz w:val="16"/>
                    </w:rPr>
                  </w:pPr>
                  <w:r>
                    <w:rPr>
                      <w:rFonts w:ascii="Cambria Math" w:eastAsia="Cambria Math"/>
                      <w:w w:val="58"/>
                      <w:sz w:val="16"/>
                    </w:rPr>
                    <w:t/>
                  </w:r>
                </w:p>
              </w:txbxContent>
            </v:textbox>
            <w10:wrap type="none"/>
          </v:shape>
        </w:pict>
      </w: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p>
      <w:pPr>
        <w:spacing w:line="134" w:lineRule="exact" w:before="20"/>
        <w:ind w:left="349" w:right="0" w:firstLine="0"/>
        <w:jc w:val="left"/>
        <w:rPr>
          <w:rFonts w:ascii="Cambria Math" w:eastAsia="Cambria Math"/>
          <w:sz w:val="13"/>
        </w:rPr>
      </w:pPr>
      <w:r>
        <w:rPr/>
        <w:br w:type="column"/>
      </w:r>
      <w:r>
        <w:rPr>
          <w:rFonts w:ascii="Cambria Math" w:eastAsia="Cambria Math"/>
          <w:w w:val="70"/>
          <w:sz w:val="13"/>
        </w:rPr>
        <w:t/>
      </w:r>
    </w:p>
    <w:p>
      <w:pPr>
        <w:spacing w:line="134" w:lineRule="exact" w:before="0"/>
        <w:ind w:left="349" w:right="0" w:firstLine="0"/>
        <w:jc w:val="left"/>
        <w:rPr>
          <w:rFonts w:ascii="Cambria Math" w:eastAsia="Cambria Math"/>
          <w:sz w:val="13"/>
        </w:rPr>
      </w:pPr>
      <w:r>
        <w:rPr>
          <w:rFonts w:ascii="Cambria Math" w:eastAsia="Cambria Math"/>
          <w:spacing w:val="-1"/>
          <w:w w:val="59"/>
          <w:sz w:val="13"/>
        </w:rPr>
        <w:t/>
      </w:r>
      <w:r>
        <w:rPr>
          <w:rFonts w:ascii="Cambria Math" w:eastAsia="Cambria Math"/>
          <w:w w:val="47"/>
          <w:sz w:val="13"/>
        </w:rPr>
        <w:t/>
      </w:r>
      <w:r>
        <w:rPr>
          <w:rFonts w:ascii="Cambria Math" w:eastAsia="Cambria Math"/>
          <w:w w:val="49"/>
          <w:sz w:val="13"/>
        </w:rPr>
        <w:t/>
      </w:r>
      <w:r>
        <w:rPr>
          <w:rFonts w:ascii="Cambria Math" w:eastAsia="Cambria Math"/>
          <w:spacing w:val="-1"/>
          <w:sz w:val="13"/>
        </w:rPr>
        <w:t>𝑛</w:t>
      </w:r>
      <w:r>
        <w:rPr>
          <w:rFonts w:ascii="Cambria Math" w:eastAsia="Cambria Math"/>
          <w:w w:val="57"/>
          <w:sz w:val="13"/>
        </w:rPr>
        <w:t/>
      </w:r>
    </w:p>
    <w:p>
      <w:pPr>
        <w:spacing w:after="0" w:line="134" w:lineRule="exact"/>
        <w:jc w:val="left"/>
        <w:rPr>
          <w:rFonts w:ascii="Cambria Math" w:eastAsia="Cambria Math"/>
          <w:sz w:val="13"/>
        </w:rPr>
        <w:sectPr>
          <w:type w:val="continuous"/>
          <w:pgSz w:w="11910" w:h="16840"/>
          <w:pgMar w:top="200" w:bottom="280" w:left="320" w:right="220"/>
          <w:cols w:num="2" w:equalWidth="0">
            <w:col w:w="6899" w:space="40"/>
            <w:col w:w="4431"/>
          </w:cols>
        </w:sectPr>
      </w:pPr>
    </w:p>
    <w:p>
      <w:pPr>
        <w:pStyle w:val="BodyText"/>
        <w:spacing w:before="7"/>
        <w:rPr>
          <w:rFonts w:ascii="Cambria Math"/>
          <w:sz w:val="20"/>
        </w:rPr>
      </w:pPr>
    </w:p>
    <w:p>
      <w:pPr>
        <w:pStyle w:val="BodyText"/>
        <w:tabs>
          <w:tab w:pos="3973" w:val="left" w:leader="none"/>
          <w:tab w:pos="9546" w:val="left" w:leader="none"/>
        </w:tabs>
        <w:spacing w:line="117" w:lineRule="exact" w:before="126"/>
        <w:ind w:left="2951"/>
      </w:pPr>
      <w:r>
        <w:rPr/>
        <w:t>其中</w:t>
      </w:r>
      <w:r>
        <w:rPr>
          <w:rFonts w:ascii="Cambria Math" w:eastAsia="Cambria Math"/>
        </w:rPr>
        <w:t>𝑅</w:t>
      </w:r>
      <w:r>
        <w:rPr>
          <w:rFonts w:ascii="Cambria Math" w:eastAsia="Cambria Math"/>
          <w:vertAlign w:val="superscript"/>
        </w:rPr>
        <w:t/>
      </w:r>
      <w:r>
        <w:rPr>
          <w:rFonts w:ascii="Cambria Math" w:eastAsia="Cambria Math"/>
          <w:vertAlign w:val="baseline"/>
        </w:rPr>
        <w:tab/>
      </w:r>
      <w:r>
        <w:rPr>
          <w:spacing w:val="-4"/>
          <w:vertAlign w:val="baseline"/>
        </w:rPr>
        <w:t>是所有资产所构成的趋势策略投</w:t>
      </w:r>
      <w:r>
        <w:rPr>
          <w:spacing w:val="-3"/>
          <w:vertAlign w:val="baseline"/>
        </w:rPr>
        <w:t>资组合的超额收益，</w:t>
      </w:r>
      <w:r>
        <w:rPr>
          <w:rFonts w:ascii="Cambria Math" w:eastAsia="Cambria Math"/>
          <w:spacing w:val="-3"/>
          <w:vertAlign w:val="baseline"/>
        </w:rPr>
        <w:t/>
      </w:r>
      <w:r>
        <w:rPr>
          <w:rFonts w:ascii="Cambria Math" w:eastAsia="Cambria Math"/>
          <w:spacing w:val="-3"/>
          <w:vertAlign w:val="superscript"/>
        </w:rPr>
        <w:t/>
      </w:r>
      <w:r>
        <w:rPr>
          <w:rFonts w:ascii="Cambria Math" w:eastAsia="Cambria Math"/>
          <w:spacing w:val="-3"/>
          <w:vertAlign w:val="baseline"/>
        </w:rPr>
        <w:tab/>
      </w:r>
      <w:r>
        <w:rPr>
          <w:vertAlign w:val="baseline"/>
        </w:rPr>
        <w:t>是该超额收益</w:t>
      </w:r>
    </w:p>
    <w:p>
      <w:pPr>
        <w:tabs>
          <w:tab w:pos="9102" w:val="left" w:leader="none"/>
        </w:tabs>
        <w:spacing w:before="1"/>
        <w:ind w:left="3532" w:right="0" w:firstLine="0"/>
        <w:jc w:val="left"/>
        <w:rPr>
          <w:rFonts w:ascii="Cambria Math" w:eastAsia="Cambria Math"/>
          <w:sz w:val="16"/>
        </w:rPr>
      </w:pP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r>
        <w:rPr>
          <w:rFonts w:ascii="Cambria Math" w:eastAsia="Cambria Math"/>
          <w:sz w:val="16"/>
        </w:rPr>
        <w:tab/>
      </w:r>
      <w:r>
        <w:rPr>
          <w:rFonts w:ascii="Cambria Math" w:eastAsia="Cambria Math"/>
          <w:w w:val="59"/>
          <w:sz w:val="16"/>
        </w:rPr>
        <w:t/>
      </w:r>
      <w:r>
        <w:rPr>
          <w:rFonts w:ascii="Cambria Math" w:eastAsia="Cambria Math"/>
          <w:spacing w:val="-3"/>
          <w:w w:val="47"/>
          <w:sz w:val="16"/>
        </w:rPr>
        <w:t/>
      </w:r>
      <w:r>
        <w:rPr>
          <w:rFonts w:ascii="Cambria Math" w:eastAsia="Cambria Math"/>
          <w:spacing w:val="-1"/>
          <w:w w:val="49"/>
          <w:sz w:val="16"/>
        </w:rPr>
        <w:t/>
      </w:r>
      <w:r>
        <w:rPr>
          <w:rFonts w:ascii="Cambria Math" w:eastAsia="Cambria Math"/>
          <w:spacing w:val="1"/>
          <w:w w:val="100"/>
          <w:sz w:val="16"/>
        </w:rPr>
        <w:t>𝑛</w:t>
      </w:r>
      <w:r>
        <w:rPr>
          <w:rFonts w:ascii="Cambria Math" w:eastAsia="Cambria Math"/>
          <w:w w:val="58"/>
          <w:sz w:val="16"/>
        </w:rPr>
        <w:t/>
      </w:r>
    </w:p>
    <w:p>
      <w:pPr>
        <w:pStyle w:val="BodyText"/>
        <w:spacing w:before="5"/>
        <w:rPr>
          <w:rFonts w:ascii="Cambria Math"/>
          <w:sz w:val="11"/>
        </w:rPr>
      </w:pPr>
    </w:p>
    <w:p>
      <w:pPr>
        <w:pStyle w:val="BodyText"/>
        <w:spacing w:before="60"/>
        <w:ind w:left="2951"/>
      </w:pPr>
      <w:r>
        <w:rPr/>
        <w:t>的年化标准差。</w:t>
      </w:r>
    </w:p>
    <w:p>
      <w:pPr>
        <w:pStyle w:val="BodyText"/>
        <w:spacing w:before="6"/>
        <w:rPr>
          <w:sz w:val="20"/>
        </w:rPr>
      </w:pPr>
    </w:p>
    <w:p>
      <w:pPr>
        <w:pStyle w:val="BodyText"/>
        <w:ind w:left="2951"/>
      </w:pPr>
      <w:r>
        <w:rPr>
          <w:spacing w:val="-3"/>
          <w:w w:val="100"/>
        </w:rPr>
        <w:t>实证结果表明，全球</w:t>
      </w:r>
      <w:r>
        <w:rPr>
          <w:spacing w:val="-55"/>
        </w:rPr>
        <w:t> </w:t>
      </w:r>
      <w:r>
        <w:rPr>
          <w:spacing w:val="-1"/>
          <w:w w:val="124"/>
        </w:rPr>
        <w:t>C</w:t>
      </w:r>
      <w:r>
        <w:rPr>
          <w:w w:val="103"/>
        </w:rPr>
        <w:t>T</w:t>
      </w:r>
      <w:r>
        <w:rPr>
          <w:w w:val="127"/>
        </w:rPr>
        <w:t>A</w:t>
      </w:r>
      <w:r>
        <w:rPr>
          <w:spacing w:val="-59"/>
        </w:rPr>
        <w:t> </w:t>
      </w:r>
      <w:r>
        <w:rPr>
          <w:spacing w:val="-3"/>
          <w:w w:val="100"/>
        </w:rPr>
        <w:t>市场的分散化乘数在</w:t>
      </w:r>
      <w:r>
        <w:rPr>
          <w:spacing w:val="-55"/>
        </w:rPr>
        <w:t> </w:t>
      </w:r>
      <w:r>
        <w:rPr>
          <w:spacing w:val="-2"/>
          <w:w w:val="105"/>
        </w:rPr>
        <w:t>188</w:t>
      </w:r>
      <w:r>
        <w:rPr>
          <w:spacing w:val="1"/>
          <w:w w:val="105"/>
        </w:rPr>
        <w:t>0</w:t>
      </w:r>
      <w:r>
        <w:rPr>
          <w:spacing w:val="-1"/>
          <w:w w:val="100"/>
        </w:rPr>
        <w:t>-</w:t>
      </w:r>
      <w:r>
        <w:rPr>
          <w:spacing w:val="-2"/>
          <w:w w:val="105"/>
        </w:rPr>
        <w:t>201</w:t>
      </w:r>
      <w:r>
        <w:rPr>
          <w:w w:val="105"/>
        </w:rPr>
        <w:t>8</w:t>
      </w:r>
      <w:r>
        <w:rPr>
          <w:spacing w:val="-54"/>
        </w:rPr>
        <w:t> </w:t>
      </w:r>
      <w:r>
        <w:rPr>
          <w:spacing w:val="-2"/>
          <w:w w:val="100"/>
        </w:rPr>
        <w:t>年间为</w:t>
      </w:r>
      <w:r>
        <w:rPr>
          <w:spacing w:val="-55"/>
        </w:rPr>
        <w:t> </w:t>
      </w:r>
      <w:r>
        <w:rPr>
          <w:spacing w:val="-2"/>
          <w:w w:val="105"/>
        </w:rPr>
        <w:t>3</w:t>
      </w:r>
      <w:r>
        <w:rPr>
          <w:spacing w:val="-1"/>
          <w:w w:val="44"/>
        </w:rPr>
        <w:t>.</w:t>
      </w:r>
      <w:r>
        <w:rPr>
          <w:spacing w:val="1"/>
          <w:w w:val="105"/>
        </w:rPr>
        <w:t>5</w:t>
      </w:r>
      <w:r>
        <w:rPr>
          <w:spacing w:val="-2"/>
          <w:w w:val="100"/>
        </w:rPr>
        <w:t>，而在</w:t>
      </w:r>
    </w:p>
    <w:p>
      <w:pPr>
        <w:spacing w:after="0"/>
        <w:sectPr>
          <w:type w:val="continuous"/>
          <w:pgSz w:w="11910" w:h="16840"/>
          <w:pgMar w:top="200" w:bottom="280" w:left="320" w:right="220"/>
        </w:sectPr>
      </w:pPr>
    </w:p>
    <w:p>
      <w:pPr>
        <w:pStyle w:val="BodyText"/>
        <w:spacing w:before="5"/>
        <w:rPr>
          <w:sz w:val="15"/>
        </w:rPr>
      </w:pPr>
    </w:p>
    <w:p>
      <w:pPr>
        <w:pStyle w:val="BodyText"/>
        <w:spacing w:before="60"/>
        <w:ind w:left="2951"/>
      </w:pPr>
      <w:r>
        <w:rPr>
          <w:spacing w:val="-2"/>
          <w:w w:val="105"/>
        </w:rPr>
        <w:t>201</w:t>
      </w:r>
      <w:r>
        <w:rPr>
          <w:spacing w:val="1"/>
          <w:w w:val="105"/>
        </w:rPr>
        <w:t>0</w:t>
      </w:r>
      <w:r>
        <w:rPr>
          <w:spacing w:val="-1"/>
          <w:w w:val="100"/>
        </w:rPr>
        <w:t>-</w:t>
      </w:r>
      <w:r>
        <w:rPr>
          <w:spacing w:val="-2"/>
          <w:w w:val="105"/>
        </w:rPr>
        <w:t>201</w:t>
      </w:r>
      <w:r>
        <w:rPr>
          <w:w w:val="105"/>
        </w:rPr>
        <w:t>8</w:t>
      </w:r>
      <w:r>
        <w:rPr>
          <w:spacing w:val="-54"/>
        </w:rPr>
        <w:t> </w:t>
      </w:r>
      <w:r>
        <w:rPr>
          <w:spacing w:val="-3"/>
          <w:w w:val="100"/>
        </w:rPr>
        <w:t>年间不降反增，乘数为</w:t>
      </w:r>
      <w:r>
        <w:rPr>
          <w:spacing w:val="-58"/>
        </w:rPr>
        <w:t> </w:t>
      </w:r>
      <w:r>
        <w:rPr>
          <w:spacing w:val="-2"/>
          <w:w w:val="105"/>
        </w:rPr>
        <w:t>4</w:t>
      </w:r>
      <w:r>
        <w:rPr>
          <w:spacing w:val="-1"/>
          <w:w w:val="44"/>
        </w:rPr>
        <w:t>.</w:t>
      </w:r>
      <w:r>
        <w:rPr>
          <w:spacing w:val="1"/>
          <w:w w:val="105"/>
        </w:rPr>
        <w:t>1</w:t>
      </w:r>
      <w:r>
        <w:rPr>
          <w:spacing w:val="6"/>
          <w:w w:val="100"/>
        </w:rPr>
        <w:t>。这说明全球</w:t>
      </w:r>
      <w:r>
        <w:rPr>
          <w:spacing w:val="-1"/>
          <w:w w:val="124"/>
        </w:rPr>
        <w:t>C</w:t>
      </w:r>
      <w:r>
        <w:rPr>
          <w:w w:val="103"/>
        </w:rPr>
        <w:t>T</w:t>
      </w:r>
      <w:r>
        <w:rPr>
          <w:w w:val="127"/>
        </w:rPr>
        <w:t>A</w:t>
      </w:r>
      <w:r>
        <w:rPr>
          <w:spacing w:val="-59"/>
        </w:rPr>
        <w:t> </w:t>
      </w:r>
      <w:r>
        <w:rPr>
          <w:spacing w:val="-3"/>
          <w:w w:val="100"/>
        </w:rPr>
        <w:t>市场的底层资产在</w:t>
      </w:r>
    </w:p>
    <w:p>
      <w:pPr>
        <w:pStyle w:val="BodyText"/>
        <w:spacing w:before="109"/>
        <w:ind w:left="2951"/>
      </w:pPr>
      <w:r>
        <w:rPr/>
        <w:t>2010-2018</w:t>
      </w:r>
      <w:r>
        <w:rPr>
          <w:spacing w:val="-9"/>
        </w:rPr>
        <w:t> 年间分散化程度提高了，给组合带来了正收益，因此造成失落的 </w:t>
      </w:r>
      <w:r>
        <w:rPr/>
        <w:t>10</w:t>
      </w:r>
      <w:r>
        <w:rPr>
          <w:spacing w:val="-23"/>
        </w:rPr>
        <w:t> 年</w:t>
      </w:r>
    </w:p>
    <w:p>
      <w:pPr>
        <w:pStyle w:val="BodyText"/>
        <w:spacing w:before="107"/>
        <w:ind w:left="2951"/>
      </w:pPr>
      <w:r>
        <w:rPr>
          <w:spacing w:val="-6"/>
        </w:rPr>
        <w:t>的主要原因是仍然那 </w:t>
      </w:r>
      <w:r>
        <w:rPr/>
        <w:t>10</w:t>
      </w:r>
      <w:r>
        <w:rPr>
          <w:spacing w:val="-8"/>
        </w:rPr>
        <w:t> 年市场有效波动的降低。</w:t>
      </w:r>
    </w:p>
    <w:p>
      <w:pPr>
        <w:spacing w:before="154"/>
        <w:ind w:left="4794" w:right="0" w:firstLine="0"/>
        <w:jc w:val="left"/>
        <w:rPr>
          <w:rFonts w:ascii="Microsoft JhengHei" w:eastAsia="Microsoft JhengHei" w:hint="eastAsia"/>
          <w:b/>
          <w:sz w:val="20"/>
        </w:rPr>
      </w:pPr>
      <w:r>
        <w:rPr/>
        <w:pict>
          <v:group style="position:absolute;margin-left:153.699997pt;margin-top:24.841797pt;width:411pt;height:195.5pt;mso-position-horizontal-relative:page;mso-position-vertical-relative:paragraph;z-index:15757312" coordorigin="3074,497" coordsize="8220,3910">
            <v:shape style="position:absolute;left:3318;top:515;width:7391;height:3805" type="#_x0000_t75" stroked="false">
              <v:imagedata r:id="rId24" o:title=""/>
            </v:shape>
            <v:shape style="position:absolute;left:3074;top:506;width:8220;height:3890" coordorigin="3074,506" coordsize="8220,3890" path="m3074,506l11294,506m3074,4396l11294,4396e" filled="false" stroked="true" strokeweight=".96pt" strokecolor="#c06363">
              <v:path arrowok="t"/>
              <v:stroke dashstyle="solid"/>
            </v:shape>
            <w10:wrap type="none"/>
          </v:group>
        </w:pict>
      </w:r>
      <w:r>
        <w:rPr>
          <w:rFonts w:ascii="Microsoft JhengHei" w:eastAsia="Microsoft JhengHei" w:hint="eastAsia"/>
          <w:b/>
          <w:spacing w:val="17"/>
          <w:sz w:val="20"/>
        </w:rPr>
        <w:t>图 </w:t>
      </w:r>
      <w:r>
        <w:rPr>
          <w:rFonts w:ascii="Microsoft JhengHei" w:eastAsia="Microsoft JhengHei" w:hint="eastAsia"/>
          <w:b/>
          <w:sz w:val="20"/>
        </w:rPr>
        <w:t>11</w:t>
      </w:r>
      <w:bookmarkStart w:name="_bookmark25" w:id="44"/>
      <w:bookmarkEnd w:id="44"/>
      <w:r>
        <w:rPr>
          <w:rFonts w:ascii="Microsoft JhengHei" w:eastAsia="Microsoft JhengHei" w:hint="eastAsia"/>
          <w:b/>
          <w:spacing w:val="4"/>
          <w:sz w:val="20"/>
        </w:rPr>
        <w:t>: 全球 </w:t>
      </w:r>
      <w:r>
        <w:rPr>
          <w:rFonts w:ascii="Microsoft JhengHei" w:eastAsia="Microsoft JhengHei" w:hint="eastAsia"/>
          <w:b/>
          <w:sz w:val="20"/>
        </w:rPr>
        <w:t>CTA</w:t>
      </w:r>
      <w:r>
        <w:rPr>
          <w:rFonts w:ascii="Microsoft JhengHei" w:eastAsia="Microsoft JhengHei" w:hint="eastAsia"/>
          <w:b/>
          <w:spacing w:val="-3"/>
          <w:sz w:val="20"/>
        </w:rPr>
        <w:t> 市场的分散化乘数丨单位：无</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3"/>
        <w:rPr>
          <w:rFonts w:ascii="Microsoft JhengHei"/>
          <w:b/>
          <w:sz w:val="29"/>
        </w:rPr>
      </w:pPr>
    </w:p>
    <w:p>
      <w:pPr>
        <w:spacing w:before="70"/>
        <w:ind w:left="2862" w:right="0" w:firstLine="0"/>
        <w:jc w:val="left"/>
        <w:rPr>
          <w:sz w:val="16"/>
        </w:rPr>
      </w:pPr>
      <w:r>
        <w:rPr>
          <w:sz w:val="16"/>
        </w:rPr>
        <w:t>数据来源：AQR，华泰期货研究院</w:t>
      </w:r>
    </w:p>
    <w:p>
      <w:pPr>
        <w:pStyle w:val="BodyText"/>
        <w:rPr>
          <w:sz w:val="20"/>
        </w:rPr>
      </w:pPr>
    </w:p>
    <w:p>
      <w:pPr>
        <w:pStyle w:val="BodyText"/>
        <w:rPr>
          <w:sz w:val="20"/>
        </w:rPr>
      </w:pPr>
    </w:p>
    <w:p>
      <w:pPr>
        <w:pStyle w:val="BodyText"/>
        <w:spacing w:before="2"/>
        <w:rPr>
          <w:sz w:val="20"/>
        </w:rPr>
      </w:pPr>
    </w:p>
    <w:p>
      <w:pPr>
        <w:pStyle w:val="BodyText"/>
        <w:spacing w:line="331" w:lineRule="auto" w:before="59"/>
        <w:ind w:left="2951" w:right="497"/>
        <w:jc w:val="both"/>
      </w:pPr>
      <w:r>
        <w:rPr>
          <w:spacing w:val="-1"/>
        </w:rPr>
        <w:t>而在国内市场，由于底层资产更多为商品，较少包括权益资产，更不包括债券、外汇等资产，因此分散性收益不如全球市场稳健。从结果来看，正常年份的分散化收</w:t>
      </w:r>
      <w:r>
        <w:rPr>
          <w:spacing w:val="-10"/>
        </w:rPr>
        <w:t>益乘数约为 </w:t>
      </w:r>
      <w:r>
        <w:rPr/>
        <w:t>2~3，比全球市场略低，符合定性判断。</w:t>
      </w:r>
    </w:p>
    <w:p>
      <w:pPr>
        <w:pStyle w:val="BodyText"/>
        <w:spacing w:line="333" w:lineRule="auto" w:before="158"/>
        <w:ind w:left="2951" w:right="388"/>
      </w:pPr>
      <w:r>
        <w:rPr/>
        <w:t>另外，由于国内市场实证采用分年度数据，部分年度（</w:t>
      </w:r>
      <w:r>
        <w:rPr>
          <w:spacing w:val="-29"/>
        </w:rPr>
        <w:t>如 </w:t>
      </w:r>
      <w:r>
        <w:rPr/>
        <w:t>2022</w:t>
      </w:r>
      <w:r>
        <w:rPr>
          <w:spacing w:val="-26"/>
        </w:rPr>
        <w:t> 年</w:t>
      </w:r>
      <w:r>
        <w:rPr/>
        <w:t>）本身单品种趋</w:t>
      </w:r>
      <w:r>
        <w:rPr>
          <w:spacing w:val="1"/>
        </w:rPr>
        <w:t> </w:t>
      </w:r>
      <w:r>
        <w:rPr/>
        <w:t>势策略加权夏普为负，不适用除法计算分散化收益。我们使用减法代替原文献中的除法，结果较明显的看🎧</w:t>
      </w:r>
      <w:r>
        <w:rPr>
          <w:spacing w:val="-57"/>
        </w:rPr>
        <w:t> </w:t>
      </w:r>
      <w:r>
        <w:rPr/>
        <w:t>2022</w:t>
      </w:r>
      <w:r>
        <w:rPr>
          <w:spacing w:val="-8"/>
        </w:rPr>
        <w:t> 年国内的分散化收益为负值，即在全球宏观大年的主</w:t>
      </w:r>
      <w:r>
        <w:rPr>
          <w:spacing w:val="-15"/>
        </w:rPr>
        <w:t>导下，趋势策略在组合层面反而不如单品种，反映了宏观对 </w:t>
      </w:r>
      <w:r>
        <w:rPr/>
        <w:t>CTA</w:t>
      </w:r>
      <w:r>
        <w:rPr>
          <w:spacing w:val="-7"/>
        </w:rPr>
        <w:t> 趋势策略的扰动。</w:t>
      </w:r>
    </w:p>
    <w:p>
      <w:pPr>
        <w:pStyle w:val="BodyText"/>
        <w:spacing w:line="331" w:lineRule="auto" w:before="149"/>
        <w:ind w:left="2951" w:right="388"/>
      </w:pPr>
      <w:r>
        <w:rPr>
          <w:spacing w:val="-3"/>
        </w:rPr>
        <w:t>值得一提的是，2023</w:t>
      </w:r>
      <w:r>
        <w:rPr>
          <w:spacing w:val="-10"/>
        </w:rPr>
        <w:t> 年的趋势策略分散性收益重回正值，如果宏观环境保持，那么</w:t>
      </w:r>
      <w:r>
        <w:rPr>
          <w:spacing w:val="-6"/>
        </w:rPr>
        <w:t>分散化仍将给 </w:t>
      </w:r>
      <w:r>
        <w:rPr/>
        <w:t>CTA</w:t>
      </w:r>
      <w:r>
        <w:rPr>
          <w:spacing w:val="-17"/>
        </w:rPr>
        <w:t> 基金带来一定的效用。当然，与上文类似，如何扩充底层资产池，</w:t>
      </w:r>
      <w:r>
        <w:rPr>
          <w:spacing w:val="-107"/>
        </w:rPr>
        <w:t> </w:t>
      </w:r>
      <w:r>
        <w:rPr>
          <w:w w:val="105"/>
        </w:rPr>
        <w:t>不局限于商品资产，是各管理人必须考虑的问题。</w:t>
      </w:r>
    </w:p>
    <w:p>
      <w:pPr>
        <w:spacing w:after="0" w:line="331" w:lineRule="auto"/>
        <w:sectPr>
          <w:pgSz w:w="11910" w:h="16840"/>
          <w:pgMar w:header="948" w:footer="0" w:top="1460" w:bottom="280" w:left="320" w:right="220"/>
        </w:sectPr>
      </w:pPr>
    </w:p>
    <w:p>
      <w:pPr>
        <w:pStyle w:val="BodyText"/>
        <w:spacing w:before="10"/>
        <w:rPr>
          <w:sz w:val="11"/>
        </w:rPr>
      </w:pPr>
    </w:p>
    <w:p>
      <w:pPr>
        <w:spacing w:line="363" w:lineRule="exact" w:before="0"/>
        <w:ind w:left="4794" w:right="0" w:firstLine="0"/>
        <w:jc w:val="left"/>
        <w:rPr>
          <w:rFonts w:ascii="Microsoft JhengHei" w:eastAsia="Microsoft JhengHei" w:hint="eastAsia"/>
          <w:b/>
          <w:sz w:val="20"/>
        </w:rPr>
      </w:pPr>
      <w:r>
        <w:rPr/>
        <w:pict>
          <v:line style="position:absolute;mso-position-horizontal-relative:page;mso-position-vertical-relative:paragraph;z-index:15758848" from="153.699997pt,17.443542pt" to="564.699997pt,17.443542pt" stroked="true" strokeweight=".96pt" strokecolor="#c06363">
            <v:stroke dashstyle="solid"/>
            <w10:wrap type="none"/>
          </v:line>
        </w:pict>
      </w:r>
      <w:r>
        <w:rPr>
          <w:rFonts w:ascii="Microsoft JhengHei" w:eastAsia="Microsoft JhengHei" w:hint="eastAsia"/>
          <w:b/>
          <w:spacing w:val="17"/>
          <w:sz w:val="20"/>
        </w:rPr>
        <w:t>图 </w:t>
      </w:r>
      <w:r>
        <w:rPr>
          <w:rFonts w:ascii="Microsoft JhengHei" w:eastAsia="Microsoft JhengHei" w:hint="eastAsia"/>
          <w:b/>
          <w:sz w:val="20"/>
        </w:rPr>
        <w:t>12</w:t>
      </w:r>
      <w:bookmarkStart w:name="_bookmark26" w:id="45"/>
      <w:bookmarkEnd w:id="45"/>
      <w:r>
        <w:rPr>
          <w:rFonts w:ascii="Microsoft JhengHei" w:eastAsia="Microsoft JhengHei" w:hint="eastAsia"/>
          <w:b/>
          <w:spacing w:val="4"/>
          <w:sz w:val="20"/>
        </w:rPr>
        <w:t>: 国内 </w:t>
      </w:r>
      <w:r>
        <w:rPr>
          <w:rFonts w:ascii="Microsoft JhengHei" w:eastAsia="Microsoft JhengHei" w:hint="eastAsia"/>
          <w:b/>
          <w:sz w:val="20"/>
        </w:rPr>
        <w:t>CTA</w:t>
      </w:r>
      <w:r>
        <w:rPr>
          <w:rFonts w:ascii="Microsoft JhengHei" w:eastAsia="Microsoft JhengHei" w:hint="eastAsia"/>
          <w:b/>
          <w:spacing w:val="-3"/>
          <w:sz w:val="20"/>
        </w:rPr>
        <w:t> 市场的分散化收益丨单位：无</w:t>
      </w:r>
    </w:p>
    <w:p>
      <w:pPr>
        <w:pStyle w:val="BodyText"/>
        <w:spacing w:before="8"/>
        <w:rPr>
          <w:rFonts w:ascii="Microsoft JhengHei"/>
          <w:b/>
          <w:sz w:val="12"/>
        </w:rPr>
      </w:pPr>
      <w:r>
        <w:rPr/>
        <w:drawing>
          <wp:anchor distT="0" distB="0" distL="0" distR="0" allowOverlap="1" layoutInCell="1" locked="0" behindDoc="0" simplePos="0" relativeHeight="57">
            <wp:simplePos x="0" y="0"/>
            <wp:positionH relativeFrom="page">
              <wp:posOffset>2059452</wp:posOffset>
            </wp:positionH>
            <wp:positionV relativeFrom="paragraph">
              <wp:posOffset>170019</wp:posOffset>
            </wp:positionV>
            <wp:extent cx="4770116" cy="2542031"/>
            <wp:effectExtent l="0" t="0" r="0" b="0"/>
            <wp:wrapTopAndBottom/>
            <wp:docPr id="9" name="image17.jpeg"/>
            <wp:cNvGraphicFramePr>
              <a:graphicFrameLocks noChangeAspect="1"/>
            </wp:cNvGraphicFramePr>
            <a:graphic>
              <a:graphicData uri="http://schemas.openxmlformats.org/drawingml/2006/picture">
                <pic:pic>
                  <pic:nvPicPr>
                    <pic:cNvPr id="10" name="image17.jpeg"/>
                    <pic:cNvPicPr/>
                  </pic:nvPicPr>
                  <pic:blipFill>
                    <a:blip r:embed="rId25" cstate="print"/>
                    <a:stretch>
                      <a:fillRect/>
                    </a:stretch>
                  </pic:blipFill>
                  <pic:spPr>
                    <a:xfrm>
                      <a:off x="0" y="0"/>
                      <a:ext cx="4770116" cy="2542031"/>
                    </a:xfrm>
                    <a:prstGeom prst="rect">
                      <a:avLst/>
                    </a:prstGeom>
                  </pic:spPr>
                </pic:pic>
              </a:graphicData>
            </a:graphic>
          </wp:anchor>
        </w:drawing>
      </w:r>
      <w:r>
        <w:rPr/>
        <w:pict>
          <v:shape style="position:absolute;margin-left:153.699997pt;margin-top:229.79213pt;width:411pt;height:.1pt;mso-position-horizontal-relative:page;mso-position-vertical-relative:paragraph;z-index:-15698944;mso-wrap-distance-left:0;mso-wrap-distance-right:0" coordorigin="3074,4596" coordsize="8220,0" path="m3074,4596l11294,4596e" filled="false" stroked="true" strokeweight=".96pt" strokecolor="#c06363">
            <v:path arrowok="t"/>
            <v:stroke dashstyle="solid"/>
            <w10:wrap type="topAndBottom"/>
          </v:shape>
        </w:pict>
      </w:r>
    </w:p>
    <w:p>
      <w:pPr>
        <w:pStyle w:val="BodyText"/>
        <w:spacing w:before="7"/>
        <w:rPr>
          <w:rFonts w:ascii="Microsoft JhengHei"/>
          <w:b/>
          <w:sz w:val="13"/>
        </w:rPr>
      </w:pPr>
    </w:p>
    <w:p>
      <w:pPr>
        <w:spacing w:before="13"/>
        <w:ind w:left="2862" w:right="0" w:firstLine="0"/>
        <w:jc w:val="left"/>
        <w:rPr>
          <w:sz w:val="16"/>
        </w:rPr>
      </w:pPr>
      <w:r>
        <w:rPr>
          <w:sz w:val="16"/>
        </w:rPr>
        <w:t>数据来源：天软，华泰期货研究院</w:t>
      </w:r>
    </w:p>
    <w:p>
      <w:pPr>
        <w:pStyle w:val="BodyText"/>
        <w:rPr>
          <w:sz w:val="20"/>
        </w:rPr>
      </w:pPr>
    </w:p>
    <w:p>
      <w:pPr>
        <w:pStyle w:val="BodyText"/>
        <w:spacing w:before="4"/>
        <w:rPr>
          <w:sz w:val="27"/>
        </w:rPr>
      </w:pPr>
    </w:p>
    <w:p>
      <w:pPr>
        <w:pStyle w:val="Heading2"/>
        <w:numPr>
          <w:ilvl w:val="2"/>
          <w:numId w:val="1"/>
        </w:numPr>
        <w:tabs>
          <w:tab w:pos="3340" w:val="left" w:leader="none"/>
        </w:tabs>
        <w:spacing w:line="402" w:lineRule="exact" w:before="0" w:after="0"/>
        <w:ind w:left="3340" w:right="0" w:hanging="389"/>
        <w:jc w:val="left"/>
      </w:pPr>
      <w:bookmarkStart w:name="■总结" w:id="46"/>
      <w:bookmarkEnd w:id="46"/>
      <w:r>
        <w:rPr>
          <w:b w:val="0"/>
        </w:rPr>
      </w:r>
      <w:bookmarkStart w:name="_bookmark27" w:id="47"/>
      <w:bookmarkEnd w:id="47"/>
      <w:r>
        <w:rPr>
          <w:b w:val="0"/>
        </w:rPr>
      </w:r>
      <w:bookmarkStart w:name="_bookmark27" w:id="48"/>
      <w:bookmarkEnd w:id="48"/>
      <w:r>
        <w:rPr>
          <w:color w:val="C00000"/>
        </w:rPr>
        <w:t>总结</w:t>
      </w:r>
    </w:p>
    <w:p>
      <w:pPr>
        <w:spacing w:line="252" w:lineRule="auto" w:before="138"/>
        <w:ind w:left="2951" w:right="556" w:firstLine="0"/>
        <w:jc w:val="both"/>
        <w:rPr>
          <w:sz w:val="22"/>
        </w:rPr>
      </w:pPr>
      <w:r>
        <w:rPr>
          <w:spacing w:val="-5"/>
          <w:sz w:val="22"/>
        </w:rPr>
        <w:t>以趋势策略为代表的 </w:t>
      </w:r>
      <w:r>
        <w:rPr>
          <w:sz w:val="22"/>
        </w:rPr>
        <w:t>CTA</w:t>
      </w:r>
      <w:r>
        <w:rPr>
          <w:spacing w:val="-21"/>
          <w:sz w:val="22"/>
        </w:rPr>
        <w:t> 基金在 </w:t>
      </w:r>
      <w:r>
        <w:rPr>
          <w:sz w:val="22"/>
        </w:rPr>
        <w:t>2022</w:t>
      </w:r>
      <w:r>
        <w:rPr>
          <w:spacing w:val="-31"/>
          <w:sz w:val="22"/>
        </w:rPr>
        <w:t> 年 </w:t>
      </w:r>
      <w:r>
        <w:rPr>
          <w:sz w:val="22"/>
        </w:rPr>
        <w:t>3</w:t>
      </w:r>
      <w:r>
        <w:rPr>
          <w:spacing w:val="-11"/>
          <w:sz w:val="22"/>
        </w:rPr>
        <w:t> 月以来回撤至今，我们认为 </w:t>
      </w:r>
      <w:r>
        <w:rPr>
          <w:rFonts w:ascii="Microsoft JhengHei" w:eastAsia="Microsoft JhengHei" w:hint="eastAsia"/>
          <w:b/>
          <w:sz w:val="22"/>
        </w:rPr>
        <w:t>1）交易拥</w:t>
      </w:r>
      <w:r>
        <w:rPr>
          <w:rFonts w:ascii="Microsoft JhengHei" w:eastAsia="Microsoft JhengHei" w:hint="eastAsia"/>
          <w:b/>
          <w:spacing w:val="-1"/>
          <w:sz w:val="22"/>
        </w:rPr>
        <w:t>挤加剧；2）市场有效波动降低；3）策略适用性减弱；</w:t>
      </w:r>
      <w:r>
        <w:rPr>
          <w:rFonts w:ascii="Microsoft JhengHei" w:eastAsia="Microsoft JhengHei" w:hint="eastAsia"/>
          <w:b/>
          <w:sz w:val="22"/>
        </w:rPr>
        <w:t>4）分散性收益降低</w:t>
      </w:r>
      <w:r>
        <w:rPr>
          <w:sz w:val="22"/>
        </w:rPr>
        <w:t>，这四</w:t>
      </w:r>
      <w:r>
        <w:rPr>
          <w:spacing w:val="-8"/>
          <w:sz w:val="22"/>
        </w:rPr>
        <w:t>个因素是造成 </w:t>
      </w:r>
      <w:r>
        <w:rPr>
          <w:sz w:val="22"/>
        </w:rPr>
        <w:t>CTA</w:t>
      </w:r>
      <w:r>
        <w:rPr>
          <w:spacing w:val="-8"/>
          <w:sz w:val="22"/>
        </w:rPr>
        <w:t> 表现不佳的重要原因。</w:t>
      </w:r>
    </w:p>
    <w:p>
      <w:pPr>
        <w:pStyle w:val="BodyText"/>
        <w:spacing w:before="8"/>
        <w:rPr>
          <w:sz w:val="19"/>
        </w:rPr>
      </w:pPr>
    </w:p>
    <w:p>
      <w:pPr>
        <w:pStyle w:val="BodyText"/>
        <w:spacing w:line="333" w:lineRule="auto"/>
        <w:ind w:left="2951" w:right="514"/>
        <w:jc w:val="both"/>
      </w:pPr>
      <w:r>
        <w:rPr>
          <w:spacing w:val="-24"/>
        </w:rPr>
        <w:t>从 </w:t>
      </w:r>
      <w:r>
        <w:rPr/>
        <w:t>2023</w:t>
      </w:r>
      <w:r>
        <w:rPr>
          <w:spacing w:val="-23"/>
        </w:rPr>
        <w:t> 年前 </w:t>
      </w:r>
      <w:r>
        <w:rPr/>
        <w:t>3</w:t>
      </w:r>
      <w:r>
        <w:rPr>
          <w:spacing w:val="-9"/>
        </w:rPr>
        <w:t> 月表现来看，四个因素都有一定程度的缓解，我们认为 </w:t>
      </w:r>
      <w:r>
        <w:rPr/>
        <w:t>CTA</w:t>
      </w:r>
      <w:r>
        <w:rPr>
          <w:spacing w:val="-12"/>
        </w:rPr>
        <w:t> 仍具有</w:t>
      </w:r>
      <w:r>
        <w:rPr/>
        <w:t>长期配置的价值。</w:t>
      </w:r>
    </w:p>
    <w:p>
      <w:pPr>
        <w:spacing w:after="0" w:line="333" w:lineRule="auto"/>
        <w:jc w:val="both"/>
        <w:sectPr>
          <w:pgSz w:w="11910" w:h="16840"/>
          <w:pgMar w:header="948" w:footer="0" w:top="1460" w:bottom="280" w:left="320" w:right="220"/>
        </w:sectPr>
      </w:pPr>
    </w:p>
    <w:p>
      <w:pPr>
        <w:pStyle w:val="BodyText"/>
        <w:spacing w:before="8"/>
        <w:rPr>
          <w:sz w:val="20"/>
        </w:rPr>
      </w:pPr>
    </w:p>
    <w:p>
      <w:pPr>
        <w:pStyle w:val="Heading1"/>
        <w:spacing w:line="522" w:lineRule="exact"/>
      </w:pPr>
      <w:r>
        <w:rPr>
          <w:color w:val="C00000"/>
        </w:rPr>
        <w:t>免责声明</w:t>
      </w:r>
    </w:p>
    <w:p>
      <w:pPr>
        <w:spacing w:line="348" w:lineRule="auto" w:before="258"/>
        <w:ind w:left="400" w:right="466" w:firstLine="0"/>
        <w:jc w:val="both"/>
        <w:rPr>
          <w:sz w:val="21"/>
        </w:rPr>
      </w:pPr>
      <w:r>
        <w:rPr>
          <w:w w:val="95"/>
          <w:sz w:val="21"/>
        </w:rPr>
        <w:t>本报告基于本公司认为可靠的、已公开的信息编制，但本公司对该等信息的准确性及完整性不作任何保证。本报告</w:t>
      </w:r>
      <w:r>
        <w:rPr>
          <w:spacing w:val="225"/>
          <w:sz w:val="21"/>
        </w:rPr>
        <w:t> </w:t>
      </w:r>
      <w:r>
        <w:rPr>
          <w:w w:val="95"/>
          <w:sz w:val="21"/>
        </w:rPr>
        <w:t>所载的意见、结论及预测仅反映报告发布当日的观点和判断。在不同时期，本公司可能会发🎧与本报告所载意见、</w:t>
      </w:r>
      <w:r>
        <w:rPr>
          <w:spacing w:val="225"/>
          <w:sz w:val="21"/>
        </w:rPr>
        <w:t> </w:t>
      </w:r>
      <w:r>
        <w:rPr>
          <w:w w:val="95"/>
          <w:sz w:val="21"/>
        </w:rPr>
        <w:t>评估及预测不一致的研究报告。本公司不保证本报告所含信息保持在最新状态。本公司对本报告所含信息可在不发</w:t>
      </w:r>
    </w:p>
    <w:p>
      <w:pPr>
        <w:spacing w:before="1"/>
        <w:ind w:left="400" w:right="0" w:firstLine="0"/>
        <w:jc w:val="both"/>
        <w:rPr>
          <w:sz w:val="21"/>
        </w:rPr>
      </w:pPr>
      <w:r>
        <w:rPr>
          <w:sz w:val="21"/>
        </w:rPr>
        <w:t>🎧通知的情形下做🎧</w:t>
      </w:r>
      <w:r>
        <w:rPr>
          <w:spacing w:val="-3"/>
          <w:sz w:val="21"/>
        </w:rPr>
        <w:t>修改， 投资者应当自行关注相应的更新或修改。</w:t>
      </w:r>
    </w:p>
    <w:p>
      <w:pPr>
        <w:pStyle w:val="BodyText"/>
        <w:spacing w:before="6"/>
        <w:rPr>
          <w:sz w:val="21"/>
        </w:rPr>
      </w:pPr>
    </w:p>
    <w:p>
      <w:pPr>
        <w:spacing w:line="348" w:lineRule="auto" w:before="1"/>
        <w:ind w:left="400" w:right="499" w:firstLine="0"/>
        <w:jc w:val="left"/>
        <w:rPr>
          <w:sz w:val="21"/>
        </w:rPr>
      </w:pPr>
      <w:r>
        <w:rPr>
          <w:w w:val="95"/>
          <w:sz w:val="21"/>
        </w:rPr>
        <w:t>本公司力求报告内容客观、公正，但本报告所载的观点、结论和建议仅供参考，投资者并不能依靠本报告以取代行</w:t>
      </w:r>
      <w:r>
        <w:rPr>
          <w:spacing w:val="182"/>
          <w:sz w:val="21"/>
        </w:rPr>
        <w:t> </w:t>
      </w:r>
      <w:r>
        <w:rPr>
          <w:sz w:val="21"/>
        </w:rPr>
        <w:t>使独立判断。对投资者依据或者使用本报告所造成的一切后果，本公司及作者均不承担任何法律责任。</w:t>
      </w:r>
    </w:p>
    <w:p>
      <w:pPr>
        <w:spacing w:line="348" w:lineRule="auto" w:before="155"/>
        <w:ind w:left="400" w:right="499" w:firstLine="0"/>
        <w:jc w:val="left"/>
        <w:rPr>
          <w:sz w:val="21"/>
        </w:rPr>
      </w:pPr>
      <w:r>
        <w:rPr>
          <w:w w:val="95"/>
          <w:sz w:val="21"/>
        </w:rPr>
        <w:t>本报告版权仅为本公司所有。未经本公司书面许可，任何机构或个人不得以翻版、复制、发表、引用或再次分发他</w:t>
      </w:r>
      <w:r>
        <w:rPr>
          <w:spacing w:val="192"/>
          <w:sz w:val="21"/>
        </w:rPr>
        <w:t> </w:t>
      </w:r>
      <w:r>
        <w:rPr>
          <w:w w:val="95"/>
          <w:sz w:val="21"/>
        </w:rPr>
        <w:t>人等任何形式侵犯本公司版权。如征得本公司同意进行引用、刊发的，需在允许的范围内使用，并注明🎧处为</w:t>
      </w:r>
      <w:r>
        <w:rPr>
          <w:w w:val="70"/>
          <w:sz w:val="21"/>
        </w:rPr>
        <w:t>“</w:t>
      </w:r>
      <w:r>
        <w:rPr>
          <w:w w:val="95"/>
          <w:sz w:val="21"/>
        </w:rPr>
        <w:t>华</w:t>
      </w:r>
      <w:r>
        <w:rPr>
          <w:spacing w:val="236"/>
          <w:sz w:val="21"/>
        </w:rPr>
        <w:t> </w:t>
      </w:r>
      <w:r>
        <w:rPr>
          <w:spacing w:val="-1"/>
          <w:w w:val="99"/>
          <w:sz w:val="21"/>
        </w:rPr>
        <w:t>泰期货研究院</w:t>
      </w:r>
      <w:r>
        <w:rPr>
          <w:w w:val="35"/>
          <w:sz w:val="21"/>
        </w:rPr>
        <w:t>”</w:t>
      </w:r>
      <w:r>
        <w:rPr>
          <w:spacing w:val="-1"/>
          <w:w w:val="99"/>
          <w:sz w:val="21"/>
        </w:rPr>
        <w:t>，且不得对本报告进行任何有悖原意的引用、删节和修改。本公司保留追究相关责任的权力。所有</w:t>
      </w:r>
      <w:r>
        <w:rPr>
          <w:sz w:val="21"/>
        </w:rPr>
        <w:t>本报告中使用的商标、服务标记及标记均为本公司的商标、服务标记及标记。</w:t>
      </w:r>
    </w:p>
    <w:p>
      <w:pPr>
        <w:spacing w:before="156"/>
        <w:ind w:left="400" w:right="0" w:firstLine="0"/>
        <w:jc w:val="left"/>
        <w:rPr>
          <w:sz w:val="21"/>
        </w:rPr>
      </w:pPr>
      <w:r>
        <w:rPr>
          <w:sz w:val="21"/>
        </w:rPr>
        <w:t>华泰期货有限公司版权所有并保留一切权利。</w:t>
      </w:r>
    </w:p>
    <w:p>
      <w:pPr>
        <w:pStyle w:val="BodyText"/>
        <w:spacing w:before="3"/>
        <w:rPr>
          <w:sz w:val="16"/>
        </w:rPr>
      </w:pPr>
    </w:p>
    <w:p>
      <w:pPr>
        <w:pStyle w:val="Heading1"/>
        <w:spacing w:before="1"/>
      </w:pPr>
      <w:r>
        <w:rPr>
          <w:color w:val="C00000"/>
        </w:rPr>
        <w:t>公司总部</w:t>
      </w:r>
    </w:p>
    <w:p>
      <w:pPr>
        <w:spacing w:line="484" w:lineRule="auto" w:before="260"/>
        <w:ind w:left="400" w:right="5002" w:firstLine="0"/>
        <w:jc w:val="left"/>
        <w:rPr>
          <w:sz w:val="21"/>
        </w:rPr>
      </w:pPr>
      <w:r>
        <w:rPr>
          <w:spacing w:val="-4"/>
          <w:sz w:val="21"/>
        </w:rPr>
        <w:t>广州市天河区临江大道 </w:t>
      </w:r>
      <w:r>
        <w:rPr>
          <w:sz w:val="21"/>
        </w:rPr>
        <w:t>1</w:t>
      </w:r>
      <w:r>
        <w:rPr>
          <w:spacing w:val="-16"/>
          <w:sz w:val="21"/>
        </w:rPr>
        <w:t> 号之一 </w:t>
      </w:r>
      <w:r>
        <w:rPr>
          <w:sz w:val="21"/>
        </w:rPr>
        <w:t>2101-2106</w:t>
      </w:r>
      <w:r>
        <w:rPr>
          <w:spacing w:val="-6"/>
          <w:sz w:val="21"/>
        </w:rPr>
        <w:t> 单元丨邮编：</w:t>
      </w:r>
      <w:r>
        <w:rPr>
          <w:sz w:val="21"/>
        </w:rPr>
        <w:t>510000</w:t>
      </w:r>
      <w:r>
        <w:rPr>
          <w:spacing w:val="-102"/>
          <w:sz w:val="21"/>
        </w:rPr>
        <w:t> </w:t>
      </w:r>
      <w:r>
        <w:rPr>
          <w:sz w:val="21"/>
        </w:rPr>
        <w:t>电话：400-6280-888</w:t>
      </w:r>
    </w:p>
    <w:p>
      <w:pPr>
        <w:spacing w:before="5"/>
        <w:ind w:left="400" w:right="0" w:firstLine="0"/>
        <w:jc w:val="left"/>
        <w:rPr>
          <w:sz w:val="21"/>
        </w:rPr>
      </w:pPr>
      <w:r>
        <w:rPr>
          <w:spacing w:val="-1"/>
          <w:w w:val="99"/>
          <w:sz w:val="21"/>
        </w:rPr>
        <w:t>网址：</w:t>
      </w:r>
      <w:hyperlink r:id="rId26">
        <w:r>
          <w:rPr>
            <w:w w:val="139"/>
            <w:sz w:val="21"/>
          </w:rPr>
          <w:t>www</w:t>
        </w:r>
        <w:r>
          <w:rPr>
            <w:spacing w:val="-1"/>
            <w:w w:val="43"/>
            <w:sz w:val="21"/>
          </w:rPr>
          <w:t>.</w:t>
        </w:r>
        <w:r>
          <w:rPr>
            <w:spacing w:val="2"/>
            <w:w w:val="109"/>
            <w:sz w:val="21"/>
          </w:rPr>
          <w:t>h</w:t>
        </w:r>
        <w:r>
          <w:rPr>
            <w:w w:val="63"/>
            <w:sz w:val="21"/>
          </w:rPr>
          <w:t>t</w:t>
        </w:r>
        <w:r>
          <w:rPr>
            <w:w w:val="58"/>
            <w:sz w:val="21"/>
          </w:rPr>
          <w:t>f</w:t>
        </w:r>
        <w:r>
          <w:rPr>
            <w:spacing w:val="-1"/>
            <w:w w:val="90"/>
            <w:sz w:val="21"/>
          </w:rPr>
          <w:t>c</w:t>
        </w:r>
        <w:r>
          <w:rPr>
            <w:spacing w:val="-1"/>
            <w:w w:val="43"/>
            <w:sz w:val="21"/>
          </w:rPr>
          <w:t>.</w:t>
        </w:r>
        <w:r>
          <w:rPr>
            <w:spacing w:val="-1"/>
            <w:w w:val="90"/>
            <w:sz w:val="21"/>
          </w:rPr>
          <w:t>c</w:t>
        </w:r>
        <w:r>
          <w:rPr>
            <w:spacing w:val="2"/>
            <w:w w:val="114"/>
            <w:sz w:val="21"/>
          </w:rPr>
          <w:t>o</w:t>
        </w:r>
        <w:r>
          <w:rPr>
            <w:w w:val="167"/>
            <w:sz w:val="21"/>
          </w:rPr>
          <w:t>m</w:t>
        </w:r>
      </w:hyperlink>
    </w:p>
    <w:sectPr>
      <w:pgSz w:w="11910" w:h="16840"/>
      <w:pgMar w:header="948" w:footer="0" w:top="1460" w:bottom="280" w:left="320" w:right="2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mbria Math">
    <w:altName w:val="Cambria Math"/>
    <w:charset w:val="1"/>
    <w:family w:val="roman"/>
    <w:pitch w:val="variable"/>
  </w:font>
  <w:font w:name="SimSun">
    <w:altName w:val="SimSun"/>
    <w:charset w:val="1"/>
    <w:family w:val="roman"/>
    <w:pitch w:val="variable"/>
  </w:font>
  <w:font w:name="Microsoft JhengHei">
    <w:altName w:val="Microsoft JhengHei"/>
    <w:charset w:val="1"/>
    <w:family w:val="swiss"/>
    <w:pitch w:val="variable"/>
  </w:font>
  <w:font w:name="Microsoft YaHei UI">
    <w:altName w:val="Microsoft YaHei UI"/>
    <w:charset w:val="1"/>
    <w:family w:val="swiss"/>
    <w:pitch w:val="variable"/>
  </w:font>
  <w:font w:name="Wingdings">
    <w:altName w:val="Wingdings"/>
    <w:charset w:val="2"/>
    <w:family w:val="decorative"/>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486905344">
          <wp:simplePos x="0" y="0"/>
          <wp:positionH relativeFrom="page">
            <wp:posOffset>478536</wp:posOffset>
          </wp:positionH>
          <wp:positionV relativeFrom="page">
            <wp:posOffset>601980</wp:posOffset>
          </wp:positionV>
          <wp:extent cx="1250172" cy="333242"/>
          <wp:effectExtent l="0" t="0" r="0" b="0"/>
          <wp:wrapNone/>
          <wp:docPr id="1" name="image3.png"/>
          <wp:cNvGraphicFramePr>
            <a:graphicFrameLocks noChangeAspect="1"/>
          </wp:cNvGraphicFramePr>
          <a:graphic>
            <a:graphicData uri="http://schemas.openxmlformats.org/drawingml/2006/picture">
              <pic:pic>
                <pic:nvPicPr>
                  <pic:cNvPr id="2" name="image3.png"/>
                  <pic:cNvPicPr/>
                </pic:nvPicPr>
                <pic:blipFill>
                  <a:blip r:embed="rId1" cstate="print"/>
                  <a:stretch>
                    <a:fillRect/>
                  </a:stretch>
                </pic:blipFill>
                <pic:spPr>
                  <a:xfrm>
                    <a:off x="0" y="0"/>
                    <a:ext cx="1250172" cy="333242"/>
                  </a:xfrm>
                  <a:prstGeom prst="rect">
                    <a:avLst/>
                  </a:prstGeom>
                </pic:spPr>
              </pic:pic>
            </a:graphicData>
          </a:graphic>
        </wp:anchor>
      </w:drawing>
    </w:r>
    <w:r>
      <w:rPr/>
      <w:pict>
        <v:line style="position:absolute;mso-position-horizontal-relative:page;mso-position-vertical-relative:page;z-index:-16410624" from="158.199997pt,71.620026pt" to="554.199997pt,71.620026pt" stroked="true" strokeweight="1.44pt" strokecolor="#c00000">
          <v:stroke dashstyle="solid"/>
          <w10:wrap type="none"/>
        </v:line>
      </w:pict>
    </w:r>
    <w:r>
      <w:rPr/>
      <w:pict>
        <v:shapetype id="_x0000_t202" o:spt="202" coordsize="21600,21600" path="m,l,21600r21600,l21600,xe">
          <v:stroke joinstyle="miter"/>
          <v:path gradientshapeok="t" o:connecttype="rect"/>
        </v:shapetype>
        <v:shape style="position:absolute;margin-left:429.679993pt;margin-top:47.428555pt;width:120.15pt;height:12.45pt;mso-position-horizontal-relative:page;mso-position-vertical-relative:page;z-index:-16410112" type="#_x0000_t202" filled="false" stroked="false">
          <v:textbox inset="0,0,0,0">
            <w:txbxContent>
              <w:p>
                <w:pPr>
                  <w:spacing w:line="249" w:lineRule="exact" w:before="0"/>
                  <w:ind w:left="20" w:right="0" w:firstLine="0"/>
                  <w:jc w:val="left"/>
                  <w:rPr>
                    <w:sz w:val="21"/>
                  </w:rPr>
                </w:pPr>
                <w:r>
                  <w:rPr>
                    <w:color w:val="C00000"/>
                    <w:spacing w:val="4"/>
                    <w:w w:val="95"/>
                    <w:sz w:val="21"/>
                  </w:rPr>
                  <w:t>量化专题报告丨 </w:t>
                </w:r>
                <w:r>
                  <w:rPr>
                    <w:w w:val="95"/>
                    <w:sz w:val="21"/>
                  </w:rPr>
                  <w:t>2023/3/9</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1590" w:hanging="351"/>
        <w:jc w:val="left"/>
      </w:pPr>
      <w:rPr>
        <w:rFonts w:hint="default" w:ascii="Times New Roman" w:hAnsi="Times New Roman" w:eastAsia="Times New Roman" w:cs="Times New Roman"/>
        <w:spacing w:val="0"/>
        <w:w w:val="99"/>
        <w:sz w:val="20"/>
        <w:szCs w:val="20"/>
        <w:lang w:val="en-US" w:eastAsia="zh-CN" w:bidi="ar-SA"/>
      </w:rPr>
    </w:lvl>
    <w:lvl w:ilvl="1">
      <w:start w:val="1"/>
      <w:numFmt w:val="decimal"/>
      <w:lvlText w:val="%2."/>
      <w:lvlJc w:val="left"/>
      <w:pPr>
        <w:ind w:left="3344" w:hanging="394"/>
        <w:jc w:val="left"/>
      </w:pPr>
      <w:rPr>
        <w:rFonts w:hint="default" w:ascii="Microsoft JhengHei" w:hAnsi="Microsoft JhengHei" w:eastAsia="Microsoft JhengHei" w:cs="Microsoft JhengHei"/>
        <w:b/>
        <w:bCs/>
        <w:spacing w:val="-1"/>
        <w:w w:val="93"/>
        <w:sz w:val="22"/>
        <w:szCs w:val="22"/>
        <w:lang w:val="en-US" w:eastAsia="zh-CN" w:bidi="ar-SA"/>
      </w:rPr>
    </w:lvl>
    <w:lvl w:ilvl="2">
      <w:start w:val="0"/>
      <w:numFmt w:val="bullet"/>
      <w:lvlText w:val="•"/>
      <w:lvlJc w:val="left"/>
      <w:pPr>
        <w:ind w:left="4231" w:hanging="394"/>
      </w:pPr>
      <w:rPr>
        <w:rFonts w:hint="default"/>
        <w:lang w:val="en-US" w:eastAsia="zh-CN" w:bidi="ar-SA"/>
      </w:rPr>
    </w:lvl>
    <w:lvl w:ilvl="3">
      <w:start w:val="0"/>
      <w:numFmt w:val="bullet"/>
      <w:lvlText w:val="•"/>
      <w:lvlJc w:val="left"/>
      <w:pPr>
        <w:ind w:left="5123" w:hanging="394"/>
      </w:pPr>
      <w:rPr>
        <w:rFonts w:hint="default"/>
        <w:lang w:val="en-US" w:eastAsia="zh-CN" w:bidi="ar-SA"/>
      </w:rPr>
    </w:lvl>
    <w:lvl w:ilvl="4">
      <w:start w:val="0"/>
      <w:numFmt w:val="bullet"/>
      <w:lvlText w:val="•"/>
      <w:lvlJc w:val="left"/>
      <w:pPr>
        <w:ind w:left="6015" w:hanging="394"/>
      </w:pPr>
      <w:rPr>
        <w:rFonts w:hint="default"/>
        <w:lang w:val="en-US" w:eastAsia="zh-CN" w:bidi="ar-SA"/>
      </w:rPr>
    </w:lvl>
    <w:lvl w:ilvl="5">
      <w:start w:val="0"/>
      <w:numFmt w:val="bullet"/>
      <w:lvlText w:val="•"/>
      <w:lvlJc w:val="left"/>
      <w:pPr>
        <w:ind w:left="6907" w:hanging="394"/>
      </w:pPr>
      <w:rPr>
        <w:rFonts w:hint="default"/>
        <w:lang w:val="en-US" w:eastAsia="zh-CN" w:bidi="ar-SA"/>
      </w:rPr>
    </w:lvl>
    <w:lvl w:ilvl="6">
      <w:start w:val="0"/>
      <w:numFmt w:val="bullet"/>
      <w:lvlText w:val="•"/>
      <w:lvlJc w:val="left"/>
      <w:pPr>
        <w:ind w:left="7798" w:hanging="394"/>
      </w:pPr>
      <w:rPr>
        <w:rFonts w:hint="default"/>
        <w:lang w:val="en-US" w:eastAsia="zh-CN" w:bidi="ar-SA"/>
      </w:rPr>
    </w:lvl>
    <w:lvl w:ilvl="7">
      <w:start w:val="0"/>
      <w:numFmt w:val="bullet"/>
      <w:lvlText w:val="•"/>
      <w:lvlJc w:val="left"/>
      <w:pPr>
        <w:ind w:left="8690" w:hanging="394"/>
      </w:pPr>
      <w:rPr>
        <w:rFonts w:hint="default"/>
        <w:lang w:val="en-US" w:eastAsia="zh-CN" w:bidi="ar-SA"/>
      </w:rPr>
    </w:lvl>
    <w:lvl w:ilvl="8">
      <w:start w:val="0"/>
      <w:numFmt w:val="bullet"/>
      <w:lvlText w:val="•"/>
      <w:lvlJc w:val="left"/>
      <w:pPr>
        <w:ind w:left="9582" w:hanging="394"/>
      </w:pPr>
      <w:rPr>
        <w:rFonts w:hint="default"/>
        <w:lang w:val="en-US" w:eastAsia="zh-CN" w:bidi="ar-SA"/>
      </w:rPr>
    </w:lvl>
  </w:abstractNum>
  <w:abstractNum w:abstractNumId="0">
    <w:multiLevelType w:val="hybridMultilevel"/>
    <w:lvl w:ilvl="0">
      <w:start w:val="4"/>
      <w:numFmt w:val="decimal"/>
      <w:lvlText w:val="%1）"/>
      <w:lvlJc w:val="left"/>
      <w:pPr>
        <w:ind w:left="143" w:hanging="338"/>
        <w:jc w:val="left"/>
      </w:pPr>
      <w:rPr>
        <w:rFonts w:hint="default" w:ascii="SimSun" w:hAnsi="SimSun" w:eastAsia="SimSun" w:cs="SimSun"/>
        <w:spacing w:val="-3"/>
        <w:w w:val="100"/>
        <w:sz w:val="20"/>
        <w:szCs w:val="20"/>
        <w:lang w:val="en-US" w:eastAsia="zh-CN" w:bidi="ar-SA"/>
      </w:rPr>
    </w:lvl>
    <w:lvl w:ilvl="1">
      <w:start w:val="0"/>
      <w:numFmt w:val="bullet"/>
      <w:lvlText w:val="■"/>
      <w:lvlJc w:val="left"/>
      <w:pPr>
        <w:ind w:left="1088" w:hanging="269"/>
      </w:pPr>
      <w:rPr>
        <w:rFonts w:hint="default" w:ascii="SimSun" w:hAnsi="SimSun" w:eastAsia="SimSun" w:cs="SimSun"/>
        <w:w w:val="100"/>
        <w:sz w:val="18"/>
        <w:szCs w:val="18"/>
        <w:lang w:val="en-US" w:eastAsia="zh-CN" w:bidi="ar-SA"/>
      </w:rPr>
    </w:lvl>
    <w:lvl w:ilvl="2">
      <w:start w:val="0"/>
      <w:numFmt w:val="bullet"/>
      <w:lvlText w:val="■"/>
      <w:lvlJc w:val="left"/>
      <w:pPr>
        <w:ind w:left="3340" w:hanging="389"/>
      </w:pPr>
      <w:rPr>
        <w:rFonts w:hint="default" w:ascii="SimSun" w:hAnsi="SimSun" w:eastAsia="SimSun" w:cs="SimSun"/>
        <w:color w:val="C00000"/>
        <w:w w:val="100"/>
        <w:sz w:val="22"/>
        <w:szCs w:val="22"/>
        <w:lang w:val="en-US" w:eastAsia="zh-CN" w:bidi="ar-SA"/>
      </w:rPr>
    </w:lvl>
    <w:lvl w:ilvl="3">
      <w:start w:val="0"/>
      <w:numFmt w:val="bullet"/>
      <w:lvlText w:val="•"/>
      <w:lvlJc w:val="left"/>
      <w:pPr>
        <w:ind w:left="3992" w:hanging="389"/>
      </w:pPr>
      <w:rPr>
        <w:rFonts w:hint="default"/>
        <w:lang w:val="en-US" w:eastAsia="zh-CN" w:bidi="ar-SA"/>
      </w:rPr>
    </w:lvl>
    <w:lvl w:ilvl="4">
      <w:start w:val="0"/>
      <w:numFmt w:val="bullet"/>
      <w:lvlText w:val="•"/>
      <w:lvlJc w:val="left"/>
      <w:pPr>
        <w:ind w:left="4644" w:hanging="389"/>
      </w:pPr>
      <w:rPr>
        <w:rFonts w:hint="default"/>
        <w:lang w:val="en-US" w:eastAsia="zh-CN" w:bidi="ar-SA"/>
      </w:rPr>
    </w:lvl>
    <w:lvl w:ilvl="5">
      <w:start w:val="0"/>
      <w:numFmt w:val="bullet"/>
      <w:lvlText w:val="•"/>
      <w:lvlJc w:val="left"/>
      <w:pPr>
        <w:ind w:left="5296" w:hanging="389"/>
      </w:pPr>
      <w:rPr>
        <w:rFonts w:hint="default"/>
        <w:lang w:val="en-US" w:eastAsia="zh-CN" w:bidi="ar-SA"/>
      </w:rPr>
    </w:lvl>
    <w:lvl w:ilvl="6">
      <w:start w:val="0"/>
      <w:numFmt w:val="bullet"/>
      <w:lvlText w:val="•"/>
      <w:lvlJc w:val="left"/>
      <w:pPr>
        <w:ind w:left="5949" w:hanging="389"/>
      </w:pPr>
      <w:rPr>
        <w:rFonts w:hint="default"/>
        <w:lang w:val="en-US" w:eastAsia="zh-CN" w:bidi="ar-SA"/>
      </w:rPr>
    </w:lvl>
    <w:lvl w:ilvl="7">
      <w:start w:val="0"/>
      <w:numFmt w:val="bullet"/>
      <w:lvlText w:val="•"/>
      <w:lvlJc w:val="left"/>
      <w:pPr>
        <w:ind w:left="6601" w:hanging="389"/>
      </w:pPr>
      <w:rPr>
        <w:rFonts w:hint="default"/>
        <w:lang w:val="en-US" w:eastAsia="zh-CN" w:bidi="ar-SA"/>
      </w:rPr>
    </w:lvl>
    <w:lvl w:ilvl="8">
      <w:start w:val="0"/>
      <w:numFmt w:val="bullet"/>
      <w:lvlText w:val="•"/>
      <w:lvlJc w:val="left"/>
      <w:pPr>
        <w:ind w:left="7253" w:hanging="389"/>
      </w:pPr>
      <w:rPr>
        <w:rFonts w:hint="default"/>
        <w:lang w:val="en-US" w:eastAsia="zh-CN"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line="353" w:lineRule="exact"/>
      <w:ind w:left="400"/>
    </w:pPr>
    <w:rPr>
      <w:rFonts w:ascii="Microsoft JhengHei" w:hAnsi="Microsoft JhengHei" w:eastAsia="Microsoft JhengHei" w:cs="Microsoft JhengHei"/>
      <w:b/>
      <w:bCs/>
      <w:sz w:val="20"/>
      <w:szCs w:val="20"/>
      <w:lang w:val="en-US" w:eastAsia="zh-CN" w:bidi="ar-SA"/>
    </w:rPr>
  </w:style>
  <w:style w:styleId="TOC2" w:type="paragraph">
    <w:name w:val="TOC 2"/>
    <w:basedOn w:val="Normal"/>
    <w:uiPriority w:val="1"/>
    <w:qFormat/>
    <w:pPr>
      <w:spacing w:before="81"/>
      <w:ind w:left="1088" w:hanging="269"/>
    </w:pPr>
    <w:rPr>
      <w:rFonts w:ascii="Times New Roman" w:hAnsi="Times New Roman" w:eastAsia="Times New Roman" w:cs="Times New Roman"/>
      <w:sz w:val="18"/>
      <w:szCs w:val="18"/>
      <w:lang w:val="en-US" w:eastAsia="zh-CN" w:bidi="ar-SA"/>
    </w:rPr>
  </w:style>
  <w:style w:styleId="TOC3" w:type="paragraph">
    <w:name w:val="TOC 3"/>
    <w:basedOn w:val="Normal"/>
    <w:uiPriority w:val="1"/>
    <w:qFormat/>
    <w:pPr>
      <w:spacing w:before="74"/>
      <w:ind w:left="1590" w:hanging="351"/>
    </w:pPr>
    <w:rPr>
      <w:rFonts w:ascii="SimSun" w:hAnsi="SimSun" w:eastAsia="SimSun" w:cs="SimSun"/>
      <w:sz w:val="20"/>
      <w:szCs w:val="20"/>
      <w:lang w:val="en-US" w:eastAsia="zh-CN" w:bidi="ar-SA"/>
    </w:rPr>
  </w:style>
  <w:style w:styleId="BodyText" w:type="paragraph">
    <w:name w:val="Body Text"/>
    <w:basedOn w:val="Normal"/>
    <w:uiPriority w:val="1"/>
    <w:qFormat/>
    <w:pPr/>
    <w:rPr>
      <w:rFonts w:ascii="SimSun" w:hAnsi="SimSun" w:eastAsia="SimSun" w:cs="SimSun"/>
      <w:sz w:val="22"/>
      <w:szCs w:val="22"/>
      <w:lang w:val="en-US" w:eastAsia="zh-CN" w:bidi="ar-SA"/>
    </w:rPr>
  </w:style>
  <w:style w:styleId="Heading1" w:type="paragraph">
    <w:name w:val="Heading 1"/>
    <w:basedOn w:val="Normal"/>
    <w:uiPriority w:val="1"/>
    <w:qFormat/>
    <w:pPr>
      <w:ind w:left="400"/>
      <w:outlineLvl w:val="1"/>
    </w:pPr>
    <w:rPr>
      <w:rFonts w:ascii="Microsoft JhengHei" w:hAnsi="Microsoft JhengHei" w:eastAsia="Microsoft JhengHei" w:cs="Microsoft JhengHei"/>
      <w:b/>
      <w:bCs/>
      <w:sz w:val="32"/>
      <w:szCs w:val="32"/>
      <w:lang w:val="en-US" w:eastAsia="zh-CN" w:bidi="ar-SA"/>
    </w:rPr>
  </w:style>
  <w:style w:styleId="Heading2" w:type="paragraph">
    <w:name w:val="Heading 2"/>
    <w:basedOn w:val="Normal"/>
    <w:uiPriority w:val="1"/>
    <w:qFormat/>
    <w:pPr>
      <w:ind w:left="3340" w:hanging="389"/>
      <w:outlineLvl w:val="2"/>
    </w:pPr>
    <w:rPr>
      <w:rFonts w:ascii="Microsoft JhengHei" w:hAnsi="Microsoft JhengHei" w:eastAsia="Microsoft JhengHei" w:cs="Microsoft JhengHei"/>
      <w:b/>
      <w:bCs/>
      <w:sz w:val="22"/>
      <w:szCs w:val="22"/>
      <w:lang w:val="en-US" w:eastAsia="zh-CN" w:bidi="ar-SA"/>
    </w:rPr>
  </w:style>
  <w:style w:styleId="Title" w:type="paragraph">
    <w:name w:val="Title"/>
    <w:basedOn w:val="Normal"/>
    <w:uiPriority w:val="1"/>
    <w:qFormat/>
    <w:pPr>
      <w:spacing w:line="807" w:lineRule="exact"/>
      <w:ind w:right="773"/>
      <w:jc w:val="right"/>
    </w:pPr>
    <w:rPr>
      <w:rFonts w:ascii="Microsoft JhengHei" w:hAnsi="Microsoft JhengHei" w:eastAsia="Microsoft JhengHei" w:cs="Microsoft JhengHei"/>
      <w:b/>
      <w:bCs/>
      <w:sz w:val="44"/>
      <w:szCs w:val="44"/>
      <w:lang w:val="en-US" w:eastAsia="zh-CN" w:bidi="ar-SA"/>
    </w:rPr>
  </w:style>
  <w:style w:styleId="ListParagraph" w:type="paragraph">
    <w:name w:val="List Paragraph"/>
    <w:basedOn w:val="Normal"/>
    <w:uiPriority w:val="1"/>
    <w:qFormat/>
    <w:pPr>
      <w:ind w:left="1088" w:hanging="389"/>
    </w:pPr>
    <w:rPr>
      <w:rFonts w:ascii="SimSun" w:hAnsi="SimSun" w:eastAsia="SimSun" w:cs="SimSun"/>
      <w:lang w:val="en-US" w:eastAsia="zh-CN" w:bidi="ar-SA"/>
    </w:rPr>
  </w:style>
  <w:style w:styleId="TableParagraph" w:type="paragraph">
    <w:name w:val="Table Paragraph"/>
    <w:basedOn w:val="Normal"/>
    <w:uiPriority w:val="1"/>
    <w:qFormat/>
    <w:pPr>
      <w:spacing w:before="89"/>
      <w:jc w:val="center"/>
    </w:pPr>
    <w:rPr>
      <w:rFonts w:ascii="Times New Roman" w:hAnsi="Times New Roman" w:eastAsia="Times New Roman" w:cs="Times New Roma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mailto:gaotianyue@htfc.com" TargetMode="External"/><Relationship Id="rId6" Type="http://schemas.openxmlformats.org/officeDocument/2006/relationships/hyperlink" Target="mailto:liyizi@htfc.com" TargetMode="External"/><Relationship Id="rId7" Type="http://schemas.openxmlformats.org/officeDocument/2006/relationships/hyperlink" Target="mailto:huangfengying@htfc.com" TargetMode="External"/><Relationship Id="rId8" Type="http://schemas.openxmlformats.org/officeDocument/2006/relationships/hyperlink" Target="mailto:liguangting@htfc.com"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header" Target="header1.xm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hyperlink" Target="http://www.htfc.com/" TargetMode="External"/><Relationship Id="rId2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Lynn Fu</dc:creator>
  <dcterms:created xsi:type="dcterms:W3CDTF">2023-10-16T02:06:52Z</dcterms:created>
  <dcterms:modified xsi:type="dcterms:W3CDTF">2023-10-16T02:06:52Z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WPS 文字</vt:lpwstr>
  </property>
  <property fmtid="{D5CDD505-2E9C-101B-9397-08002B2CF9AE}" pid="4" name="LastSaved">
    <vt:filetime>2023-10-16T00:00:00Z</vt:filetime>
  </property>
</Properties>
</file>