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B14" w:rsidRDefault="00E57AC6">
      <w:r>
        <w:rPr>
          <w:noProof/>
        </w:rPr>
        <w:drawing>
          <wp:inline distT="0" distB="0" distL="0" distR="0">
            <wp:extent cx="6096000" cy="2085975"/>
            <wp:effectExtent l="0" t="0" r="0" b="0"/>
            <wp:docPr id="1" name="cover" descr="Isometric store racks"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085975"/>
                    </a:xfrm>
                    <a:prstGeom prst="rect">
                      <a:avLst/>
                    </a:prstGeom>
                  </pic:spPr>
                </pic:pic>
              </a:graphicData>
            </a:graphic>
          </wp:inline>
        </w:drawing>
      </w:r>
    </w:p>
    <w:p w:rsidR="00800B14" w:rsidRDefault="00E57AC6">
      <w:pPr>
        <w:spacing w:before="700" w:after="360"/>
      </w:pPr>
      <w:r>
        <w:rPr>
          <w:b/>
          <w:bCs/>
          <w:color w:val="0E8C8C"/>
          <w:spacing w:val="40"/>
          <w:sz w:val="20"/>
          <w:szCs w:val="20"/>
        </w:rPr>
        <w:t>OPERATIONAL EXCELLENCE  |  STEP 3 OF THE STORE OPTIMIZATION PROJECT</w:t>
      </w:r>
    </w:p>
    <w:p w:rsidR="00800B14" w:rsidRDefault="00E57AC6">
      <w:pPr>
        <w:spacing w:after="80" w:line="276" w:lineRule="auto"/>
      </w:pPr>
      <w:r>
        <w:rPr>
          <w:b/>
          <w:bCs/>
          <w:color w:val="0B2545"/>
          <w:sz w:val="56"/>
          <w:szCs w:val="56"/>
        </w:rPr>
        <w:t>Step 3 — FSN Inventory Analysis</w:t>
      </w:r>
    </w:p>
    <w:p w:rsidR="00800B14" w:rsidRDefault="00E57AC6">
      <w:pPr>
        <w:pBdr>
          <w:bottom w:val="single" w:sz="18" w:space="10" w:color="0E8C8C"/>
        </w:pBdr>
        <w:spacing w:after="200" w:line="276" w:lineRule="auto"/>
      </w:pPr>
      <w:r>
        <w:rPr>
          <w:b/>
          <w:bCs/>
          <w:color w:val="0B2545"/>
          <w:sz w:val="56"/>
          <w:szCs w:val="56"/>
        </w:rPr>
        <w:t>&amp; Inventory Rationalization</w:t>
      </w:r>
    </w:p>
    <w:p w:rsidR="00800B14" w:rsidRDefault="00E57AC6">
      <w:pPr>
        <w:spacing w:before="160" w:after="60"/>
      </w:pPr>
      <w:r>
        <w:rPr>
          <w:b/>
          <w:bCs/>
          <w:color w:val="0E8C8C"/>
          <w:sz w:val="32"/>
          <w:szCs w:val="32"/>
        </w:rPr>
        <w:t>Extrusion Stores  ·  Factory 1 Spares  ·  Powder Stores</w:t>
      </w:r>
    </w:p>
    <w:p w:rsidR="00800B14" w:rsidRDefault="00E57AC6">
      <w:pPr>
        <w:spacing w:after="500"/>
      </w:pPr>
      <w:r>
        <w:rPr>
          <w:color w:val="5B6677"/>
          <w:sz w:val="24"/>
          <w:szCs w:val="24"/>
        </w:rPr>
        <w:t>Fast–Slow–Non-moving analysis of six-month store consumption, with the stock-control formulas used</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6"/>
      </w:tblGrid>
      <w:tr w:rsidR="00800B14">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800B14" w:rsidRDefault="00E57AC6">
            <w:pPr>
              <w:spacing w:after="40" w:line="250" w:lineRule="auto"/>
            </w:pPr>
            <w:r>
              <w:rPr>
                <w:b/>
                <w:bCs/>
                <w:color w:val="FFFFFF"/>
                <w:sz w:val="19"/>
                <w:szCs w:val="19"/>
              </w:rPr>
              <w:t>Project</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9"/>
                <w:szCs w:val="19"/>
              </w:rPr>
              <w:t>Store Optimization</w:t>
            </w:r>
          </w:p>
        </w:tc>
      </w:tr>
      <w:tr w:rsidR="00800B14">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800B14" w:rsidRDefault="00E57AC6">
            <w:pPr>
              <w:spacing w:after="40" w:line="250" w:lineRule="auto"/>
            </w:pPr>
            <w:r>
              <w:rPr>
                <w:b/>
                <w:bCs/>
                <w:color w:val="FFFFFF"/>
                <w:sz w:val="19"/>
                <w:szCs w:val="19"/>
              </w:rPr>
              <w:t>Organization / Facility</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053300">
            <w:pPr>
              <w:spacing w:after="40" w:line="250" w:lineRule="auto"/>
            </w:pPr>
            <w:r>
              <w:rPr>
                <w:i/>
                <w:iCs/>
                <w:color w:val="5B6677"/>
                <w:sz w:val="19"/>
                <w:szCs w:val="19"/>
              </w:rPr>
              <w:t>Cosmos Air Distribution Products</w:t>
            </w:r>
          </w:p>
        </w:tc>
      </w:tr>
      <w:tr w:rsidR="00800B14">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800B14" w:rsidRDefault="00E57AC6">
            <w:pPr>
              <w:spacing w:after="40" w:line="250" w:lineRule="auto"/>
            </w:pPr>
            <w:r>
              <w:rPr>
                <w:b/>
                <w:bCs/>
                <w:color w:val="FFFFFF"/>
                <w:sz w:val="19"/>
                <w:szCs w:val="19"/>
              </w:rPr>
              <w:t>Prepared by</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053300">
            <w:pPr>
              <w:spacing w:after="40" w:line="250" w:lineRule="auto"/>
            </w:pPr>
            <w:r>
              <w:rPr>
                <w:i/>
                <w:iCs/>
                <w:color w:val="5B6677"/>
                <w:sz w:val="19"/>
                <w:szCs w:val="19"/>
              </w:rPr>
              <w:t>Mahir Valani</w:t>
            </w:r>
          </w:p>
        </w:tc>
      </w:tr>
      <w:tr w:rsidR="00800B14">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800B14" w:rsidRDefault="00E57AC6">
            <w:pPr>
              <w:spacing w:after="40" w:line="250" w:lineRule="auto"/>
            </w:pPr>
            <w:r>
              <w:rPr>
                <w:b/>
                <w:bCs/>
                <w:color w:val="FFFFFF"/>
                <w:sz w:val="19"/>
                <w:szCs w:val="19"/>
              </w:rPr>
              <w:t>Date</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053300">
            <w:pPr>
              <w:spacing w:after="40" w:line="250" w:lineRule="auto"/>
            </w:pPr>
            <w:r>
              <w:rPr>
                <w:i/>
                <w:iCs/>
                <w:color w:val="5B6677"/>
                <w:sz w:val="19"/>
                <w:szCs w:val="19"/>
              </w:rPr>
              <w:t>23/05/2026</w:t>
            </w:r>
          </w:p>
        </w:tc>
      </w:tr>
      <w:tr w:rsidR="00800B14">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800B14" w:rsidRDefault="00E57AC6">
            <w:pPr>
              <w:spacing w:after="40" w:line="250" w:lineRule="auto"/>
            </w:pPr>
            <w:r>
              <w:rPr>
                <w:b/>
                <w:bCs/>
                <w:color w:val="FFFFFF"/>
                <w:sz w:val="19"/>
                <w:szCs w:val="19"/>
              </w:rPr>
              <w:t>Document version</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9"/>
                <w:szCs w:val="19"/>
              </w:rPr>
              <w:t>v0.1 — First draft for review</w:t>
            </w:r>
          </w:p>
        </w:tc>
      </w:tr>
      <w:tr w:rsidR="00800B14">
        <w:tblPrEx>
          <w:tblCellMar>
            <w:top w:w="0" w:type="dxa"/>
            <w:bottom w:w="0" w:type="dxa"/>
          </w:tblCellMar>
        </w:tblPrEx>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70" w:type="dxa"/>
              <w:left w:w="90" w:type="dxa"/>
              <w:bottom w:w="70" w:type="dxa"/>
              <w:right w:w="90" w:type="dxa"/>
            </w:tcMar>
          </w:tcPr>
          <w:p w:rsidR="00800B14" w:rsidRDefault="00E57AC6">
            <w:pPr>
              <w:spacing w:after="40" w:line="250" w:lineRule="auto"/>
            </w:pPr>
            <w:r>
              <w:rPr>
                <w:b/>
                <w:bCs/>
                <w:color w:val="FFFFFF"/>
                <w:sz w:val="19"/>
                <w:szCs w:val="19"/>
              </w:rPr>
              <w:t>Source workbooks</w:t>
            </w:r>
          </w:p>
        </w:tc>
        <w:tc>
          <w:tcPr>
            <w:tcW w:w="7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053300">
            <w:pPr>
              <w:spacing w:after="40" w:line="250" w:lineRule="auto"/>
            </w:pPr>
            <w:r>
              <w:rPr>
                <w:color w:val="0B2545"/>
                <w:sz w:val="19"/>
                <w:szCs w:val="19"/>
              </w:rPr>
              <w:t>4</w:t>
            </w:r>
            <w:r w:rsidR="00E57AC6">
              <w:rPr>
                <w:color w:val="0B2545"/>
                <w:sz w:val="19"/>
                <w:szCs w:val="19"/>
              </w:rPr>
              <w:t xml:space="preserve"> Excel workb</w:t>
            </w:r>
            <w:r>
              <w:rPr>
                <w:color w:val="0B2545"/>
                <w:sz w:val="19"/>
                <w:szCs w:val="19"/>
              </w:rPr>
              <w:t>ooks (Extrusion, Spares, Powder,Others)</w:t>
            </w:r>
          </w:p>
        </w:tc>
      </w:tr>
    </w:tbl>
    <w:p w:rsidR="00800B14" w:rsidRDefault="00800B14">
      <w:pPr>
        <w:sectPr w:rsidR="00800B14">
          <w:headerReference w:type="default" r:id="rId8"/>
          <w:footerReference w:type="default" r:id="rId9"/>
          <w:headerReference w:type="first" r:id="rId10"/>
          <w:footerReference w:type="first" r:id="rId11"/>
          <w:pgSz w:w="11906" w:h="16838"/>
          <w:pgMar w:top="1300" w:right="1150" w:bottom="1150" w:left="1150" w:header="500" w:footer="450" w:gutter="0"/>
          <w:cols w:space="720"/>
          <w:titlePg/>
          <w:docGrid w:linePitch="360"/>
        </w:sectPr>
      </w:pPr>
    </w:p>
    <w:p w:rsidR="00800B14" w:rsidRDefault="00E57AC6">
      <w:pPr>
        <w:pageBreakBefore/>
        <w:pBdr>
          <w:bottom w:val="single" w:sz="12" w:space="6" w:color="0E8C8C"/>
        </w:pBdr>
        <w:spacing w:after="200"/>
      </w:pPr>
      <w:r>
        <w:rPr>
          <w:b/>
          <w:bCs/>
          <w:color w:val="0B2545"/>
          <w:sz w:val="40"/>
          <w:szCs w:val="40"/>
        </w:rPr>
        <w:lastRenderedPageBreak/>
        <w:t>Table of Contents</w:t>
      </w:r>
    </w:p>
    <w:p w:rsidR="00800B14" w:rsidRDefault="00E57AC6">
      <w:pPr>
        <w:tabs>
          <w:tab w:val="right" w:leader="dot" w:pos="9606"/>
        </w:tabs>
        <w:spacing w:before="60" w:after="30"/>
      </w:pPr>
      <w:hyperlink w:anchor="h1" w:history="1">
        <w:r>
          <w:rPr>
            <w:b/>
            <w:bCs/>
            <w:color w:val="0B2545"/>
          </w:rPr>
          <w:t>1. Executive Summary</w:t>
        </w:r>
        <w:r>
          <w:rPr>
            <w:color w:val="5B6677"/>
            <w:sz w:val="18"/>
            <w:szCs w:val="18"/>
          </w:rPr>
          <w:tab/>
          <w:t>3</w:t>
        </w:r>
      </w:hyperlink>
    </w:p>
    <w:p w:rsidR="00800B14" w:rsidRDefault="00E57AC6">
      <w:pPr>
        <w:tabs>
          <w:tab w:val="right" w:leader="dot" w:pos="9606"/>
        </w:tabs>
        <w:spacing w:before="60" w:after="30"/>
      </w:pPr>
      <w:hyperlink w:anchor="h5" w:history="1">
        <w:r>
          <w:rPr>
            <w:b/>
            <w:bCs/>
            <w:color w:val="0B2545"/>
          </w:rPr>
          <w:t>2. Project Context a</w:t>
        </w:r>
        <w:r>
          <w:rPr>
            <w:b/>
            <w:bCs/>
            <w:color w:val="0B2545"/>
          </w:rPr>
          <w:t>nd Scope</w:t>
        </w:r>
        <w:r>
          <w:rPr>
            <w:color w:val="5B6677"/>
            <w:sz w:val="18"/>
            <w:szCs w:val="18"/>
          </w:rPr>
          <w:tab/>
          <w:t>4</w:t>
        </w:r>
      </w:hyperlink>
    </w:p>
    <w:p w:rsidR="00800B14" w:rsidRDefault="00E57AC6">
      <w:pPr>
        <w:tabs>
          <w:tab w:val="right" w:leader="dot" w:pos="9606"/>
        </w:tabs>
        <w:spacing w:after="10"/>
        <w:ind w:left="360"/>
      </w:pPr>
      <w:hyperlink w:anchor="h6" w:history="1">
        <w:r>
          <w:rPr>
            <w:color w:val="5B6677"/>
            <w:sz w:val="18"/>
            <w:szCs w:val="18"/>
          </w:rPr>
          <w:t>2.1 Objective</w:t>
        </w:r>
        <w:r>
          <w:rPr>
            <w:color w:val="5B6677"/>
            <w:sz w:val="18"/>
            <w:szCs w:val="18"/>
          </w:rPr>
          <w:tab/>
          <w:t>4</w:t>
        </w:r>
      </w:hyperlink>
    </w:p>
    <w:p w:rsidR="00800B14" w:rsidRDefault="00E57AC6">
      <w:pPr>
        <w:tabs>
          <w:tab w:val="right" w:leader="dot" w:pos="9606"/>
        </w:tabs>
        <w:spacing w:after="10"/>
        <w:ind w:left="360"/>
      </w:pPr>
      <w:hyperlink w:anchor="h7" w:history="1">
        <w:r>
          <w:rPr>
            <w:color w:val="5B6677"/>
            <w:sz w:val="18"/>
            <w:szCs w:val="18"/>
          </w:rPr>
          <w:t>2.2 Work carried out</w:t>
        </w:r>
        <w:r>
          <w:rPr>
            <w:color w:val="5B6677"/>
            <w:sz w:val="18"/>
            <w:szCs w:val="18"/>
          </w:rPr>
          <w:tab/>
          <w:t>4</w:t>
        </w:r>
      </w:hyperlink>
    </w:p>
    <w:p w:rsidR="00800B14" w:rsidRDefault="00E57AC6">
      <w:pPr>
        <w:tabs>
          <w:tab w:val="right" w:leader="dot" w:pos="9606"/>
        </w:tabs>
        <w:spacing w:after="10"/>
        <w:ind w:left="360"/>
      </w:pPr>
      <w:hyperlink w:anchor="h8" w:history="1">
        <w:r>
          <w:rPr>
            <w:color w:val="5B6677"/>
            <w:sz w:val="18"/>
            <w:szCs w:val="18"/>
          </w:rPr>
          <w:t>2.3 Scope of this report</w:t>
        </w:r>
        <w:r>
          <w:rPr>
            <w:color w:val="5B6677"/>
            <w:sz w:val="18"/>
            <w:szCs w:val="18"/>
          </w:rPr>
          <w:tab/>
          <w:t>4</w:t>
        </w:r>
      </w:hyperlink>
    </w:p>
    <w:p w:rsidR="00800B14" w:rsidRDefault="00E57AC6">
      <w:pPr>
        <w:tabs>
          <w:tab w:val="right" w:leader="dot" w:pos="9606"/>
        </w:tabs>
        <w:spacing w:before="60" w:after="30"/>
      </w:pPr>
      <w:hyperlink w:anchor="h9" w:history="1">
        <w:r>
          <w:rPr>
            <w:b/>
            <w:bCs/>
            <w:color w:val="0B2545"/>
          </w:rPr>
          <w:t>3. Data Sources and Method</w:t>
        </w:r>
        <w:r>
          <w:rPr>
            <w:color w:val="5B6677"/>
            <w:sz w:val="18"/>
            <w:szCs w:val="18"/>
          </w:rPr>
          <w:tab/>
          <w:t>4</w:t>
        </w:r>
      </w:hyperlink>
    </w:p>
    <w:p w:rsidR="00800B14" w:rsidRDefault="00E57AC6">
      <w:pPr>
        <w:tabs>
          <w:tab w:val="right" w:leader="dot" w:pos="9606"/>
        </w:tabs>
        <w:spacing w:after="10"/>
        <w:ind w:left="360"/>
      </w:pPr>
      <w:hyperlink w:anchor="h10" w:history="1">
        <w:r>
          <w:rPr>
            <w:color w:val="5B6677"/>
            <w:sz w:val="18"/>
            <w:szCs w:val="18"/>
          </w:rPr>
          <w:t>3.1 Workbooks reviewed</w:t>
        </w:r>
        <w:r>
          <w:rPr>
            <w:color w:val="5B6677"/>
            <w:sz w:val="18"/>
            <w:szCs w:val="18"/>
          </w:rPr>
          <w:tab/>
          <w:t>4</w:t>
        </w:r>
      </w:hyperlink>
    </w:p>
    <w:p w:rsidR="00800B14" w:rsidRDefault="00E57AC6">
      <w:pPr>
        <w:tabs>
          <w:tab w:val="right" w:leader="dot" w:pos="9606"/>
        </w:tabs>
        <w:spacing w:after="10"/>
        <w:ind w:left="360"/>
      </w:pPr>
      <w:hyperlink w:anchor="h11" w:history="1">
        <w:r>
          <w:rPr>
            <w:color w:val="5B6677"/>
            <w:sz w:val="18"/>
            <w:szCs w:val="18"/>
          </w:rPr>
          <w:t>3.2 How the review was done</w:t>
        </w:r>
        <w:r>
          <w:rPr>
            <w:color w:val="5B6677"/>
            <w:sz w:val="18"/>
            <w:szCs w:val="18"/>
          </w:rPr>
          <w:tab/>
          <w:t>5</w:t>
        </w:r>
      </w:hyperlink>
    </w:p>
    <w:p w:rsidR="00800B14" w:rsidRDefault="00E57AC6">
      <w:pPr>
        <w:tabs>
          <w:tab w:val="right" w:leader="dot" w:pos="9606"/>
        </w:tabs>
        <w:spacing w:after="10"/>
        <w:ind w:left="360"/>
      </w:pPr>
      <w:hyperlink w:anchor="h12" w:history="1">
        <w:r>
          <w:rPr>
            <w:color w:val="5B6677"/>
            <w:sz w:val="18"/>
            <w:szCs w:val="18"/>
          </w:rPr>
          <w:t>3.3 FSN class labels used</w:t>
        </w:r>
        <w:r>
          <w:rPr>
            <w:color w:val="5B6677"/>
            <w:sz w:val="18"/>
            <w:szCs w:val="18"/>
          </w:rPr>
          <w:tab/>
          <w:t>5</w:t>
        </w:r>
      </w:hyperlink>
    </w:p>
    <w:p w:rsidR="00800B14" w:rsidRDefault="00E57AC6">
      <w:pPr>
        <w:tabs>
          <w:tab w:val="right" w:leader="dot" w:pos="9606"/>
        </w:tabs>
        <w:spacing w:before="60" w:after="30"/>
      </w:pPr>
      <w:hyperlink w:anchor="h13" w:history="1">
        <w:r>
          <w:rPr>
            <w:b/>
            <w:bCs/>
            <w:color w:val="0B2545"/>
          </w:rPr>
          <w:t>4. FSN Classification Framework</w:t>
        </w:r>
        <w:r>
          <w:rPr>
            <w:color w:val="5B6677"/>
            <w:sz w:val="18"/>
            <w:szCs w:val="18"/>
          </w:rPr>
          <w:tab/>
          <w:t>6</w:t>
        </w:r>
      </w:hyperlink>
    </w:p>
    <w:p w:rsidR="00800B14" w:rsidRDefault="00E57AC6">
      <w:pPr>
        <w:tabs>
          <w:tab w:val="right" w:leader="dot" w:pos="9606"/>
        </w:tabs>
        <w:spacing w:before="60" w:after="30"/>
      </w:pPr>
      <w:hyperlink w:anchor="h14" w:history="1">
        <w:r>
          <w:rPr>
            <w:b/>
            <w:bCs/>
            <w:color w:val="0B2545"/>
          </w:rPr>
          <w:t>5. Extrusion Stores</w:t>
        </w:r>
        <w:r>
          <w:rPr>
            <w:color w:val="5B6677"/>
            <w:sz w:val="18"/>
            <w:szCs w:val="18"/>
          </w:rPr>
          <w:tab/>
          <w:t>6</w:t>
        </w:r>
      </w:hyperlink>
    </w:p>
    <w:p w:rsidR="00800B14" w:rsidRDefault="00E57AC6">
      <w:pPr>
        <w:tabs>
          <w:tab w:val="right" w:leader="dot" w:pos="9606"/>
        </w:tabs>
        <w:spacing w:after="10"/>
        <w:ind w:left="360"/>
      </w:pPr>
      <w:hyperlink w:anchor="h15" w:history="1">
        <w:r>
          <w:rPr>
            <w:color w:val="5B6677"/>
            <w:sz w:val="18"/>
            <w:szCs w:val="18"/>
          </w:rPr>
          <w:t>5.1 FSN summary</w:t>
        </w:r>
        <w:r>
          <w:rPr>
            <w:color w:val="5B6677"/>
            <w:sz w:val="18"/>
            <w:szCs w:val="18"/>
          </w:rPr>
          <w:tab/>
          <w:t>6</w:t>
        </w:r>
      </w:hyperlink>
    </w:p>
    <w:p w:rsidR="00800B14" w:rsidRDefault="00E57AC6">
      <w:pPr>
        <w:tabs>
          <w:tab w:val="right" w:leader="dot" w:pos="9606"/>
        </w:tabs>
        <w:spacing w:after="10"/>
        <w:ind w:left="360"/>
      </w:pPr>
      <w:hyperlink w:anchor="h16" w:history="1">
        <w:r>
          <w:rPr>
            <w:color w:val="5B6677"/>
            <w:sz w:val="18"/>
            <w:szCs w:val="18"/>
          </w:rPr>
          <w:t>5.2 Checks and derived measures</w:t>
        </w:r>
        <w:r>
          <w:rPr>
            <w:color w:val="5B6677"/>
            <w:sz w:val="18"/>
            <w:szCs w:val="18"/>
          </w:rPr>
          <w:tab/>
          <w:t>7</w:t>
        </w:r>
      </w:hyperlink>
    </w:p>
    <w:p w:rsidR="00800B14" w:rsidRDefault="00E57AC6">
      <w:pPr>
        <w:tabs>
          <w:tab w:val="right" w:leader="dot" w:pos="9606"/>
        </w:tabs>
        <w:spacing w:after="10"/>
        <w:ind w:left="360"/>
      </w:pPr>
      <w:hyperlink w:anchor="h17" w:history="1">
        <w:r>
          <w:rPr>
            <w:color w:val="5B6677"/>
            <w:sz w:val="18"/>
            <w:szCs w:val="18"/>
          </w:rPr>
          <w:t>5.3 Recommendations stated in the workbook</w:t>
        </w:r>
        <w:r>
          <w:rPr>
            <w:color w:val="5B6677"/>
            <w:sz w:val="18"/>
            <w:szCs w:val="18"/>
          </w:rPr>
          <w:tab/>
          <w:t>7</w:t>
        </w:r>
      </w:hyperlink>
    </w:p>
    <w:p w:rsidR="00800B14" w:rsidRDefault="00E57AC6">
      <w:pPr>
        <w:tabs>
          <w:tab w:val="right" w:leader="dot" w:pos="9606"/>
        </w:tabs>
        <w:spacing w:before="60" w:after="30"/>
      </w:pPr>
      <w:hyperlink w:anchor="h18" w:history="1">
        <w:r>
          <w:rPr>
            <w:b/>
            <w:bCs/>
            <w:color w:val="0B2545"/>
          </w:rPr>
          <w:t>6. Factory 1 Spares</w:t>
        </w:r>
        <w:r>
          <w:rPr>
            <w:color w:val="5B6677"/>
            <w:sz w:val="18"/>
            <w:szCs w:val="18"/>
          </w:rPr>
          <w:tab/>
          <w:t>8</w:t>
        </w:r>
      </w:hyperlink>
    </w:p>
    <w:p w:rsidR="00800B14" w:rsidRDefault="00E57AC6">
      <w:pPr>
        <w:tabs>
          <w:tab w:val="right" w:leader="dot" w:pos="9606"/>
        </w:tabs>
        <w:spacing w:after="10"/>
        <w:ind w:left="360"/>
      </w:pPr>
      <w:hyperlink w:anchor="h19" w:history="1">
        <w:r>
          <w:rPr>
            <w:color w:val="5B6677"/>
            <w:sz w:val="18"/>
            <w:szCs w:val="18"/>
          </w:rPr>
          <w:t>6.1 FSN summary — 549 SKUs</w:t>
        </w:r>
        <w:r>
          <w:rPr>
            <w:color w:val="5B6677"/>
            <w:sz w:val="18"/>
            <w:szCs w:val="18"/>
          </w:rPr>
          <w:tab/>
          <w:t>8</w:t>
        </w:r>
      </w:hyperlink>
    </w:p>
    <w:p w:rsidR="00800B14" w:rsidRDefault="00E57AC6">
      <w:pPr>
        <w:tabs>
          <w:tab w:val="right" w:leader="dot" w:pos="9606"/>
        </w:tabs>
        <w:spacing w:after="10"/>
        <w:ind w:left="360"/>
      </w:pPr>
      <w:hyperlink w:anchor="h20" w:history="1">
        <w:r>
          <w:rPr>
            <w:color w:val="5B6677"/>
            <w:sz w:val="18"/>
            <w:szCs w:val="18"/>
          </w:rPr>
          <w:t>6.2 Fast-movi</w:t>
        </w:r>
        <w:r>
          <w:rPr>
            <w:color w:val="5B6677"/>
            <w:sz w:val="18"/>
            <w:szCs w:val="18"/>
          </w:rPr>
          <w:t>ng (A) spares</w:t>
        </w:r>
        <w:r>
          <w:rPr>
            <w:color w:val="5B6677"/>
            <w:sz w:val="18"/>
            <w:szCs w:val="18"/>
          </w:rPr>
          <w:tab/>
          <w:t>9</w:t>
        </w:r>
      </w:hyperlink>
    </w:p>
    <w:p w:rsidR="00800B14" w:rsidRDefault="00E57AC6">
      <w:pPr>
        <w:tabs>
          <w:tab w:val="right" w:leader="dot" w:pos="9606"/>
        </w:tabs>
        <w:spacing w:after="10"/>
        <w:ind w:left="360"/>
      </w:pPr>
      <w:hyperlink w:anchor="h21" w:history="1">
        <w:r>
          <w:rPr>
            <w:color w:val="5B6677"/>
            <w:sz w:val="18"/>
            <w:szCs w:val="18"/>
          </w:rPr>
          <w:t>6.3 Demand variability</w:t>
        </w:r>
        <w:r>
          <w:rPr>
            <w:color w:val="5B6677"/>
            <w:sz w:val="18"/>
            <w:szCs w:val="18"/>
          </w:rPr>
          <w:tab/>
          <w:t>10</w:t>
        </w:r>
      </w:hyperlink>
    </w:p>
    <w:p w:rsidR="00800B14" w:rsidRDefault="00E57AC6">
      <w:pPr>
        <w:tabs>
          <w:tab w:val="right" w:leader="dot" w:pos="9606"/>
        </w:tabs>
        <w:spacing w:after="10"/>
        <w:ind w:left="360"/>
      </w:pPr>
      <w:hyperlink w:anchor="h22" w:history="1">
        <w:r>
          <w:rPr>
            <w:color w:val="5B6677"/>
            <w:sz w:val="18"/>
            <w:szCs w:val="18"/>
          </w:rPr>
          <w:t>6.4 Non-moving stock</w:t>
        </w:r>
        <w:r>
          <w:rPr>
            <w:color w:val="5B6677"/>
            <w:sz w:val="18"/>
            <w:szCs w:val="18"/>
          </w:rPr>
          <w:tab/>
          <w:t>11</w:t>
        </w:r>
      </w:hyperlink>
    </w:p>
    <w:p w:rsidR="00800B14" w:rsidRDefault="00E57AC6">
      <w:pPr>
        <w:tabs>
          <w:tab w:val="right" w:leader="dot" w:pos="9606"/>
        </w:tabs>
        <w:spacing w:after="10"/>
        <w:ind w:left="360"/>
      </w:pPr>
      <w:hyperlink w:anchor="h23" w:history="1">
        <w:r>
          <w:rPr>
            <w:color w:val="5B6677"/>
            <w:sz w:val="18"/>
            <w:szCs w:val="18"/>
          </w:rPr>
          <w:t>6.5 Classification and criticality</w:t>
        </w:r>
        <w:r>
          <w:rPr>
            <w:color w:val="5B6677"/>
            <w:sz w:val="18"/>
            <w:szCs w:val="18"/>
          </w:rPr>
          <w:tab/>
          <w:t>12</w:t>
        </w:r>
      </w:hyperlink>
    </w:p>
    <w:p w:rsidR="00800B14" w:rsidRDefault="00E57AC6">
      <w:pPr>
        <w:tabs>
          <w:tab w:val="right" w:leader="dot" w:pos="9606"/>
        </w:tabs>
        <w:spacing w:before="60" w:after="30"/>
      </w:pPr>
      <w:hyperlink w:anchor="h24" w:history="1">
        <w:r>
          <w:rPr>
            <w:b/>
            <w:bCs/>
            <w:color w:val="0B2545"/>
          </w:rPr>
          <w:t>7. Powder Stores</w:t>
        </w:r>
        <w:r>
          <w:rPr>
            <w:color w:val="5B6677"/>
            <w:sz w:val="18"/>
            <w:szCs w:val="18"/>
          </w:rPr>
          <w:tab/>
          <w:t>13</w:t>
        </w:r>
      </w:hyperlink>
    </w:p>
    <w:p w:rsidR="00800B14" w:rsidRDefault="00E57AC6">
      <w:pPr>
        <w:tabs>
          <w:tab w:val="right" w:leader="dot" w:pos="9606"/>
        </w:tabs>
        <w:spacing w:after="10"/>
        <w:ind w:left="360"/>
      </w:pPr>
      <w:hyperlink w:anchor="h25" w:history="1">
        <w:r>
          <w:rPr>
            <w:color w:val="5B6677"/>
            <w:sz w:val="18"/>
            <w:szCs w:val="18"/>
          </w:rPr>
          <w:t>7.1 FSN summary — 56 shades</w:t>
        </w:r>
        <w:r>
          <w:rPr>
            <w:color w:val="5B6677"/>
            <w:sz w:val="18"/>
            <w:szCs w:val="18"/>
          </w:rPr>
          <w:tab/>
          <w:t>13</w:t>
        </w:r>
      </w:hyperlink>
    </w:p>
    <w:p w:rsidR="00800B14" w:rsidRDefault="00E57AC6">
      <w:pPr>
        <w:tabs>
          <w:tab w:val="right" w:leader="dot" w:pos="9606"/>
        </w:tabs>
        <w:spacing w:after="10"/>
        <w:ind w:left="360"/>
      </w:pPr>
      <w:hyperlink w:anchor="h26" w:history="1">
        <w:r>
          <w:rPr>
            <w:color w:val="5B6677"/>
            <w:sz w:val="18"/>
            <w:szCs w:val="18"/>
          </w:rPr>
          <w:t>7.2 Monthly pattern</w:t>
        </w:r>
        <w:r>
          <w:rPr>
            <w:color w:val="5B6677"/>
            <w:sz w:val="18"/>
            <w:szCs w:val="18"/>
          </w:rPr>
          <w:tab/>
          <w:t>14</w:t>
        </w:r>
      </w:hyperlink>
    </w:p>
    <w:p w:rsidR="00800B14" w:rsidRDefault="00E57AC6">
      <w:pPr>
        <w:tabs>
          <w:tab w:val="right" w:leader="dot" w:pos="9606"/>
        </w:tabs>
        <w:spacing w:after="10"/>
        <w:ind w:left="360"/>
      </w:pPr>
      <w:hyperlink w:anchor="h27" w:history="1">
        <w:r>
          <w:rPr>
            <w:color w:val="5B6677"/>
            <w:sz w:val="18"/>
            <w:szCs w:val="18"/>
          </w:rPr>
          <w:t>7.3 Shade rationalization evidence</w:t>
        </w:r>
        <w:r>
          <w:rPr>
            <w:color w:val="5B6677"/>
            <w:sz w:val="18"/>
            <w:szCs w:val="18"/>
          </w:rPr>
          <w:tab/>
          <w:t>14</w:t>
        </w:r>
      </w:hyperlink>
    </w:p>
    <w:p w:rsidR="00800B14" w:rsidRDefault="00E57AC6">
      <w:pPr>
        <w:tabs>
          <w:tab w:val="right" w:leader="dot" w:pos="9606"/>
        </w:tabs>
        <w:spacing w:after="10"/>
        <w:ind w:left="360"/>
      </w:pPr>
      <w:hyperlink w:anchor="h28" w:history="1">
        <w:r>
          <w:rPr>
            <w:color w:val="5B6677"/>
            <w:sz w:val="18"/>
            <w:szCs w:val="18"/>
          </w:rPr>
          <w:t>7.4 Fast and Medium shades — safety stock and ROP</w:t>
        </w:r>
        <w:r>
          <w:rPr>
            <w:color w:val="5B6677"/>
            <w:sz w:val="18"/>
            <w:szCs w:val="18"/>
          </w:rPr>
          <w:tab/>
          <w:t>15</w:t>
        </w:r>
      </w:hyperlink>
    </w:p>
    <w:p w:rsidR="00800B14" w:rsidRDefault="00E57AC6">
      <w:pPr>
        <w:tabs>
          <w:tab w:val="right" w:leader="dot" w:pos="9606"/>
        </w:tabs>
        <w:spacing w:before="60" w:after="30"/>
      </w:pPr>
      <w:hyperlink w:anchor="h29" w:history="1">
        <w:r>
          <w:rPr>
            <w:b/>
            <w:bCs/>
            <w:color w:val="0B2545"/>
          </w:rPr>
          <w:t>8. Safety Stock and</w:t>
        </w:r>
        <w:r>
          <w:rPr>
            <w:b/>
            <w:bCs/>
            <w:color w:val="0B2545"/>
          </w:rPr>
          <w:t xml:space="preserve"> Minimum Stock Formulas</w:t>
        </w:r>
        <w:r>
          <w:rPr>
            <w:color w:val="5B6677"/>
            <w:sz w:val="18"/>
            <w:szCs w:val="18"/>
          </w:rPr>
          <w:tab/>
          <w:t>16</w:t>
        </w:r>
      </w:hyperlink>
    </w:p>
    <w:p w:rsidR="00800B14" w:rsidRDefault="00E57AC6">
      <w:pPr>
        <w:tabs>
          <w:tab w:val="right" w:leader="dot" w:pos="9606"/>
        </w:tabs>
        <w:spacing w:after="10"/>
        <w:ind w:left="360"/>
      </w:pPr>
      <w:hyperlink w:anchor="h30" w:history="1">
        <w:r>
          <w:rPr>
            <w:color w:val="5B6677"/>
            <w:sz w:val="18"/>
            <w:szCs w:val="18"/>
          </w:rPr>
          <w:t>8.1 Formulas as built in the workbooks</w:t>
        </w:r>
        <w:r>
          <w:rPr>
            <w:color w:val="5B6677"/>
            <w:sz w:val="18"/>
            <w:szCs w:val="18"/>
          </w:rPr>
          <w:tab/>
          <w:t>16</w:t>
        </w:r>
      </w:hyperlink>
    </w:p>
    <w:p w:rsidR="00800B14" w:rsidRDefault="00E57AC6">
      <w:pPr>
        <w:tabs>
          <w:tab w:val="right" w:leader="dot" w:pos="9606"/>
        </w:tabs>
        <w:spacing w:after="10"/>
        <w:ind w:left="360"/>
      </w:pPr>
      <w:hyperlink w:anchor="h31" w:history="1">
        <w:r>
          <w:rPr>
            <w:color w:val="5B6677"/>
            <w:sz w:val="18"/>
            <w:szCs w:val="18"/>
          </w:rPr>
          <w:t>8.2 Safety stock</w:t>
        </w:r>
        <w:r>
          <w:rPr>
            <w:color w:val="5B6677"/>
            <w:sz w:val="18"/>
            <w:szCs w:val="18"/>
          </w:rPr>
          <w:tab/>
          <w:t>16</w:t>
        </w:r>
      </w:hyperlink>
    </w:p>
    <w:p w:rsidR="00800B14" w:rsidRDefault="00E57AC6">
      <w:pPr>
        <w:tabs>
          <w:tab w:val="right" w:leader="dot" w:pos="9606"/>
        </w:tabs>
        <w:spacing w:after="10"/>
        <w:ind w:left="360"/>
      </w:pPr>
      <w:hyperlink w:anchor="h32" w:history="1">
        <w:r>
          <w:rPr>
            <w:color w:val="5B6677"/>
            <w:sz w:val="18"/>
            <w:szCs w:val="18"/>
          </w:rPr>
          <w:t>8.3 Minimum stock level and reorder point</w:t>
        </w:r>
        <w:r>
          <w:rPr>
            <w:color w:val="5B6677"/>
            <w:sz w:val="18"/>
            <w:szCs w:val="18"/>
          </w:rPr>
          <w:tab/>
          <w:t>16</w:t>
        </w:r>
      </w:hyperlink>
    </w:p>
    <w:p w:rsidR="00800B14" w:rsidRDefault="00E57AC6">
      <w:pPr>
        <w:tabs>
          <w:tab w:val="right" w:leader="dot" w:pos="9606"/>
        </w:tabs>
        <w:spacing w:after="10"/>
        <w:ind w:left="360"/>
      </w:pPr>
      <w:hyperlink w:anchor="h33" w:history="1">
        <w:r>
          <w:rPr>
            <w:color w:val="5B6677"/>
            <w:sz w:val="18"/>
            <w:szCs w:val="18"/>
          </w:rPr>
          <w:t>8.4 Worked examples</w:t>
        </w:r>
        <w:r>
          <w:rPr>
            <w:color w:val="5B6677"/>
            <w:sz w:val="18"/>
            <w:szCs w:val="18"/>
          </w:rPr>
          <w:tab/>
          <w:t>17</w:t>
        </w:r>
      </w:hyperlink>
    </w:p>
    <w:p w:rsidR="00800B14" w:rsidRDefault="00E57AC6">
      <w:pPr>
        <w:tabs>
          <w:tab w:val="right" w:leader="dot" w:pos="9606"/>
        </w:tabs>
        <w:spacing w:after="10"/>
        <w:ind w:left="360"/>
      </w:pPr>
      <w:hyperlink w:anchor="h34" w:history="1">
        <w:r>
          <w:rPr>
            <w:color w:val="5B6677"/>
            <w:sz w:val="18"/>
            <w:szCs w:val="18"/>
          </w:rPr>
          <w:t>8.5 Observations on the formulas</w:t>
        </w:r>
        <w:r>
          <w:rPr>
            <w:color w:val="5B6677"/>
            <w:sz w:val="18"/>
            <w:szCs w:val="18"/>
          </w:rPr>
          <w:tab/>
          <w:t>17</w:t>
        </w:r>
      </w:hyperlink>
    </w:p>
    <w:p w:rsidR="00800B14" w:rsidRDefault="00E57AC6">
      <w:pPr>
        <w:tabs>
          <w:tab w:val="right" w:leader="dot" w:pos="9606"/>
        </w:tabs>
        <w:spacing w:after="10"/>
        <w:ind w:left="360"/>
      </w:pPr>
      <w:hyperlink w:anchor="h35" w:history="1">
        <w:r>
          <w:rPr>
            <w:color w:val="5B6677"/>
            <w:sz w:val="18"/>
            <w:szCs w:val="18"/>
          </w:rPr>
          <w:t>8.6 Buffer policies differ between stores</w:t>
        </w:r>
        <w:r>
          <w:rPr>
            <w:color w:val="5B6677"/>
            <w:sz w:val="18"/>
            <w:szCs w:val="18"/>
          </w:rPr>
          <w:tab/>
          <w:t>18</w:t>
        </w:r>
      </w:hyperlink>
    </w:p>
    <w:p w:rsidR="00800B14" w:rsidRDefault="00E57AC6">
      <w:pPr>
        <w:tabs>
          <w:tab w:val="right" w:leader="dot" w:pos="9606"/>
        </w:tabs>
        <w:spacing w:before="60" w:after="30"/>
      </w:pPr>
      <w:hyperlink w:anchor="h36" w:history="1">
        <w:r>
          <w:rPr>
            <w:b/>
            <w:bCs/>
            <w:color w:val="0B2545"/>
          </w:rPr>
          <w:t>9. Cross-Workbook Comparison</w:t>
        </w:r>
        <w:r>
          <w:rPr>
            <w:color w:val="5B6677"/>
            <w:sz w:val="18"/>
            <w:szCs w:val="18"/>
          </w:rPr>
          <w:tab/>
          <w:t>19</w:t>
        </w:r>
      </w:hyperlink>
    </w:p>
    <w:p w:rsidR="00800B14" w:rsidRDefault="00E57AC6">
      <w:pPr>
        <w:tabs>
          <w:tab w:val="right" w:leader="dot" w:pos="9606"/>
        </w:tabs>
        <w:spacing w:before="60" w:after="30"/>
      </w:pPr>
      <w:hyperlink w:anchor="h37" w:history="1">
        <w:r>
          <w:rPr>
            <w:b/>
            <w:bCs/>
            <w:color w:val="0B2545"/>
          </w:rPr>
          <w:t>10. Audit Findings Register</w:t>
        </w:r>
        <w:r>
          <w:rPr>
            <w:color w:val="5B6677"/>
            <w:sz w:val="18"/>
            <w:szCs w:val="18"/>
          </w:rPr>
          <w:tab/>
          <w:t>19</w:t>
        </w:r>
      </w:hyperlink>
    </w:p>
    <w:p w:rsidR="00800B14" w:rsidRDefault="00E57AC6">
      <w:pPr>
        <w:tabs>
          <w:tab w:val="right" w:leader="dot" w:pos="9606"/>
        </w:tabs>
        <w:spacing w:before="60" w:after="30"/>
      </w:pPr>
      <w:hyperlink w:anchor="h38" w:history="1">
        <w:r>
          <w:rPr>
            <w:b/>
            <w:bCs/>
            <w:color w:val="0B2545"/>
          </w:rPr>
          <w:t>11. Operational Implications and Recommendations</w:t>
        </w:r>
        <w:r>
          <w:rPr>
            <w:color w:val="5B6677"/>
            <w:sz w:val="18"/>
            <w:szCs w:val="18"/>
          </w:rPr>
          <w:tab/>
          <w:t>21</w:t>
        </w:r>
      </w:hyperlink>
    </w:p>
    <w:p w:rsidR="00800B14" w:rsidRDefault="00E57AC6">
      <w:pPr>
        <w:tabs>
          <w:tab w:val="right" w:leader="dot" w:pos="9606"/>
        </w:tabs>
        <w:spacing w:after="10"/>
        <w:ind w:left="360"/>
      </w:pPr>
      <w:hyperlink w:anchor="h39" w:history="1">
        <w:r>
          <w:rPr>
            <w:color w:val="5B6677"/>
            <w:sz w:val="18"/>
            <w:szCs w:val="18"/>
          </w:rPr>
          <w:t>11.1 Link to the next workstreams</w:t>
        </w:r>
        <w:r>
          <w:rPr>
            <w:color w:val="5B6677"/>
            <w:sz w:val="18"/>
            <w:szCs w:val="18"/>
          </w:rPr>
          <w:tab/>
          <w:t>21</w:t>
        </w:r>
      </w:hyperlink>
    </w:p>
    <w:p w:rsidR="00800B14" w:rsidRDefault="00E57AC6">
      <w:pPr>
        <w:tabs>
          <w:tab w:val="right" w:leader="dot" w:pos="9606"/>
        </w:tabs>
        <w:spacing w:before="60" w:after="30"/>
      </w:pPr>
      <w:hyperlink w:anchor="h40" w:history="1">
        <w:r>
          <w:rPr>
            <w:b/>
            <w:bCs/>
            <w:color w:val="0B2545"/>
          </w:rPr>
          <w:t>12. Validation and Next Steps</w:t>
        </w:r>
        <w:r>
          <w:rPr>
            <w:color w:val="5B6677"/>
            <w:sz w:val="18"/>
            <w:szCs w:val="18"/>
          </w:rPr>
          <w:tab/>
          <w:t>21</w:t>
        </w:r>
      </w:hyperlink>
    </w:p>
    <w:p w:rsidR="00800B14" w:rsidRDefault="00E57AC6">
      <w:pPr>
        <w:tabs>
          <w:tab w:val="right" w:leader="dot" w:pos="9606"/>
        </w:tabs>
        <w:spacing w:after="10"/>
        <w:ind w:left="360"/>
      </w:pPr>
      <w:hyperlink w:anchor="h41" w:history="1">
        <w:r>
          <w:rPr>
            <w:color w:val="5B6677"/>
            <w:sz w:val="18"/>
            <w:szCs w:val="18"/>
          </w:rPr>
          <w:t>12.1 Information pending confirmation</w:t>
        </w:r>
        <w:r>
          <w:rPr>
            <w:color w:val="5B6677"/>
            <w:sz w:val="18"/>
            <w:szCs w:val="18"/>
          </w:rPr>
          <w:tab/>
          <w:t>22</w:t>
        </w:r>
      </w:hyperlink>
    </w:p>
    <w:p w:rsidR="00800B14" w:rsidRDefault="00E57AC6">
      <w:pPr>
        <w:tabs>
          <w:tab w:val="right" w:leader="dot" w:pos="9606"/>
        </w:tabs>
        <w:spacing w:before="60" w:after="30"/>
      </w:pPr>
      <w:hyperlink w:anchor="h42" w:history="1">
        <w:r>
          <w:rPr>
            <w:b/>
            <w:bCs/>
            <w:color w:val="0B2545"/>
          </w:rPr>
          <w:t>Appendix A: Spares Register (51 SKUs)</w:t>
        </w:r>
        <w:r>
          <w:rPr>
            <w:color w:val="5B6677"/>
            <w:sz w:val="18"/>
            <w:szCs w:val="18"/>
          </w:rPr>
          <w:tab/>
          <w:t>23</w:t>
        </w:r>
      </w:hyperlink>
    </w:p>
    <w:p w:rsidR="00800B14" w:rsidRDefault="00E57AC6">
      <w:pPr>
        <w:tabs>
          <w:tab w:val="right" w:leader="dot" w:pos="9606"/>
        </w:tabs>
        <w:spacing w:before="60" w:after="30"/>
      </w:pPr>
      <w:hyperlink w:anchor="h43" w:history="1">
        <w:r>
          <w:rPr>
            <w:b/>
            <w:bCs/>
            <w:color w:val="0B2545"/>
          </w:rPr>
          <w:t>Appendix B: Powder Shades (56)</w:t>
        </w:r>
        <w:r>
          <w:rPr>
            <w:color w:val="5B6677"/>
            <w:sz w:val="18"/>
            <w:szCs w:val="18"/>
          </w:rPr>
          <w:tab/>
          <w:t>25</w:t>
        </w:r>
      </w:hyperlink>
    </w:p>
    <w:p w:rsidR="00800B14" w:rsidRDefault="00E57AC6">
      <w:pPr>
        <w:tabs>
          <w:tab w:val="right" w:leader="dot" w:pos="9606"/>
        </w:tabs>
        <w:spacing w:before="60" w:after="30"/>
      </w:pPr>
      <w:hyperlink w:anchor="h44" w:history="1">
        <w:r>
          <w:rPr>
            <w:b/>
            <w:bCs/>
            <w:color w:val="0B2545"/>
          </w:rPr>
          <w:t>Appendix C: Formula Audit Trail</w:t>
        </w:r>
        <w:r>
          <w:rPr>
            <w:color w:val="5B6677"/>
            <w:sz w:val="18"/>
            <w:szCs w:val="18"/>
          </w:rPr>
          <w:tab/>
          <w:t>27</w:t>
        </w:r>
      </w:hyperlink>
    </w:p>
    <w:p w:rsidR="00800B14" w:rsidRDefault="00800B14">
      <w:pPr>
        <w:spacing w:after="40"/>
      </w:pPr>
    </w:p>
    <w:p w:rsidR="00800B14" w:rsidRDefault="00E57AC6">
      <w:pPr>
        <w:spacing w:after="120" w:line="276" w:lineRule="auto"/>
      </w:pPr>
      <w:r>
        <w:rPr>
          <w:i/>
          <w:iCs/>
          <w:color w:val="5B6677"/>
          <w:sz w:val="16"/>
          <w:szCs w:val="16"/>
        </w:rPr>
        <w:t xml:space="preserve">Headings use Word heading styles. Page numbers shown here are static — refresh them manually after </w:t>
      </w:r>
      <w:r>
        <w:rPr>
          <w:i/>
          <w:iCs/>
          <w:color w:val="5B6677"/>
          <w:sz w:val="16"/>
          <w:szCs w:val="16"/>
        </w:rPr>
        <w:t>editing, or insert an automatic table of contents via References › Table of Contents.</w:t>
      </w:r>
    </w:p>
    <w:p w:rsidR="00800B14" w:rsidRDefault="00E57AC6">
      <w:r>
        <w:br w:type="page"/>
      </w:r>
    </w:p>
    <w:p w:rsidR="00800B14" w:rsidRDefault="00E57AC6">
      <w:pPr>
        <w:pStyle w:val="Heading1"/>
      </w:pPr>
      <w:bookmarkStart w:id="0" w:name="h1"/>
      <w:r>
        <w:lastRenderedPageBreak/>
        <w:t>1. Executive Summary</w:t>
      </w:r>
      <w:bookmarkEnd w:id="0"/>
    </w:p>
    <w:p w:rsidR="00800B14" w:rsidRDefault="00E57AC6">
      <w:pPr>
        <w:spacing w:after="120" w:line="276" w:lineRule="auto"/>
      </w:pPr>
      <w:r>
        <w:t xml:space="preserve">This report analyses three Excel workbooks prepared for the Store Optimization Project — Extrusion Stores, Factory 1 Spares and Powder Stores — each built from six months of store consumption data. The analysis is an FSN (Fast, Slow, Non-moving) analysis: </w:t>
      </w:r>
      <w:r>
        <w:t>items are ranked by consumption and grouped by cumulative share, so that fast-moving items can be prioritised for accessibility and control and non-moving items can be reviewed for rationalization.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800B14">
        <w:tblPrEx>
          <w:tblCellMar>
            <w:top w:w="0" w:type="dxa"/>
            <w:bottom w:w="0" w:type="dxa"/>
          </w:tblCellMar>
        </w:tblPrEx>
        <w:trPr>
          <w:cantSplit/>
        </w:trPr>
        <w:tc>
          <w:tcPr>
            <w:tcW w:w="9606" w:type="dxa"/>
            <w:tcBorders>
              <w:top w:val="single" w:sz="2" w:space="0" w:color="E3F3F2"/>
              <w:left w:val="single" w:sz="24" w:space="0" w:color="0E8C8C"/>
              <w:bottom w:val="single" w:sz="2" w:space="0" w:color="E3F3F2"/>
              <w:right w:val="single" w:sz="2" w:space="0" w:color="E3F3F2"/>
            </w:tcBorders>
            <w:shd w:val="clear" w:color="auto" w:fill="E3F3F2"/>
            <w:tcMar>
              <w:top w:w="110" w:type="dxa"/>
              <w:left w:w="180" w:type="dxa"/>
              <w:bottom w:w="110" w:type="dxa"/>
              <w:right w:w="180" w:type="dxa"/>
            </w:tcMar>
          </w:tcPr>
          <w:p w:rsidR="00800B14" w:rsidRDefault="00E57AC6">
            <w:pPr>
              <w:spacing w:after="50"/>
            </w:pPr>
            <w:r>
              <w:rPr>
                <w:b/>
                <w:bCs/>
                <w:color w:val="0B2545"/>
                <w:sz w:val="20"/>
                <w:szCs w:val="20"/>
              </w:rPr>
              <w:t>Terminology — FSN, not ABC</w:t>
            </w:r>
          </w:p>
          <w:p w:rsidR="00800B14" w:rsidRDefault="00E57AC6">
            <w:pPr>
              <w:spacing w:after="50" w:line="260" w:lineRule="auto"/>
            </w:pPr>
            <w:r>
              <w:rPr>
                <w:sz w:val="19"/>
                <w:szCs w:val="19"/>
              </w:rPr>
              <w:t>The workbooks still use the lab</w:t>
            </w:r>
            <w:r>
              <w:rPr>
                <w:sz w:val="19"/>
                <w:szCs w:val="19"/>
              </w:rPr>
              <w:t>el “ABC” in sheet names, column headers and text (for example “ABC Cat”, “ABC Dashboard”). The project owner has confirmed the analysis is FSN, so this report uses FSN throughout. The workbooks’ class codes are kept in brackets for traceability: Fast / Hig</w:t>
            </w:r>
            <w:r>
              <w:rPr>
                <w:sz w:val="19"/>
                <w:szCs w:val="19"/>
              </w:rPr>
              <w:t>h-moving (A), Medium-moving (B), Slow (C) and Non-moving (NM).</w:t>
            </w:r>
          </w:p>
        </w:tc>
      </w:tr>
    </w:tbl>
    <w:p w:rsidR="00800B14" w:rsidRDefault="00800B14">
      <w:pPr>
        <w:spacing w:after="80"/>
      </w:pPr>
    </w:p>
    <w:p w:rsidR="00800B14" w:rsidRDefault="00E57AC6">
      <w:pPr>
        <w:pStyle w:val="Heading3"/>
      </w:pPr>
      <w:bookmarkStart w:id="1" w:name="h2"/>
      <w:r>
        <w:t>What the data shows</w:t>
      </w:r>
      <w:bookmarkEnd w:id="1"/>
    </w:p>
    <w:p w:rsidR="00800B14" w:rsidRDefault="00E57AC6">
      <w:pPr>
        <w:pStyle w:val="ListParagraph"/>
        <w:numPr>
          <w:ilvl w:val="0"/>
          <w:numId w:val="2"/>
        </w:numPr>
        <w:spacing w:after="60" w:line="272" w:lineRule="auto"/>
      </w:pPr>
      <w:r>
        <w:rPr>
          <w:b/>
          <w:bCs/>
          <w:color w:val="0B2545"/>
        </w:rPr>
        <w:t xml:space="preserve">Consumption is highly concentrated. </w:t>
      </w:r>
      <w:r>
        <w:t>The Fast (A) class holds 12 of 118 Extrusion families (10.2%) for 68.3% of consumption; 19 of 549 Spares SKUs (3.5%) for about 69.3% of active consumption; and 3 of 56 Powder shades (5.4%) for 75.7% of consumption (recomputed from the raw data; the workboo</w:t>
      </w:r>
      <w:r>
        <w:t>k states 76.2%).</w:t>
      </w:r>
    </w:p>
    <w:p w:rsidR="00800B14" w:rsidRDefault="00E57AC6">
      <w:pPr>
        <w:pStyle w:val="ListParagraph"/>
        <w:numPr>
          <w:ilvl w:val="0"/>
          <w:numId w:val="2"/>
        </w:numPr>
        <w:spacing w:after="60" w:line="272" w:lineRule="auto"/>
      </w:pPr>
      <w:r>
        <w:rPr>
          <w:b/>
          <w:bCs/>
          <w:color w:val="0B2545"/>
        </w:rPr>
        <w:t xml:space="preserve">Non-moving stock is large. </w:t>
      </w:r>
      <w:r>
        <w:t>169 of 549 Spares SKUs (30.8%) and 25 of 56 Powder shades (44.6%) recorded zero consumption in six months. The Extrusion dashboard has no Non-moving class.</w:t>
      </w:r>
    </w:p>
    <w:p w:rsidR="00800B14" w:rsidRDefault="00E57AC6">
      <w:pPr>
        <w:pStyle w:val="ListParagraph"/>
        <w:numPr>
          <w:ilvl w:val="0"/>
          <w:numId w:val="2"/>
        </w:numPr>
        <w:spacing w:after="60" w:line="272" w:lineRule="auto"/>
      </w:pPr>
      <w:r>
        <w:rPr>
          <w:b/>
          <w:bCs/>
          <w:color w:val="0B2545"/>
        </w:rPr>
        <w:t xml:space="preserve">Slow items are often occasional. </w:t>
      </w:r>
      <w:r>
        <w:t>In Powder, 13 of the 20</w:t>
      </w:r>
      <w:r>
        <w:t xml:space="preserve"> Slow (C) shades were consumed in only one of the six months.</w:t>
      </w:r>
    </w:p>
    <w:p w:rsidR="00800B14" w:rsidRDefault="00E57AC6">
      <w:pPr>
        <w:pStyle w:val="ListParagraph"/>
        <w:numPr>
          <w:ilvl w:val="0"/>
          <w:numId w:val="2"/>
        </w:numPr>
        <w:spacing w:after="60" w:line="272" w:lineRule="auto"/>
      </w:pPr>
      <w:r>
        <w:rPr>
          <w:b/>
          <w:bCs/>
          <w:color w:val="0B2545"/>
        </w:rPr>
        <w:t xml:space="preserve">Stock-control formulas are simple, fixed-day rules. </w:t>
      </w:r>
      <w:r>
        <w:t>Safety stock = average daily consumption × 10 days (Spares) or × 3 days (Powder); reorder point (ROP) = average daily consumption × 30 days (S</w:t>
      </w:r>
      <w:r>
        <w:t>pares) or × 13 days (Powder). The Extrusion dashboard states a safety stock of 1.5 × average monthly consumption for Medium (B) items. Section 8 explains each formula with worked examples.</w:t>
      </w:r>
    </w:p>
    <w:p w:rsidR="00800B14" w:rsidRDefault="00E57AC6">
      <w:pPr>
        <w:pStyle w:val="Heading3"/>
      </w:pPr>
      <w:bookmarkStart w:id="2" w:name="h3"/>
      <w:r>
        <w:t>Points that need attention before the numbers are relied on</w:t>
      </w:r>
      <w:bookmarkEnd w:id="2"/>
    </w:p>
    <w:p w:rsidR="00800B14" w:rsidRDefault="00E57AC6">
      <w:pPr>
        <w:pStyle w:val="ListParagraph"/>
        <w:numPr>
          <w:ilvl w:val="0"/>
          <w:numId w:val="2"/>
        </w:numPr>
        <w:spacing w:after="60" w:line="272" w:lineRule="auto"/>
      </w:pPr>
      <w:r>
        <w:t>The Ext</w:t>
      </w:r>
      <w:r>
        <w:t>rusion workbook is a typed dashboard with no item-level register, so its classification cannot be reproduced.</w:t>
      </w:r>
    </w:p>
    <w:p w:rsidR="00800B14" w:rsidRDefault="00E57AC6">
      <w:pPr>
        <w:pStyle w:val="ListParagraph"/>
        <w:numPr>
          <w:ilvl w:val="0"/>
          <w:numId w:val="2"/>
        </w:numPr>
        <w:spacing w:after="60" w:line="272" w:lineRule="auto"/>
      </w:pPr>
      <w:r>
        <w:t>The Spares register holds 51 of the 549 SKUs; summary figures for the full range cannot be re-derived from it.</w:t>
      </w:r>
    </w:p>
    <w:p w:rsidR="00800B14" w:rsidRDefault="00E57AC6">
      <w:pPr>
        <w:pStyle w:val="ListParagraph"/>
        <w:numPr>
          <w:ilvl w:val="0"/>
          <w:numId w:val="2"/>
        </w:numPr>
        <w:spacing w:after="60" w:line="272" w:lineRule="auto"/>
      </w:pPr>
      <w:r>
        <w:t xml:space="preserve">The Spares executive summary shows </w:t>
      </w:r>
      <w:r>
        <w:t>ROP values at 15 days of consumption for the Fast items, while the register and the ROP section use 30 days.</w:t>
      </w:r>
    </w:p>
    <w:p w:rsidR="00800B14" w:rsidRDefault="00E57AC6">
      <w:pPr>
        <w:pStyle w:val="ListParagraph"/>
        <w:numPr>
          <w:ilvl w:val="0"/>
          <w:numId w:val="2"/>
        </w:numPr>
        <w:spacing w:after="60" w:line="272" w:lineRule="auto"/>
      </w:pPr>
      <w:r>
        <w:t>The Powder executive summary and raw data disagree for RAL 9016 MATT (month 2: 825 vs 1,365), changing the total by 540 units.</w:t>
      </w:r>
    </w:p>
    <w:p w:rsidR="00800B14" w:rsidRDefault="00E57AC6">
      <w:pPr>
        <w:pStyle w:val="ListParagraph"/>
        <w:numPr>
          <w:ilvl w:val="0"/>
          <w:numId w:val="2"/>
        </w:numPr>
        <w:spacing w:after="60" w:line="272" w:lineRule="auto"/>
      </w:pPr>
      <w:r>
        <w:t>The ROP and safety-s</w:t>
      </w:r>
      <w:r>
        <w:t>tock formulas hard-code the day multipliers instead of reading the Lead Time and Safety Days columns, and Powder rounds daily consumption to whole numbers before multiplying.</w:t>
      </w:r>
    </w:p>
    <w:p w:rsidR="00800B14" w:rsidRDefault="00E57AC6">
      <w:pPr>
        <w:spacing w:before="80" w:after="120" w:line="276" w:lineRule="auto"/>
      </w:pPr>
      <w:r>
        <w:t xml:space="preserve">All findings are listed in the audit register (Section 10). </w:t>
      </w:r>
      <w:r>
        <w:rPr>
          <w:i/>
          <w:iCs/>
          <w:color w:val="5B6677"/>
        </w:rPr>
        <w:t>No saving, cost or ac</w:t>
      </w:r>
      <w:r>
        <w:rPr>
          <w:i/>
          <w:iCs/>
          <w:color w:val="5B6677"/>
        </w:rPr>
        <w:t>curacy figure is claimed in this report; the benefits stated in the workbooks that are not supported by data are flagged rather than repeated.</w:t>
      </w:r>
    </w:p>
    <w:p w:rsidR="00800B14" w:rsidRDefault="00E57AC6">
      <w:pPr>
        <w:pStyle w:val="Heading3"/>
      </w:pPr>
      <w:bookmarkStart w:id="3" w:name="h4"/>
      <w:r>
        <w:t>Recommended direction</w:t>
      </w:r>
      <w:bookmarkEnd w:id="3"/>
    </w:p>
    <w:p w:rsidR="00800B14" w:rsidRDefault="00E57AC6">
      <w:pPr>
        <w:spacing w:after="120" w:line="276" w:lineRule="auto"/>
      </w:pPr>
      <w:r>
        <w:t xml:space="preserve">Prioritise the Fast-moving items for accessible, controlled storage (the workbooks recommend Kanban and FIFO zones); keep ROP monitoring for Fast and Medium items; move Slow items to order-on-demand; and start a </w:t>
      </w:r>
      <w:r>
        <w:lastRenderedPageBreak/>
        <w:t>structured review of Non-moving stock. Corre</w:t>
      </w:r>
      <w:r>
        <w:t>ct the data and formula issues in Section 10 first so that the later workstreams — rack designing, binning, labeling, FIFO, kitting and Kanban — build on reliable parameters.</w:t>
      </w:r>
    </w:p>
    <w:p w:rsidR="00800B14" w:rsidRDefault="00E57AC6">
      <w:pPr>
        <w:pStyle w:val="Heading1"/>
        <w:pageBreakBefore/>
      </w:pPr>
      <w:bookmarkStart w:id="4" w:name="h5"/>
      <w:r>
        <w:lastRenderedPageBreak/>
        <w:t>2. Project Context and Scope</w:t>
      </w:r>
      <w:bookmarkEnd w:id="4"/>
    </w:p>
    <w:p w:rsidR="00800B14" w:rsidRDefault="00E57AC6">
      <w:pPr>
        <w:pStyle w:val="Heading2"/>
      </w:pPr>
      <w:bookmarkStart w:id="5" w:name="h6"/>
      <w:r>
        <w:t>2.1 Objective</w:t>
      </w:r>
      <w:bookmarkEnd w:id="5"/>
    </w:p>
    <w:p w:rsidR="00800B14" w:rsidRDefault="00E57AC6">
      <w:pPr>
        <w:spacing w:after="120" w:line="276" w:lineRule="auto"/>
      </w:pPr>
      <w:r>
        <w:t>The practical objective was to priorit</w:t>
      </w:r>
      <w:r>
        <w:t>ise fast-moving items using six months of store consumption data, support better material accessibility and inventory control, and provide a fact-based foundation for the next Store Optimization activities.</w:t>
      </w:r>
    </w:p>
    <w:p w:rsidR="00800B14" w:rsidRDefault="00E57AC6">
      <w:pPr>
        <w:pStyle w:val="Heading2"/>
      </w:pPr>
      <w:bookmarkStart w:id="6" w:name="h7"/>
      <w:r>
        <w:t>2.2 Work carried out</w:t>
      </w:r>
      <w:bookmarkEnd w:id="6"/>
    </w:p>
    <w:p w:rsidR="00800B14" w:rsidRDefault="00E57AC6">
      <w:pPr>
        <w:pStyle w:val="ListParagraph"/>
        <w:numPr>
          <w:ilvl w:val="0"/>
          <w:numId w:val="3"/>
        </w:numPr>
        <w:spacing w:after="70" w:line="272" w:lineRule="auto"/>
      </w:pPr>
      <w:r>
        <w:t>Collected historical consump</w:t>
      </w:r>
      <w:r>
        <w:t>tion data from the Stores.</w:t>
      </w:r>
    </w:p>
    <w:p w:rsidR="00800B14" w:rsidRDefault="00E57AC6">
      <w:pPr>
        <w:pStyle w:val="ListParagraph"/>
        <w:numPr>
          <w:ilvl w:val="0"/>
          <w:numId w:val="3"/>
        </w:numPr>
        <w:spacing w:after="70" w:line="272" w:lineRule="auto"/>
      </w:pPr>
      <w:r>
        <w:t>Cleaned the dataset by removing unwanted fields.</w:t>
      </w:r>
    </w:p>
    <w:p w:rsidR="00800B14" w:rsidRDefault="00E57AC6">
      <w:pPr>
        <w:pStyle w:val="ListParagraph"/>
        <w:numPr>
          <w:ilvl w:val="0"/>
          <w:numId w:val="3"/>
        </w:numPr>
        <w:spacing w:after="70" w:line="272" w:lineRule="auto"/>
      </w:pPr>
      <w:r>
        <w:t>Performed the FSN classification using the methodology and formulas in the workbooks.</w:t>
      </w:r>
    </w:p>
    <w:p w:rsidR="00800B14" w:rsidRDefault="00E57AC6">
      <w:pPr>
        <w:pStyle w:val="ListParagraph"/>
        <w:numPr>
          <w:ilvl w:val="0"/>
          <w:numId w:val="3"/>
        </w:numPr>
        <w:spacing w:after="70" w:line="272" w:lineRule="auto"/>
      </w:pPr>
      <w:r>
        <w:t>Identified high-consumption items for priority attention.</w:t>
      </w:r>
    </w:p>
    <w:p w:rsidR="00800B14" w:rsidRDefault="00E57AC6">
      <w:pPr>
        <w:pStyle w:val="ListParagraph"/>
        <w:numPr>
          <w:ilvl w:val="0"/>
          <w:numId w:val="3"/>
        </w:numPr>
        <w:spacing w:after="70" w:line="272" w:lineRule="auto"/>
      </w:pPr>
      <w:r>
        <w:t>Reviewed consumption patterns, category distributions and the related inventory-control calculations where available.</w:t>
      </w:r>
    </w:p>
    <w:p w:rsidR="00800B14" w:rsidRDefault="00E57AC6">
      <w:pPr>
        <w:pStyle w:val="ListParagraph"/>
        <w:numPr>
          <w:ilvl w:val="0"/>
          <w:numId w:val="3"/>
        </w:numPr>
        <w:spacing w:after="70" w:line="272" w:lineRule="auto"/>
      </w:pPr>
      <w:r>
        <w:t>Developed recommendations to support the subsequent workstreams.</w:t>
      </w:r>
    </w:p>
    <w:p w:rsidR="00800B14" w:rsidRDefault="00E57AC6">
      <w:pPr>
        <w:pStyle w:val="Heading2"/>
      </w:pPr>
      <w:bookmarkStart w:id="7" w:name="h8"/>
      <w:r>
        <w:t>2.3 Scope of this report</w:t>
      </w:r>
      <w:bookmarkEnd w:id="7"/>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603"/>
        <w:gridCol w:w="3603"/>
      </w:tblGrid>
      <w:tr w:rsidR="00800B14">
        <w:tblPrEx>
          <w:tblCellMar>
            <w:top w:w="0" w:type="dxa"/>
            <w:bottom w:w="0" w:type="dxa"/>
          </w:tblCellMar>
        </w:tblPrEx>
        <w:trPr>
          <w:cantSplit/>
          <w:tblHeader/>
        </w:trPr>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Dimension</w:t>
            </w:r>
          </w:p>
        </w:tc>
        <w:tc>
          <w:tcPr>
            <w:tcW w:w="3603"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In scope</w:t>
            </w:r>
          </w:p>
        </w:tc>
        <w:tc>
          <w:tcPr>
            <w:tcW w:w="3603"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Not in scope / not claimed</w:t>
            </w:r>
          </w:p>
        </w:tc>
      </w:tr>
      <w:tr w:rsidR="00800B14">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7"/>
                <w:szCs w:val="17"/>
              </w:rPr>
              <w:t>Data</w:t>
            </w:r>
          </w:p>
        </w:tc>
        <w:tc>
          <w:tcPr>
            <w:tcW w:w="360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Three supplied workbooks and their formulas</w:t>
            </w:r>
          </w:p>
        </w:tc>
        <w:tc>
          <w:tcPr>
            <w:tcW w:w="360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Stock-on-hand, item cost, supplier lead-time records or machine-dependency data (not supplied)</w:t>
            </w:r>
          </w:p>
        </w:tc>
      </w:tr>
      <w:tr w:rsidR="00800B14">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7"/>
                <w:szCs w:val="17"/>
              </w:rPr>
              <w:t>Analysis</w:t>
            </w:r>
          </w:p>
        </w:tc>
        <w:tc>
          <w:tcPr>
            <w:tcW w:w="3603"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FSN classification, consumption patterns, ROP and safety-stock formulas, non-moving stock</w:t>
            </w:r>
          </w:p>
        </w:tc>
        <w:tc>
          <w:tcPr>
            <w:tcW w:w="3603"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Financial value of stock, carrying cost, savings</w:t>
            </w:r>
          </w:p>
        </w:tc>
      </w:tr>
      <w:tr w:rsidR="00800B14">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7"/>
                <w:szCs w:val="17"/>
              </w:rPr>
              <w:t>Outputs</w:t>
            </w:r>
          </w:p>
        </w:tc>
        <w:tc>
          <w:tcPr>
            <w:tcW w:w="360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7"/>
                <w:szCs w:val="17"/>
              </w:rPr>
              <w:t>Findings, audit of figures and formulas, recommendations</w:t>
            </w:r>
          </w:p>
        </w:tc>
        <w:tc>
          <w:tcPr>
            <w:tcW w:w="3603"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7"/>
                <w:szCs w:val="17"/>
              </w:rPr>
              <w:t>Implementation results</w:t>
            </w:r>
          </w:p>
        </w:tc>
      </w:tr>
    </w:tbl>
    <w:p w:rsidR="00800B14" w:rsidRDefault="00E57AC6">
      <w:pPr>
        <w:spacing w:before="80" w:after="200"/>
      </w:pPr>
      <w:r>
        <w:rPr>
          <w:b/>
          <w:bCs/>
          <w:color w:val="0E8C8C"/>
          <w:sz w:val="18"/>
          <w:szCs w:val="18"/>
        </w:rPr>
        <w:t xml:space="preserve">Table </w:t>
      </w:r>
      <w:r>
        <w:rPr>
          <w:i/>
          <w:iCs/>
          <w:color w:val="5B6677"/>
          <w:sz w:val="18"/>
          <w:szCs w:val="18"/>
        </w:rPr>
        <w:t>1 — Scope of the FSN analysis report</w:t>
      </w:r>
    </w:p>
    <w:p w:rsidR="00800B14" w:rsidRDefault="00E57AC6">
      <w:pPr>
        <w:pStyle w:val="Heading1"/>
      </w:pPr>
      <w:bookmarkStart w:id="8" w:name="h9"/>
      <w:r>
        <w:t>3. Data Sources and Method</w:t>
      </w:r>
      <w:bookmarkEnd w:id="8"/>
    </w:p>
    <w:p w:rsidR="00800B14" w:rsidRDefault="00E57AC6">
      <w:pPr>
        <w:pStyle w:val="Heading2"/>
      </w:pPr>
      <w:bookmarkStart w:id="9" w:name="h10"/>
      <w:r>
        <w:t>3.1 Workbooks reviewed</w:t>
      </w:r>
      <w:bookmarkEnd w:id="9"/>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300"/>
        <w:gridCol w:w="2900"/>
        <w:gridCol w:w="2906"/>
      </w:tblGrid>
      <w:tr w:rsidR="00800B14">
        <w:tblPrEx>
          <w:tblCellMar>
            <w:top w:w="0" w:type="dxa"/>
            <w:bottom w:w="0" w:type="dxa"/>
          </w:tblCellMar>
        </w:tblPrEx>
        <w:trPr>
          <w:cantSplit/>
          <w:tblHeader/>
        </w:trPr>
        <w:tc>
          <w:tcPr>
            <w:tcW w:w="15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Workbook</w:t>
            </w:r>
          </w:p>
        </w:tc>
        <w:tc>
          <w:tcPr>
            <w:tcW w:w="23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Sheets</w:t>
            </w:r>
          </w:p>
        </w:tc>
        <w:tc>
          <w:tcPr>
            <w:tcW w:w="2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What it contains</w:t>
            </w:r>
          </w:p>
        </w:tc>
        <w:tc>
          <w:tcPr>
            <w:tcW w:w="29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Limitations observed</w:t>
            </w:r>
          </w:p>
        </w:tc>
      </w:tr>
      <w:tr w:rsidR="00800B14">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Extrusion Stores</w:t>
            </w:r>
          </w:p>
        </w:tc>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ABC Dashboard (1 sheet, 1 chart)</w:t>
            </w:r>
          </w:p>
        </w:tc>
        <w:tc>
          <w:tcPr>
            <w:tcW w:w="2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118 material families summarised into classes: counts, % of items, average monthly consumption (pcs), % and cumulative % of consumption, status and recommendations</w:t>
            </w:r>
          </w:p>
        </w:tc>
        <w:tc>
          <w:tcPr>
            <w:tcW w:w="29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No item-level register; all figures are typed text, no formulas</w:t>
            </w:r>
          </w:p>
        </w:tc>
      </w:tr>
      <w:tr w:rsidR="00800B14">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Factory 1 Spares</w:t>
            </w:r>
          </w:p>
        </w:tc>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Executive Summary; Charts &amp; Analysis (3 charts); Spares Register</w:t>
            </w:r>
          </w:p>
        </w:tc>
        <w:tc>
          <w:tcPr>
            <w:tcW w:w="2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549 SKUs described; register of 51 SKUs with six monthly values, totals, averages, safety stock, ROP, category and criticality</w:t>
            </w:r>
          </w:p>
        </w:tc>
        <w:tc>
          <w:tcPr>
            <w:tcW w:w="29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Register covers 51 of 549 SKUs; summary tables are typed values</w:t>
            </w:r>
          </w:p>
        </w:tc>
      </w:tr>
      <w:tr w:rsidR="00800B14">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6"/>
                <w:szCs w:val="16"/>
              </w:rPr>
              <w:t>Powder Stores</w:t>
            </w:r>
          </w:p>
        </w:tc>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Executive Summary; Charts &amp; Analysis (2 charts); Powder Raw Data</w:t>
            </w:r>
          </w:p>
        </w:tc>
        <w:tc>
          <w:tcPr>
            <w:tcW w:w="2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56 powder shades with six monthly values, totals, averages, share, category, daily average, safety stock and ROP</w:t>
            </w:r>
          </w:p>
        </w:tc>
        <w:tc>
          <w:tcPr>
            <w:tcW w:w="29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Contribution % partly filled and Cumulative % not calculated; summary tables a</w:t>
            </w:r>
            <w:r>
              <w:rPr>
                <w:sz w:val="16"/>
                <w:szCs w:val="16"/>
              </w:rPr>
              <w:t>re typed values</w:t>
            </w:r>
          </w:p>
        </w:tc>
      </w:tr>
    </w:tbl>
    <w:p w:rsidR="00800B14" w:rsidRDefault="00E57AC6">
      <w:pPr>
        <w:spacing w:before="80" w:after="200"/>
      </w:pPr>
      <w:r>
        <w:rPr>
          <w:b/>
          <w:bCs/>
          <w:color w:val="0E8C8C"/>
          <w:sz w:val="18"/>
          <w:szCs w:val="18"/>
        </w:rPr>
        <w:t xml:space="preserve">Table </w:t>
      </w:r>
      <w:r>
        <w:rPr>
          <w:i/>
          <w:iCs/>
          <w:color w:val="5B6677"/>
          <w:sz w:val="18"/>
          <w:szCs w:val="18"/>
        </w:rPr>
        <w:t>2 — Workbooks reviewed</w:t>
      </w:r>
    </w:p>
    <w:p w:rsidR="00800B14" w:rsidRDefault="00E57AC6">
      <w:pPr>
        <w:pStyle w:val="Heading2"/>
      </w:pPr>
      <w:bookmarkStart w:id="10" w:name="h11"/>
      <w:r>
        <w:lastRenderedPageBreak/>
        <w:t>3.2 How the review was done</w:t>
      </w:r>
      <w:bookmarkEnd w:id="10"/>
    </w:p>
    <w:p w:rsidR="00800B14" w:rsidRDefault="00E57AC6">
      <w:pPr>
        <w:spacing w:after="120" w:line="276" w:lineRule="auto"/>
      </w:pPr>
      <w:r>
        <w:t>The workbooks were treated as the source of truth. Cell formulas were read directly; totals, averages, shares, cumulative percentages, class assignments, safety stock and ROP were recomputed from the monthly values and compared with the workbook figures. W</w:t>
      </w:r>
      <w:r>
        <w:t>here a figure could not be reproduced, or two figures conflicted, it is flagged in Section 10 and neither is silently replaced. Recomputed values shown in this report are labelled as such.</w:t>
      </w:r>
    </w:p>
    <w:p w:rsidR="00800B14" w:rsidRDefault="00E57AC6">
      <w:pPr>
        <w:pStyle w:val="Heading2"/>
      </w:pPr>
      <w:bookmarkStart w:id="11" w:name="h12"/>
      <w:r>
        <w:t>3.3 FSN class labels used</w:t>
      </w:r>
      <w:bookmarkEnd w:id="11"/>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200"/>
        <w:gridCol w:w="5406"/>
      </w:tblGrid>
      <w:tr w:rsidR="00800B14">
        <w:tblPrEx>
          <w:tblCellMar>
            <w:top w:w="0" w:type="dxa"/>
            <w:bottom w:w="0" w:type="dxa"/>
          </w:tblCellMar>
        </w:tblPrEx>
        <w:trPr>
          <w:cantSplit/>
          <w:tblHeader/>
        </w:trPr>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Class (this report)</w:t>
            </w:r>
          </w:p>
        </w:tc>
        <w:tc>
          <w:tcPr>
            <w:tcW w:w="22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Workbook code</w:t>
            </w:r>
          </w:p>
        </w:tc>
        <w:tc>
          <w:tcPr>
            <w:tcW w:w="54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How the workbooks describe it</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7"/>
                <w:szCs w:val="17"/>
              </w:rPr>
              <w:t>Fast</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A</w:t>
            </w:r>
          </w:p>
        </w:tc>
        <w:tc>
          <w:tcPr>
            <w:tcW w:w="54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Extrusion: High Moving; Spares: Critical; Powder: High Moving / high priority</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7"/>
                <w:szCs w:val="17"/>
              </w:rPr>
              <w:t>Medium</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B</w:t>
            </w:r>
          </w:p>
        </w:tc>
        <w:tc>
          <w:tcPr>
            <w:tcW w:w="54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Extrusion: Medium Moving; Spares: Semi-Critical; Powder: Medium Moving</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7"/>
                <w:szCs w:val="17"/>
              </w:rPr>
              <w:t>Slow</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C</w:t>
            </w:r>
          </w:p>
        </w:tc>
        <w:tc>
          <w:tcPr>
            <w:tcW w:w="54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Extrusion: Slow Moving; Spares: Non-Critical (order on demand); Powder: Low Moving (order on demand)</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b/>
                <w:bCs/>
                <w:color w:val="0B2545"/>
                <w:sz w:val="17"/>
                <w:szCs w:val="17"/>
              </w:rPr>
              <w:t>Non-moving</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7"/>
                <w:szCs w:val="17"/>
              </w:rPr>
              <w:t>NM</w:t>
            </w:r>
          </w:p>
        </w:tc>
        <w:tc>
          <w:tcPr>
            <w:tcW w:w="54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7"/>
                <w:szCs w:val="17"/>
              </w:rPr>
              <w:t>Spares and Powder: zero consumption in six months; not shown separately in Extrusion</w:t>
            </w:r>
          </w:p>
        </w:tc>
      </w:tr>
    </w:tbl>
    <w:p w:rsidR="00800B14" w:rsidRDefault="00E57AC6">
      <w:pPr>
        <w:spacing w:before="80" w:after="200"/>
      </w:pPr>
      <w:r>
        <w:rPr>
          <w:b/>
          <w:bCs/>
          <w:color w:val="0E8C8C"/>
          <w:sz w:val="18"/>
          <w:szCs w:val="18"/>
        </w:rPr>
        <w:t xml:space="preserve">Table </w:t>
      </w:r>
      <w:r>
        <w:rPr>
          <w:i/>
          <w:iCs/>
          <w:color w:val="5B6677"/>
          <w:sz w:val="18"/>
          <w:szCs w:val="18"/>
        </w:rPr>
        <w:t>3 — FSN class labels and workbook codes</w:t>
      </w:r>
    </w:p>
    <w:p w:rsidR="00800B14" w:rsidRDefault="00E57AC6">
      <w:pPr>
        <w:spacing w:after="120" w:line="276" w:lineRule="auto"/>
      </w:pPr>
      <w:r>
        <w:rPr>
          <w:i/>
          <w:iCs/>
          <w:color w:val="5B6677"/>
        </w:rPr>
        <w:t>FSN is conventionally three classes; the workbooks use an additional Medium band. This report keeps the workbooks’ four bands rather than merging them.</w:t>
      </w:r>
    </w:p>
    <w:p w:rsidR="00800B14" w:rsidRDefault="00E57AC6">
      <w:pPr>
        <w:pStyle w:val="Heading1"/>
        <w:pageBreakBefore/>
      </w:pPr>
      <w:bookmarkStart w:id="12" w:name="h13"/>
      <w:r>
        <w:lastRenderedPageBreak/>
        <w:t>4. FSN Classification Framework</w:t>
      </w:r>
      <w:bookmarkEnd w:id="12"/>
    </w:p>
    <w:p w:rsidR="00800B14" w:rsidRDefault="00E57AC6">
      <w:pPr>
        <w:spacing w:after="120" w:line="276" w:lineRule="auto"/>
      </w:pPr>
      <w:r>
        <w:t>In all three workbooks items are ranked by consumption and grouped by cu</w:t>
      </w:r>
      <w:r>
        <w:t>mulative share of consumption. The thresholds differ between workbooks.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000"/>
        <w:gridCol w:w="2000"/>
        <w:gridCol w:w="2000"/>
        <w:gridCol w:w="1906"/>
      </w:tblGrid>
      <w:tr w:rsidR="00800B14">
        <w:tblPrEx>
          <w:tblCellMar>
            <w:top w:w="0" w:type="dxa"/>
            <w:bottom w:w="0" w:type="dxa"/>
          </w:tblCellMar>
        </w:tblPrEx>
        <w:trPr>
          <w:cantSplit/>
          <w:tblHeader/>
        </w:trPr>
        <w:tc>
          <w:tcPr>
            <w:tcW w:w="1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Workbook</w:t>
            </w:r>
          </w:p>
        </w:tc>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Fast (A)</w:t>
            </w:r>
          </w:p>
        </w:tc>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Medium (B)</w:t>
            </w:r>
          </w:p>
        </w:tc>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Slow (C)</w:t>
            </w:r>
          </w:p>
        </w:tc>
        <w:tc>
          <w:tcPr>
            <w:tcW w:w="19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Non-moving (NM)</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7"/>
                <w:szCs w:val="17"/>
              </w:rPr>
              <w:t>Extrusion</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Cumulative 68.3% (threshold not stated)</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To 90.0%</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To 100%</w:t>
            </w:r>
          </w:p>
        </w:tc>
        <w:tc>
          <w:tcPr>
            <w:tcW w:w="19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Not shown</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7"/>
                <w:szCs w:val="17"/>
              </w:rPr>
              <w:t>Spares</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Cumulative 0–70%</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70–90%</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90–100%</w:t>
            </w:r>
          </w:p>
        </w:tc>
        <w:tc>
          <w:tcPr>
            <w:tcW w:w="19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Zero consumption</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7"/>
                <w:szCs w:val="17"/>
              </w:rPr>
              <w:t>Powder</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7"/>
                <w:szCs w:val="17"/>
              </w:rPr>
              <w:t>Top 80%</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7"/>
                <w:szCs w:val="17"/>
              </w:rPr>
              <w:t>Next 15% (to 95%)</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7"/>
                <w:szCs w:val="17"/>
              </w:rPr>
              <w:t>Remaining 5%</w:t>
            </w:r>
          </w:p>
        </w:tc>
        <w:tc>
          <w:tcPr>
            <w:tcW w:w="19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7"/>
                <w:szCs w:val="17"/>
              </w:rPr>
              <w:t>Zero consumption</w:t>
            </w:r>
          </w:p>
        </w:tc>
      </w:tr>
    </w:tbl>
    <w:p w:rsidR="00800B14" w:rsidRDefault="00E57AC6">
      <w:pPr>
        <w:spacing w:before="80" w:after="200"/>
      </w:pPr>
      <w:r>
        <w:rPr>
          <w:b/>
          <w:bCs/>
          <w:color w:val="0E8C8C"/>
          <w:sz w:val="18"/>
          <w:szCs w:val="18"/>
        </w:rPr>
        <w:t xml:space="preserve">Table </w:t>
      </w:r>
      <w:r>
        <w:rPr>
          <w:i/>
          <w:iCs/>
          <w:color w:val="5B6677"/>
          <w:sz w:val="18"/>
          <w:szCs w:val="18"/>
        </w:rPr>
        <w:t>4 — Class thresholds stated or implied in the workbooks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800B14">
        <w:tblPrEx>
          <w:tblCellMar>
            <w:top w:w="0" w:type="dxa"/>
            <w:bottom w:w="0" w:type="dxa"/>
          </w:tblCellMar>
        </w:tblPrEx>
        <w:trPr>
          <w:cantSplit/>
        </w:trPr>
        <w:tc>
          <w:tcPr>
            <w:tcW w:w="9606" w:type="dxa"/>
            <w:tcBorders>
              <w:top w:val="single" w:sz="2" w:space="0" w:color="E3F3F2"/>
              <w:left w:val="single" w:sz="24" w:space="0" w:color="0E8C8C"/>
              <w:bottom w:val="single" w:sz="2" w:space="0" w:color="E3F3F2"/>
              <w:right w:val="single" w:sz="2" w:space="0" w:color="E3F3F2"/>
            </w:tcBorders>
            <w:shd w:val="clear" w:color="auto" w:fill="E3F3F2"/>
            <w:tcMar>
              <w:top w:w="110" w:type="dxa"/>
              <w:left w:w="180" w:type="dxa"/>
              <w:bottom w:w="110" w:type="dxa"/>
              <w:right w:w="180" w:type="dxa"/>
            </w:tcMar>
          </w:tcPr>
          <w:p w:rsidR="00800B14" w:rsidRDefault="00E57AC6">
            <w:pPr>
              <w:spacing w:after="50"/>
            </w:pPr>
            <w:r>
              <w:rPr>
                <w:b/>
                <w:bCs/>
                <w:color w:val="0B2545"/>
                <w:sz w:val="20"/>
                <w:szCs w:val="20"/>
              </w:rPr>
              <w:t>Reproduction test</w:t>
            </w:r>
          </w:p>
          <w:p w:rsidR="00800B14" w:rsidRDefault="00E57AC6">
            <w:pPr>
              <w:spacing w:after="50" w:line="260" w:lineRule="auto"/>
            </w:pPr>
            <w:r>
              <w:rPr>
                <w:b/>
                <w:bCs/>
                <w:sz w:val="19"/>
                <w:szCs w:val="19"/>
              </w:rPr>
              <w:t xml:space="preserve">Powder: </w:t>
            </w:r>
            <w:r>
              <w:rPr>
                <w:sz w:val="19"/>
                <w:szCs w:val="19"/>
              </w:rPr>
              <w:t xml:space="preserve">recomputing cumulative shares from the raw data reproduces the class assignment when a shade is placed in a class only if its cumulative share stays within the threshold (Fast 75.7% after 3 shades; Medium 94.6% after 11; Slow to 100%). Spares: the 19 Fast </w:t>
            </w:r>
            <w:r>
              <w:rPr>
                <w:sz w:val="19"/>
                <w:szCs w:val="19"/>
              </w:rPr>
              <w:t>SKUs are consistent with the stated 70% limit (69.3% of active consumption) but cannot be re-derived from the 51-SKU register. Extrusion: only the arithmetic of the summary can be checked.</w:t>
            </w:r>
          </w:p>
        </w:tc>
      </w:tr>
    </w:tbl>
    <w:p w:rsidR="00800B14" w:rsidRDefault="00E57AC6">
      <w:pPr>
        <w:spacing w:before="100" w:after="120" w:line="276" w:lineRule="auto"/>
      </w:pPr>
      <w:r>
        <w:t>The Spares summary describes the method as “Pareto 80-20” although its thresholds are 70/90/100; this is flagged in Section 10.</w:t>
      </w:r>
    </w:p>
    <w:p w:rsidR="00800B14" w:rsidRDefault="00E57AC6">
      <w:pPr>
        <w:pStyle w:val="Heading1"/>
      </w:pPr>
      <w:bookmarkStart w:id="13" w:name="h14"/>
      <w:r>
        <w:t>5. Extrusion Stores</w:t>
      </w:r>
      <w:bookmarkEnd w:id="13"/>
    </w:p>
    <w:p w:rsidR="00800B14" w:rsidRDefault="00E57AC6">
      <w:pPr>
        <w:pStyle w:val="Heading2"/>
      </w:pPr>
      <w:bookmarkStart w:id="14" w:name="h15"/>
      <w:r>
        <w:t>5.1 FSN summary</w:t>
      </w:r>
      <w:bookmarkEnd w:id="14"/>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500"/>
        <w:gridCol w:w="1300"/>
        <w:gridCol w:w="2000"/>
        <w:gridCol w:w="1300"/>
        <w:gridCol w:w="1506"/>
      </w:tblGrid>
      <w:tr w:rsidR="00800B14">
        <w:tblPrEx>
          <w:tblCellMar>
            <w:top w:w="0" w:type="dxa"/>
            <w:bottom w:w="0" w:type="dxa"/>
          </w:tblCellMar>
        </w:tblPrEx>
        <w:trPr>
          <w:cantSplit/>
          <w:tblHeader/>
        </w:trPr>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Class</w:t>
            </w:r>
          </w:p>
        </w:tc>
        <w:tc>
          <w:tcPr>
            <w:tcW w:w="15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Material families</w:t>
            </w:r>
          </w:p>
        </w:tc>
        <w:tc>
          <w:tcPr>
            <w:tcW w:w="13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 of families</w:t>
            </w:r>
          </w:p>
        </w:tc>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Avg monthly consumption (pcs)</w:t>
            </w:r>
          </w:p>
        </w:tc>
        <w:tc>
          <w:tcPr>
            <w:tcW w:w="13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 of consumption</w:t>
            </w:r>
          </w:p>
        </w:tc>
        <w:tc>
          <w:tcPr>
            <w:tcW w:w="15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Cumulative %</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7"/>
                <w:szCs w:val="17"/>
              </w:rPr>
              <w:t>Fast / High (A)</w:t>
            </w:r>
          </w:p>
        </w:tc>
        <w:tc>
          <w:tcPr>
            <w:tcW w:w="1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12</w:t>
            </w:r>
          </w:p>
        </w:tc>
        <w:tc>
          <w:tcPr>
            <w:tcW w:w="1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10.2%</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63,035</w:t>
            </w:r>
          </w:p>
        </w:tc>
        <w:tc>
          <w:tcPr>
            <w:tcW w:w="1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68.3%</w:t>
            </w:r>
          </w:p>
        </w:tc>
        <w:tc>
          <w:tcPr>
            <w:tcW w:w="1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68.3%</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7"/>
                <w:szCs w:val="17"/>
              </w:rPr>
              <w:t>Medium (B)</w:t>
            </w:r>
          </w:p>
        </w:tc>
        <w:tc>
          <w:tcPr>
            <w:tcW w:w="1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19</w:t>
            </w:r>
          </w:p>
        </w:tc>
        <w:tc>
          <w:tcPr>
            <w:tcW w:w="1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16.1%</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20,028</w:t>
            </w:r>
          </w:p>
        </w:tc>
        <w:tc>
          <w:tcPr>
            <w:tcW w:w="1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21.7%</w:t>
            </w:r>
          </w:p>
        </w:tc>
        <w:tc>
          <w:tcPr>
            <w:tcW w:w="1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90.0%</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7"/>
                <w:szCs w:val="17"/>
              </w:rPr>
              <w:t>Slow (C)</w:t>
            </w:r>
          </w:p>
        </w:tc>
        <w:tc>
          <w:tcPr>
            <w:tcW w:w="1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87</w:t>
            </w:r>
          </w:p>
        </w:tc>
        <w:tc>
          <w:tcPr>
            <w:tcW w:w="1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73.7%</w:t>
            </w:r>
          </w:p>
        </w:tc>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9,289</w:t>
            </w:r>
          </w:p>
        </w:tc>
        <w:tc>
          <w:tcPr>
            <w:tcW w:w="1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10.1%</w:t>
            </w:r>
          </w:p>
        </w:tc>
        <w:tc>
          <w:tcPr>
            <w:tcW w:w="1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100.0%</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b/>
                <w:bCs/>
                <w:color w:val="0B2545"/>
                <w:sz w:val="17"/>
                <w:szCs w:val="17"/>
              </w:rPr>
              <w:t>Total</w:t>
            </w:r>
          </w:p>
        </w:tc>
        <w:tc>
          <w:tcPr>
            <w:tcW w:w="1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7"/>
                <w:szCs w:val="17"/>
              </w:rPr>
              <w:t>118</w:t>
            </w:r>
          </w:p>
        </w:tc>
        <w:tc>
          <w:tcPr>
            <w:tcW w:w="1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7"/>
                <w:szCs w:val="17"/>
              </w:rPr>
              <w:t>100.0%</w:t>
            </w:r>
          </w:p>
        </w:tc>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7"/>
                <w:szCs w:val="17"/>
              </w:rPr>
              <w:t>92,352</w:t>
            </w:r>
          </w:p>
        </w:tc>
        <w:tc>
          <w:tcPr>
            <w:tcW w:w="1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7"/>
                <w:szCs w:val="17"/>
              </w:rPr>
              <w:t>100.0%</w:t>
            </w:r>
          </w:p>
        </w:tc>
        <w:tc>
          <w:tcPr>
            <w:tcW w:w="1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7"/>
                <w:szCs w:val="17"/>
              </w:rPr>
              <w:t>—</w:t>
            </w:r>
          </w:p>
        </w:tc>
      </w:tr>
    </w:tbl>
    <w:p w:rsidR="00800B14" w:rsidRDefault="00E57AC6">
      <w:pPr>
        <w:spacing w:before="80" w:after="200"/>
      </w:pPr>
      <w:r>
        <w:rPr>
          <w:b/>
          <w:bCs/>
          <w:color w:val="0E8C8C"/>
          <w:sz w:val="18"/>
          <w:szCs w:val="18"/>
        </w:rPr>
        <w:t xml:space="preserve">Table </w:t>
      </w:r>
      <w:r>
        <w:rPr>
          <w:i/>
          <w:iCs/>
          <w:color w:val="5B6677"/>
          <w:sz w:val="18"/>
          <w:szCs w:val="18"/>
        </w:rPr>
        <w:t>5 — Extrusion FSN summary (as stated in the dashboard)</w:t>
      </w:r>
    </w:p>
    <w:p w:rsidR="00800B14" w:rsidRDefault="00E57AC6">
      <w:pPr>
        <w:keepNext/>
        <w:spacing w:before="80"/>
        <w:jc w:val="center"/>
      </w:pPr>
      <w:r>
        <w:rPr>
          <w:noProof/>
        </w:rPr>
        <w:lastRenderedPageBreak/>
        <w:drawing>
          <wp:inline distT="0" distB="0" distL="0" distR="0">
            <wp:extent cx="5334000" cy="2743200"/>
            <wp:effectExtent l="0" t="0" r="0" b="0"/>
            <wp:docPr id="2" name="ext_mix.png" descr="ext_mix.png" title="ext_m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743200"/>
                    </a:xfrm>
                    <a:prstGeom prst="rect">
                      <a:avLst/>
                    </a:prstGeom>
                  </pic:spPr>
                </pic:pic>
              </a:graphicData>
            </a:graphic>
          </wp:inline>
        </w:drawing>
      </w:r>
    </w:p>
    <w:p w:rsidR="00800B14" w:rsidRDefault="00E57AC6">
      <w:pPr>
        <w:spacing w:before="80" w:after="200"/>
        <w:jc w:val="center"/>
      </w:pPr>
      <w:r>
        <w:rPr>
          <w:b/>
          <w:bCs/>
          <w:color w:val="0E8C8C"/>
          <w:sz w:val="18"/>
          <w:szCs w:val="18"/>
        </w:rPr>
        <w:t xml:space="preserve">Figure </w:t>
      </w:r>
      <w:r>
        <w:rPr>
          <w:i/>
          <w:iCs/>
          <w:color w:val="5B6677"/>
          <w:sz w:val="18"/>
          <w:szCs w:val="18"/>
        </w:rPr>
        <w:t>1 — Extrusion — share of families vs share of consumption</w:t>
      </w:r>
    </w:p>
    <w:p w:rsidR="00800B14" w:rsidRDefault="00E57AC6">
      <w:pPr>
        <w:pStyle w:val="Heading2"/>
      </w:pPr>
      <w:bookmarkStart w:id="15" w:name="h16"/>
      <w:r>
        <w:t>5.2 Checks and derived measures</w:t>
      </w:r>
      <w:bookmarkEnd w:id="15"/>
    </w:p>
    <w:p w:rsidR="00800B14" w:rsidRDefault="00E57AC6">
      <w:pPr>
        <w:spacing w:after="120" w:line="276" w:lineRule="auto"/>
      </w:pPr>
      <w:r>
        <w:t>The dashboard’s arithmetic is internally consistent: the family counts sum to 118, the consumption figures sum to 92,352 pcs per month, and the percentages and cumula</w:t>
      </w:r>
      <w:r>
        <w:t>tive percentages follow from them. Because the dashboard holds no item-level data, the assignment of individual families to classes cannot be verified.</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400"/>
        <w:gridCol w:w="2400"/>
        <w:gridCol w:w="2606"/>
      </w:tblGrid>
      <w:tr w:rsidR="00800B14">
        <w:tblPrEx>
          <w:tblCellMar>
            <w:top w:w="0" w:type="dxa"/>
            <w:bottom w:w="0" w:type="dxa"/>
          </w:tblCellMar>
        </w:tblPrEx>
        <w:trPr>
          <w:cantSplit/>
          <w:tblHeader/>
        </w:trPr>
        <w:tc>
          <w:tcPr>
            <w:tcW w:w="22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Class</w:t>
            </w:r>
          </w:p>
        </w:tc>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Avg monthly pcs per family (derived)</w:t>
            </w:r>
          </w:p>
        </w:tc>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Relative to Slow family</w:t>
            </w:r>
          </w:p>
        </w:tc>
        <w:tc>
          <w:tcPr>
            <w:tcW w:w="26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Basis</w:t>
            </w:r>
          </w:p>
        </w:tc>
      </w:tr>
      <w:tr w:rsidR="00800B14">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7"/>
                <w:szCs w:val="17"/>
              </w:rPr>
              <w:t>Fast (A)</w:t>
            </w:r>
          </w:p>
        </w:tc>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 5,253</w:t>
            </w:r>
          </w:p>
        </w:tc>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 49×</w:t>
            </w:r>
          </w:p>
        </w:tc>
        <w:tc>
          <w:tcPr>
            <w:tcW w:w="26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63,035 ÷ 12</w:t>
            </w:r>
          </w:p>
        </w:tc>
      </w:tr>
      <w:tr w:rsidR="00800B14">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7"/>
                <w:szCs w:val="17"/>
              </w:rPr>
              <w:t>Medium (B)</w:t>
            </w:r>
          </w:p>
        </w:tc>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 1,054</w:t>
            </w:r>
          </w:p>
        </w:tc>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 10×</w:t>
            </w:r>
          </w:p>
        </w:tc>
        <w:tc>
          <w:tcPr>
            <w:tcW w:w="26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20,028 ÷ 19</w:t>
            </w:r>
          </w:p>
        </w:tc>
      </w:tr>
      <w:tr w:rsidR="00800B14">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7"/>
                <w:szCs w:val="17"/>
              </w:rPr>
              <w:t>Slow (C)</w:t>
            </w:r>
          </w:p>
        </w:tc>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7"/>
                <w:szCs w:val="17"/>
              </w:rPr>
              <w:t>≈ 107</w:t>
            </w:r>
          </w:p>
        </w:tc>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7"/>
                <w:szCs w:val="17"/>
              </w:rPr>
              <w:t>1×</w:t>
            </w:r>
          </w:p>
        </w:tc>
        <w:tc>
          <w:tcPr>
            <w:tcW w:w="26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7"/>
                <w:szCs w:val="17"/>
              </w:rPr>
              <w:t>9,289 ÷ 87</w:t>
            </w:r>
          </w:p>
        </w:tc>
      </w:tr>
    </w:tbl>
    <w:p w:rsidR="00800B14" w:rsidRDefault="00E57AC6">
      <w:pPr>
        <w:spacing w:before="80" w:after="200"/>
      </w:pPr>
      <w:r>
        <w:rPr>
          <w:b/>
          <w:bCs/>
          <w:color w:val="0E8C8C"/>
          <w:sz w:val="18"/>
          <w:szCs w:val="18"/>
        </w:rPr>
        <w:t xml:space="preserve">Table </w:t>
      </w:r>
      <w:r>
        <w:rPr>
          <w:i/>
          <w:iCs/>
          <w:color w:val="5B6677"/>
          <w:sz w:val="18"/>
          <w:szCs w:val="18"/>
        </w:rPr>
        <w:t>6 — Average consumption per family — derived by this report (class averages, not item data)</w:t>
      </w:r>
    </w:p>
    <w:p w:rsidR="00800B14" w:rsidRDefault="00E57AC6">
      <w:pPr>
        <w:pStyle w:val="Heading2"/>
      </w:pPr>
      <w:bookmarkStart w:id="16" w:name="h17"/>
      <w:r>
        <w:t>5.3 Recommendations stated in the workbook</w:t>
      </w:r>
      <w:bookmarkEnd w:id="16"/>
    </w:p>
    <w:p w:rsidR="00800B14" w:rsidRDefault="00E57AC6">
      <w:pPr>
        <w:pStyle w:val="ListParagraph"/>
        <w:numPr>
          <w:ilvl w:val="0"/>
          <w:numId w:val="2"/>
        </w:numPr>
        <w:spacing w:after="60" w:line="272" w:lineRule="auto"/>
      </w:pPr>
      <w:r>
        <w:rPr>
          <w:b/>
          <w:bCs/>
          <w:color w:val="0B2545"/>
        </w:rPr>
        <w:t xml:space="preserve">Fast (A): </w:t>
      </w:r>
      <w:r>
        <w:t>Kanban card-controlled shelf zones with Min–Max visual stock markers and strict FIFO bin arrangement (Min and Max values are not given).</w:t>
      </w:r>
    </w:p>
    <w:p w:rsidR="00800B14" w:rsidRDefault="00E57AC6">
      <w:pPr>
        <w:pStyle w:val="ListParagraph"/>
        <w:numPr>
          <w:ilvl w:val="0"/>
          <w:numId w:val="2"/>
        </w:numPr>
        <w:spacing w:after="60" w:line="272" w:lineRule="auto"/>
      </w:pPr>
      <w:r>
        <w:rPr>
          <w:b/>
          <w:bCs/>
          <w:color w:val="0B2545"/>
        </w:rPr>
        <w:t xml:space="preserve">Medium (B): </w:t>
      </w:r>
      <w:r>
        <w:t>bi-weekly review; maintain safety stock of 1.5 × average monthly consumption.</w:t>
      </w:r>
    </w:p>
    <w:p w:rsidR="00800B14" w:rsidRDefault="00E57AC6">
      <w:pPr>
        <w:pStyle w:val="ListParagraph"/>
        <w:numPr>
          <w:ilvl w:val="0"/>
          <w:numId w:val="2"/>
        </w:numPr>
        <w:spacing w:after="60" w:line="272" w:lineRule="auto"/>
      </w:pPr>
      <w:r>
        <w:rPr>
          <w:b/>
          <w:bCs/>
          <w:color w:val="0B2545"/>
        </w:rPr>
        <w:t xml:space="preserve">Slow (C): </w:t>
      </w:r>
      <w:r>
        <w:t>quarterly demand re</w:t>
      </w:r>
      <w:r>
        <w:t>view; reclassify quarterly; consider supplier-managed or consignment stock to reduce dead stock holding.</w:t>
      </w:r>
    </w:p>
    <w:p w:rsidR="00800B14" w:rsidRDefault="00E57AC6">
      <w:pPr>
        <w:spacing w:after="120" w:line="276" w:lineRule="auto"/>
      </w:pPr>
      <w:r>
        <w:rPr>
          <w:i/>
          <w:iCs/>
          <w:color w:val="5B6677"/>
        </w:rPr>
        <w:t>FIFO and Kanban are recommended here as storage and replenishment practices; they are separate workstreams and are not features of the ERP.</w:t>
      </w:r>
    </w:p>
    <w:p w:rsidR="00800B14" w:rsidRDefault="00E57AC6">
      <w:pPr>
        <w:pStyle w:val="Heading1"/>
        <w:pageBreakBefore/>
      </w:pPr>
      <w:bookmarkStart w:id="17" w:name="h18"/>
      <w:r>
        <w:lastRenderedPageBreak/>
        <w:t xml:space="preserve">6. Factory </w:t>
      </w:r>
      <w:r>
        <w:t>1 Spares</w:t>
      </w:r>
      <w:bookmarkEnd w:id="17"/>
    </w:p>
    <w:p w:rsidR="00800B14" w:rsidRDefault="00E57AC6">
      <w:pPr>
        <w:pStyle w:val="Heading2"/>
      </w:pPr>
      <w:bookmarkStart w:id="18" w:name="h19"/>
      <w:r>
        <w:t>6.1 FSN summary — 549 SKUs</w:t>
      </w:r>
      <w:bookmarkEnd w:id="18"/>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1200"/>
        <w:gridCol w:w="1300"/>
        <w:gridCol w:w="2500"/>
        <w:gridCol w:w="2506"/>
      </w:tblGrid>
      <w:tr w:rsidR="00800B14">
        <w:tblPrEx>
          <w:tblCellMar>
            <w:top w:w="0" w:type="dxa"/>
            <w:bottom w:w="0" w:type="dxa"/>
          </w:tblCellMar>
        </w:tblPrEx>
        <w:trPr>
          <w:cantSplit/>
          <w:tblHeader/>
        </w:trPr>
        <w:tc>
          <w:tcPr>
            <w:tcW w:w="21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Class</w:t>
            </w:r>
          </w:p>
        </w:tc>
        <w:tc>
          <w:tcPr>
            <w:tcW w:w="12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SKUs</w:t>
            </w:r>
          </w:p>
        </w:tc>
        <w:tc>
          <w:tcPr>
            <w:tcW w:w="13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 of SKUs</w:t>
            </w:r>
          </w:p>
        </w:tc>
        <w:tc>
          <w:tcPr>
            <w:tcW w:w="25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Share of active consumption</w:t>
            </w:r>
          </w:p>
        </w:tc>
        <w:tc>
          <w:tcPr>
            <w:tcW w:w="25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Criticality label in workbook</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7"/>
                <w:szCs w:val="17"/>
              </w:rPr>
              <w:t>Fast (A)</w:t>
            </w:r>
          </w:p>
        </w:tc>
        <w:tc>
          <w:tcPr>
            <w:tcW w:w="1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19</w:t>
            </w:r>
          </w:p>
        </w:tc>
        <w:tc>
          <w:tcPr>
            <w:tcW w:w="1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3.5%</w:t>
            </w:r>
          </w:p>
        </w:tc>
        <w:tc>
          <w:tcPr>
            <w:tcW w:w="2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 69.3%</w:t>
            </w:r>
          </w:p>
        </w:tc>
        <w:tc>
          <w:tcPr>
            <w:tcW w:w="2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Critical</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7"/>
                <w:szCs w:val="17"/>
              </w:rPr>
              <w:t>Medium (B)</w:t>
            </w:r>
          </w:p>
        </w:tc>
        <w:tc>
          <w:tcPr>
            <w:tcW w:w="1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31</w:t>
            </w:r>
          </w:p>
        </w:tc>
        <w:tc>
          <w:tcPr>
            <w:tcW w:w="1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5.6%</w:t>
            </w:r>
          </w:p>
        </w:tc>
        <w:tc>
          <w:tcPr>
            <w:tcW w:w="2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 20.6%</w:t>
            </w:r>
          </w:p>
        </w:tc>
        <w:tc>
          <w:tcPr>
            <w:tcW w:w="2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Semi-Critical</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7"/>
                <w:szCs w:val="17"/>
              </w:rPr>
              <w:t>Slow (C)</w:t>
            </w:r>
          </w:p>
        </w:tc>
        <w:tc>
          <w:tcPr>
            <w:tcW w:w="1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329</w:t>
            </w:r>
          </w:p>
        </w:tc>
        <w:tc>
          <w:tcPr>
            <w:tcW w:w="1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59.9%</w:t>
            </w:r>
          </w:p>
        </w:tc>
        <w:tc>
          <w:tcPr>
            <w:tcW w:w="2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 10.1%</w:t>
            </w:r>
          </w:p>
        </w:tc>
        <w:tc>
          <w:tcPr>
            <w:tcW w:w="2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Non-Critical</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b/>
                <w:bCs/>
                <w:color w:val="0B2545"/>
                <w:sz w:val="17"/>
                <w:szCs w:val="17"/>
              </w:rPr>
              <w:t>Non-moving (NM)</w:t>
            </w:r>
          </w:p>
        </w:tc>
        <w:tc>
          <w:tcPr>
            <w:tcW w:w="1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7"/>
                <w:szCs w:val="17"/>
              </w:rPr>
              <w:t>169</w:t>
            </w:r>
          </w:p>
        </w:tc>
        <w:tc>
          <w:tcPr>
            <w:tcW w:w="1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7"/>
                <w:szCs w:val="17"/>
              </w:rPr>
              <w:t>30.8%</w:t>
            </w:r>
          </w:p>
        </w:tc>
        <w:tc>
          <w:tcPr>
            <w:tcW w:w="2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7"/>
                <w:szCs w:val="17"/>
              </w:rPr>
              <w:t>0% (zero in six months)</w:t>
            </w:r>
          </w:p>
        </w:tc>
        <w:tc>
          <w:tcPr>
            <w:tcW w:w="2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7"/>
                <w:szCs w:val="17"/>
              </w:rPr>
              <w:t>Dead / Obsolete</w:t>
            </w:r>
          </w:p>
        </w:tc>
      </w:tr>
    </w:tbl>
    <w:p w:rsidR="00800B14" w:rsidRDefault="00E57AC6">
      <w:pPr>
        <w:spacing w:before="80" w:after="200"/>
      </w:pPr>
      <w:r>
        <w:rPr>
          <w:b/>
          <w:bCs/>
          <w:color w:val="0E8C8C"/>
          <w:sz w:val="18"/>
          <w:szCs w:val="18"/>
        </w:rPr>
        <w:t xml:space="preserve">Table </w:t>
      </w:r>
      <w:r>
        <w:rPr>
          <w:i/>
          <w:iCs/>
          <w:color w:val="5B6677"/>
          <w:sz w:val="18"/>
          <w:szCs w:val="18"/>
        </w:rPr>
        <w:t>7 — Spares FSN summary (workbook figures; % of SKUs computed by this report)</w:t>
      </w:r>
    </w:p>
    <w:p w:rsidR="00800B14" w:rsidRDefault="00E57AC6">
      <w:pPr>
        <w:keepNext/>
        <w:spacing w:before="80"/>
        <w:jc w:val="center"/>
      </w:pPr>
      <w:r>
        <w:rPr>
          <w:noProof/>
        </w:rPr>
        <w:drawing>
          <wp:inline distT="0" distB="0" distL="0" distR="0">
            <wp:extent cx="5334000" cy="2743200"/>
            <wp:effectExtent l="0" t="0" r="0" b="0"/>
            <wp:docPr id="3" name="spares_mix.png" descr="spares_mix.png" title="spares_m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743200"/>
                    </a:xfrm>
                    <a:prstGeom prst="rect">
                      <a:avLst/>
                    </a:prstGeom>
                  </pic:spPr>
                </pic:pic>
              </a:graphicData>
            </a:graphic>
          </wp:inline>
        </w:drawing>
      </w:r>
    </w:p>
    <w:p w:rsidR="00800B14" w:rsidRDefault="00E57AC6">
      <w:pPr>
        <w:spacing w:before="80" w:after="200"/>
        <w:jc w:val="center"/>
      </w:pPr>
      <w:r>
        <w:rPr>
          <w:b/>
          <w:bCs/>
          <w:color w:val="0E8C8C"/>
          <w:sz w:val="18"/>
          <w:szCs w:val="18"/>
        </w:rPr>
        <w:t xml:space="preserve">Figure </w:t>
      </w:r>
      <w:r>
        <w:rPr>
          <w:i/>
          <w:iCs/>
          <w:color w:val="5B6677"/>
          <w:sz w:val="18"/>
          <w:szCs w:val="18"/>
        </w:rPr>
        <w:t>2 — Spares — share of SKUs vs share of active consumption</w:t>
      </w:r>
    </w:p>
    <w:p w:rsidR="00800B14" w:rsidRDefault="00E57AC6">
      <w:pPr>
        <w:spacing w:after="120" w:line="276" w:lineRule="auto"/>
      </w:pPr>
      <w:r>
        <w:t>The register supplied holds 51 SKUs (19 Fast, 12 Medium, 10 Slow, 10 Non-moving) and totals 4,651,455 units over six months. The 19 Fast SKUs in the register match the 19 stated in the summary, and their combined six-month consumption is 3,898,794 units (6</w:t>
      </w:r>
      <w:r>
        <w:t>49,800 per month), which agrees with the summary table.</w:t>
      </w:r>
    </w:p>
    <w:p w:rsidR="00800B14" w:rsidRDefault="00E57AC6">
      <w:pPr>
        <w:pStyle w:val="Heading2"/>
      </w:pPr>
      <w:bookmarkStart w:id="19" w:name="h20"/>
      <w:r>
        <w:lastRenderedPageBreak/>
        <w:t>6.2 Fast-moving (A) spares</w:t>
      </w:r>
      <w:bookmarkEnd w:id="19"/>
    </w:p>
    <w:p w:rsidR="00800B14" w:rsidRDefault="00E57AC6">
      <w:pPr>
        <w:keepNext/>
        <w:spacing w:before="80"/>
        <w:jc w:val="center"/>
      </w:pPr>
      <w:r>
        <w:rPr>
          <w:noProof/>
        </w:rPr>
        <w:drawing>
          <wp:inline distT="0" distB="0" distL="0" distR="0">
            <wp:extent cx="5334000" cy="3886200"/>
            <wp:effectExtent l="0" t="0" r="0" b="0"/>
            <wp:docPr id="4" name="spares_top.png" descr="spares_top.png" title="spares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886200"/>
                    </a:xfrm>
                    <a:prstGeom prst="rect">
                      <a:avLst/>
                    </a:prstGeom>
                  </pic:spPr>
                </pic:pic>
              </a:graphicData>
            </a:graphic>
          </wp:inline>
        </w:drawing>
      </w:r>
    </w:p>
    <w:p w:rsidR="00800B14" w:rsidRDefault="00E57AC6">
      <w:pPr>
        <w:spacing w:before="80" w:after="200"/>
        <w:jc w:val="center"/>
      </w:pPr>
      <w:r>
        <w:rPr>
          <w:b/>
          <w:bCs/>
          <w:color w:val="0E8C8C"/>
          <w:sz w:val="18"/>
          <w:szCs w:val="18"/>
        </w:rPr>
        <w:t xml:space="preserve">Figure </w:t>
      </w:r>
      <w:r>
        <w:rPr>
          <w:i/>
          <w:iCs/>
          <w:color w:val="5B6677"/>
          <w:sz w:val="18"/>
          <w:szCs w:val="18"/>
        </w:rPr>
        <w:t>3 — Fast-moving spares — average monthly consumption</w:t>
      </w:r>
    </w:p>
    <w:p w:rsidR="00800B14" w:rsidRDefault="00E57AC6">
      <w:pPr>
        <w:spacing w:after="120" w:line="276" w:lineRule="auto"/>
      </w:pPr>
      <w:r>
        <w:t>The two highest items, Grille Black Bush and Pop Rivet (1/8 × 1/4), average 149,712 and 100,669 units per month</w:t>
      </w:r>
      <w:r>
        <w:t xml:space="preserve"> — together 38.5% of the 649,800 monthly units of the Fast class. These items are the logical first candidates for accessible, controlled storage.</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100"/>
        <w:gridCol w:w="1000"/>
        <w:gridCol w:w="1000"/>
        <w:gridCol w:w="900"/>
        <w:gridCol w:w="1000"/>
        <w:gridCol w:w="1000"/>
        <w:gridCol w:w="1306"/>
      </w:tblGrid>
      <w:tr w:rsidR="00800B14">
        <w:tblPrEx>
          <w:tblCellMar>
            <w:top w:w="0" w:type="dxa"/>
            <w:bottom w:w="0" w:type="dxa"/>
          </w:tblCellMar>
        </w:tblPrEx>
        <w:trPr>
          <w:cantSplit/>
          <w:tblHeader/>
        </w:trPr>
        <w:tc>
          <w:tcPr>
            <w:tcW w:w="23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5"/>
                <w:szCs w:val="15"/>
              </w:rPr>
              <w:t>Spare</w:t>
            </w:r>
          </w:p>
        </w:tc>
        <w:tc>
          <w:tcPr>
            <w:tcW w:w="11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5"/>
                <w:szCs w:val="15"/>
              </w:rPr>
              <w:t>Code</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5"/>
                <w:szCs w:val="15"/>
              </w:rPr>
              <w:t>Avg monthly</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5"/>
                <w:szCs w:val="15"/>
              </w:rPr>
              <w:t>Total (6M)</w:t>
            </w:r>
          </w:p>
        </w:tc>
        <w:tc>
          <w:tcPr>
            <w:tcW w:w="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5"/>
                <w:szCs w:val="15"/>
              </w:rPr>
              <w:t>Avg daily</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5"/>
                <w:szCs w:val="15"/>
              </w:rPr>
              <w:t>Safety stock</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5"/>
                <w:szCs w:val="15"/>
              </w:rPr>
              <w:t>ROP</w:t>
            </w:r>
          </w:p>
        </w:tc>
        <w:tc>
          <w:tcPr>
            <w:tcW w:w="13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5"/>
                <w:szCs w:val="15"/>
              </w:rPr>
              <w:t>Peak ÷ avg month</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GRILLE BLACK BUSH</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SI/SP-61.3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149,712</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898,274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4,990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49,900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149,700</w:t>
            </w:r>
          </w:p>
        </w:tc>
        <w:tc>
          <w:tcPr>
            <w:tcW w:w="1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1.87×</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POP RIVET (1/8 x 1/4)</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SI/SP-79.2</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100,669</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604,016</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3,356</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33,560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100,680</w:t>
            </w:r>
          </w:p>
        </w:tc>
        <w:tc>
          <w:tcPr>
            <w:tcW w:w="1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1.48×</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GRILLE DAMPER BUSH</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SI/SP-66.1</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52,712</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316,270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1,757</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17,570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52,710</w:t>
            </w:r>
          </w:p>
        </w:tc>
        <w:tc>
          <w:tcPr>
            <w:tcW w:w="1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1.43×</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OBD SELF TAPPING SCREW 3.5X13</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SI/SP-109.7</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45,149</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270,892</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1,505</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15,050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45,150</w:t>
            </w:r>
          </w:p>
        </w:tc>
        <w:tc>
          <w:tcPr>
            <w:tcW w:w="1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1.33×</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POP RIVET (1/8 x 3/8)</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SI/SP-79.1</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33,412</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200,472</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1,114</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11,140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33,420</w:t>
            </w:r>
          </w:p>
        </w:tc>
        <w:tc>
          <w:tcPr>
            <w:tcW w:w="1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1.26×</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GRILLE SCREW</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SI/SP-109.3</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30,161</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180,967</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1,005</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10,050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30,150</w:t>
            </w:r>
          </w:p>
        </w:tc>
        <w:tc>
          <w:tcPr>
            <w:tcW w:w="1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1.52×</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GRILLE DAMPER BUSH - DOWN SIDE</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SI/SP-66.2</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28,751</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172,508</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958</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9,580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28,740</w:t>
            </w:r>
          </w:p>
        </w:tc>
        <w:tc>
          <w:tcPr>
            <w:tcW w:w="1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1.39×</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GRILLE SCREW</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SI/SP-109.4</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27,411</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164,465</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914</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9,140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27,420</w:t>
            </w:r>
          </w:p>
        </w:tc>
        <w:tc>
          <w:tcPr>
            <w:tcW w:w="1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1.67×</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GRILLE DAMPER BUSH - UP SIDE</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SI/SP-66.3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25,189</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151,133</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840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8,400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25,200</w:t>
            </w:r>
          </w:p>
        </w:tc>
        <w:tc>
          <w:tcPr>
            <w:tcW w:w="1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1.42×</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BUTTERFLY (INNER)</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SI/SP-24.1</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23,208</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139,247</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774</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7,740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23,220</w:t>
            </w:r>
          </w:p>
        </w:tc>
        <w:tc>
          <w:tcPr>
            <w:tcW w:w="1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1.34×</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AL RIVET (3 x 5)</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SI/SP-80.2</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19,084</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114,504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636</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6,360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19,080</w:t>
            </w:r>
          </w:p>
        </w:tc>
        <w:tc>
          <w:tcPr>
            <w:tcW w:w="1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1.81×</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SIDE SPACER - 12 mm</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SI/SP-1.4</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18,210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109,258</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607</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6,070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18,210</w:t>
            </w:r>
          </w:p>
        </w:tc>
        <w:tc>
          <w:tcPr>
            <w:tcW w:w="1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1.61×</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"L" CORNER</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SI/SP-2.1</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17,217</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103,300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574</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5,740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17,220</w:t>
            </w:r>
          </w:p>
        </w:tc>
        <w:tc>
          <w:tcPr>
            <w:tcW w:w="1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1.37×</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POP RIVET BLACK COATING 1/8x1/4</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SI/SP-79.7</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16,697</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100,180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557</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5,570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16,710</w:t>
            </w:r>
          </w:p>
        </w:tc>
        <w:tc>
          <w:tcPr>
            <w:tcW w:w="1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1.54×</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lastRenderedPageBreak/>
              <w:t>NEW SLOT DIFFUSER SPRING</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SI/SP-338</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15,783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94,695</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526</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5,260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15,780</w:t>
            </w:r>
          </w:p>
        </w:tc>
        <w:tc>
          <w:tcPr>
            <w:tcW w:w="1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1.35×</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DIFFUSER WHITE BUSH</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SI/SP-63</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12,659</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75,955</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422</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4,220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12,660</w:t>
            </w:r>
          </w:p>
        </w:tc>
        <w:tc>
          <w:tcPr>
            <w:tcW w:w="1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1.49×</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SLOT SPACER - 42.8 mm</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SI/SP-1.20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12,005</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72,032</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400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4,000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12,000</w:t>
            </w:r>
          </w:p>
        </w:tc>
        <w:tc>
          <w:tcPr>
            <w:tcW w:w="1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1.75×</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ALUMINIUM ROD</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SI/SP-6.10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10,970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65,820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366</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3,660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10,980</w:t>
            </w:r>
          </w:p>
        </w:tc>
        <w:tc>
          <w:tcPr>
            <w:tcW w:w="1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1.45×</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5"/>
                <w:szCs w:val="15"/>
              </w:rPr>
              <w:t>SW HELICAL BUSH</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SI/SP-65</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10,801</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64,806</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360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3,600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10,800</w:t>
            </w:r>
          </w:p>
        </w:tc>
        <w:tc>
          <w:tcPr>
            <w:tcW w:w="1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2.74×</w:t>
            </w:r>
          </w:p>
        </w:tc>
      </w:tr>
    </w:tbl>
    <w:p w:rsidR="00800B14" w:rsidRDefault="00E57AC6">
      <w:pPr>
        <w:spacing w:before="80" w:after="200"/>
      </w:pPr>
      <w:r>
        <w:rPr>
          <w:b/>
          <w:bCs/>
          <w:color w:val="0E8C8C"/>
          <w:sz w:val="18"/>
          <w:szCs w:val="18"/>
        </w:rPr>
        <w:t xml:space="preserve">Table </w:t>
      </w:r>
      <w:r>
        <w:rPr>
          <w:i/>
          <w:iCs/>
          <w:color w:val="5B6677"/>
          <w:sz w:val="18"/>
          <w:szCs w:val="18"/>
        </w:rPr>
        <w:t>8 — Fast-moving spares in the register — consumption, safety stock and ROP (register values; last column derived)</w:t>
      </w:r>
    </w:p>
    <w:p w:rsidR="00800B14" w:rsidRDefault="00E57AC6">
      <w:pPr>
        <w:pStyle w:val="Heading2"/>
      </w:pPr>
      <w:bookmarkStart w:id="20" w:name="h21"/>
      <w:r>
        <w:t>6.3 Demand variability</w:t>
      </w:r>
      <w:bookmarkEnd w:id="20"/>
    </w:p>
    <w:p w:rsidR="00800B14" w:rsidRDefault="00E57AC6">
      <w:pPr>
        <w:keepNext/>
        <w:spacing w:before="80"/>
        <w:jc w:val="center"/>
      </w:pPr>
      <w:r>
        <w:rPr>
          <w:noProof/>
        </w:rPr>
        <w:drawing>
          <wp:inline distT="0" distB="0" distL="0" distR="0">
            <wp:extent cx="5334000" cy="2590800"/>
            <wp:effectExtent l="0" t="0" r="0" b="0"/>
            <wp:docPr id="5" name="spares_profile.png" descr="spares_profile.png" title="spares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590800"/>
                    </a:xfrm>
                    <a:prstGeom prst="rect">
                      <a:avLst/>
                    </a:prstGeom>
                  </pic:spPr>
                </pic:pic>
              </a:graphicData>
            </a:graphic>
          </wp:inline>
        </w:drawing>
      </w:r>
    </w:p>
    <w:p w:rsidR="00800B14" w:rsidRDefault="00E57AC6">
      <w:pPr>
        <w:spacing w:before="80" w:after="200"/>
        <w:jc w:val="center"/>
      </w:pPr>
      <w:r>
        <w:rPr>
          <w:b/>
          <w:bCs/>
          <w:color w:val="0E8C8C"/>
          <w:sz w:val="18"/>
          <w:szCs w:val="18"/>
        </w:rPr>
        <w:t xml:space="preserve">Figure </w:t>
      </w:r>
      <w:r>
        <w:rPr>
          <w:i/>
          <w:iCs/>
          <w:color w:val="5B6677"/>
          <w:sz w:val="18"/>
          <w:szCs w:val="18"/>
        </w:rPr>
        <w:t>4 — Monthly consumption of the four highest-moving spares</w:t>
      </w:r>
    </w:p>
    <w:p w:rsidR="00800B14" w:rsidRDefault="00E57AC6">
      <w:pPr>
        <w:spacing w:after="120" w:line="276" w:lineRule="auto"/>
      </w:pPr>
      <w:r>
        <w:t>Monthly consumption is not flat. Grille Black Bush peaked at 279,257 units in month 5 against a six-month average of 149,712 (1.87×). Across the 19 Fast spares, the peak month is between 1.26× and 2</w:t>
      </w:r>
      <w:r>
        <w:t>.74× the average; SW Helical Bush is the most variable (2.74×). The workbooks’ safety stock is a fixed number of days and does not use these fluctuations; this is a point to validate (Section 8.5).</w:t>
      </w:r>
    </w:p>
    <w:p w:rsidR="00800B14" w:rsidRDefault="00E57AC6">
      <w:pPr>
        <w:keepNext/>
        <w:spacing w:before="80"/>
        <w:jc w:val="center"/>
      </w:pPr>
      <w:r>
        <w:rPr>
          <w:noProof/>
        </w:rPr>
        <w:lastRenderedPageBreak/>
        <w:drawing>
          <wp:inline distT="0" distB="0" distL="0" distR="0">
            <wp:extent cx="5334000" cy="3505200"/>
            <wp:effectExtent l="0" t="0" r="0" b="0"/>
            <wp:docPr id="6" name="spares_var.png" descr="spares_var.png" title="spares_v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505200"/>
                    </a:xfrm>
                    <a:prstGeom prst="rect">
                      <a:avLst/>
                    </a:prstGeom>
                  </pic:spPr>
                </pic:pic>
              </a:graphicData>
            </a:graphic>
          </wp:inline>
        </w:drawing>
      </w:r>
    </w:p>
    <w:p w:rsidR="00800B14" w:rsidRDefault="00E57AC6">
      <w:pPr>
        <w:spacing w:before="80" w:after="200"/>
        <w:jc w:val="center"/>
      </w:pPr>
      <w:r>
        <w:rPr>
          <w:b/>
          <w:bCs/>
          <w:color w:val="0E8C8C"/>
          <w:sz w:val="18"/>
          <w:szCs w:val="18"/>
        </w:rPr>
        <w:t xml:space="preserve">Figure </w:t>
      </w:r>
      <w:r>
        <w:rPr>
          <w:i/>
          <w:iCs/>
          <w:color w:val="5B6677"/>
          <w:sz w:val="18"/>
          <w:szCs w:val="18"/>
        </w:rPr>
        <w:t>5 — Peak-month consumption ÷ six-month average (derived by this report)</w:t>
      </w:r>
    </w:p>
    <w:p w:rsidR="00800B14" w:rsidRDefault="00E57AC6">
      <w:pPr>
        <w:pStyle w:val="Heading2"/>
      </w:pPr>
      <w:bookmarkStart w:id="21" w:name="h22"/>
      <w:r>
        <w:t>6.4 Non-moving stock</w:t>
      </w:r>
      <w:bookmarkEnd w:id="21"/>
    </w:p>
    <w:p w:rsidR="00800B14" w:rsidRDefault="00E57AC6">
      <w:pPr>
        <w:spacing w:after="120" w:line="276" w:lineRule="auto"/>
      </w:pPr>
      <w:r>
        <w:t>169 SKUs (30.8% of all spares) recorded zero consumption over six months. The workbook classifies them as Dead / Obsolete and recommends review and write-off. The breakdown by spare family is below.</w:t>
      </w:r>
    </w:p>
    <w:p w:rsidR="00800B14" w:rsidRDefault="00E57AC6">
      <w:pPr>
        <w:keepNext/>
        <w:spacing w:before="80"/>
        <w:jc w:val="center"/>
      </w:pPr>
      <w:r>
        <w:rPr>
          <w:noProof/>
        </w:rPr>
        <w:drawing>
          <wp:inline distT="0" distB="0" distL="0" distR="0">
            <wp:extent cx="5334000" cy="2466975"/>
            <wp:effectExtent l="0" t="0" r="0" b="0"/>
            <wp:docPr id="7" name="spares_nm.png" descr="spares_nm.png" title="spares_n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466975"/>
                    </a:xfrm>
                    <a:prstGeom prst="rect">
                      <a:avLst/>
                    </a:prstGeom>
                  </pic:spPr>
                </pic:pic>
              </a:graphicData>
            </a:graphic>
          </wp:inline>
        </w:drawing>
      </w:r>
    </w:p>
    <w:p w:rsidR="00800B14" w:rsidRDefault="00E57AC6">
      <w:pPr>
        <w:spacing w:before="80" w:after="200"/>
        <w:jc w:val="center"/>
      </w:pPr>
      <w:r>
        <w:rPr>
          <w:b/>
          <w:bCs/>
          <w:color w:val="0E8C8C"/>
          <w:sz w:val="18"/>
          <w:szCs w:val="18"/>
        </w:rPr>
        <w:t xml:space="preserve">Figure </w:t>
      </w:r>
      <w:r>
        <w:rPr>
          <w:i/>
          <w:iCs/>
          <w:color w:val="5B6677"/>
          <w:sz w:val="18"/>
          <w:szCs w:val="18"/>
        </w:rPr>
        <w:t>6 — Composition of the non-moving spares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900"/>
        <w:gridCol w:w="6106"/>
      </w:tblGrid>
      <w:tr w:rsidR="00800B14">
        <w:tblPrEx>
          <w:tblCellMar>
            <w:top w:w="0" w:type="dxa"/>
            <w:bottom w:w="0" w:type="dxa"/>
          </w:tblCellMar>
        </w:tblPrEx>
        <w:trPr>
          <w:cantSplit/>
          <w:tblHeader/>
        </w:trPr>
        <w:tc>
          <w:tcPr>
            <w:tcW w:w="26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Non-mov</w:t>
            </w:r>
            <w:r>
              <w:rPr>
                <w:b/>
                <w:bCs/>
                <w:color w:val="FFFFFF"/>
                <w:sz w:val="16"/>
                <w:szCs w:val="16"/>
              </w:rPr>
              <w:t>ing family</w:t>
            </w:r>
          </w:p>
        </w:tc>
        <w:tc>
          <w:tcPr>
            <w:tcW w:w="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SKUs</w:t>
            </w:r>
          </w:p>
        </w:tc>
        <w:tc>
          <w:tcPr>
            <w:tcW w:w="61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Recommended action in the workbook</w:t>
            </w:r>
          </w:p>
        </w:tc>
      </w:tr>
      <w:tr w:rsidR="00800B14">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Side Spacers (multiple sizes)</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9</w:t>
            </w:r>
          </w:p>
        </w:tc>
        <w:tc>
          <w:tcPr>
            <w:tcW w:w="6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Consolidate or substitute with active sizes; review the engineering BOM</w:t>
            </w:r>
          </w:p>
        </w:tc>
      </w:tr>
      <w:tr w:rsidR="00800B14">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Aluminium Rods (various)</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7</w:t>
            </w:r>
          </w:p>
        </w:tc>
        <w:tc>
          <w:tcPr>
            <w:tcW w:w="61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Evaluate common-size substitution; return excess to vendor if possible</w:t>
            </w:r>
          </w:p>
        </w:tc>
      </w:tr>
      <w:tr w:rsidR="00800B14">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Aluminium Bushes (various)</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6</w:t>
            </w:r>
          </w:p>
        </w:tc>
        <w:tc>
          <w:tcPr>
            <w:tcW w:w="6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Assess machine dependency; write off if the machine is retired</w:t>
            </w:r>
          </w:p>
        </w:tc>
      </w:tr>
      <w:tr w:rsidR="00800B14">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OBD &amp; Grille Components (old)</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12</w:t>
            </w:r>
          </w:p>
        </w:tc>
        <w:tc>
          <w:tcPr>
            <w:tcW w:w="61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Check design change history (may be superseded); quarantine and review</w:t>
            </w:r>
          </w:p>
        </w:tc>
      </w:tr>
      <w:tr w:rsidR="00800B14">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Screws / Fasteners (specialty)</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15</w:t>
            </w:r>
          </w:p>
        </w:tc>
        <w:tc>
          <w:tcPr>
            <w:tcW w:w="6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Validate against current product BOM; dispose of obsolete fasteners</w:t>
            </w:r>
          </w:p>
        </w:tc>
      </w:tr>
      <w:tr w:rsidR="00800B14">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b/>
                <w:bCs/>
                <w:color w:val="0B2545"/>
                <w:sz w:val="16"/>
                <w:szCs w:val="16"/>
              </w:rPr>
              <w:lastRenderedPageBreak/>
              <w:t>Miscellaneous Spares</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6"/>
                <w:szCs w:val="16"/>
              </w:rPr>
              <w:t>120</w:t>
            </w:r>
          </w:p>
        </w:tc>
        <w:tc>
          <w:tcPr>
            <w:tcW w:w="61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6"/>
                <w:szCs w:val="16"/>
              </w:rPr>
              <w:t>Quarterly physical audit; tag and isolate for write-off assessment</w:t>
            </w:r>
          </w:p>
        </w:tc>
      </w:tr>
    </w:tbl>
    <w:p w:rsidR="00800B14" w:rsidRDefault="00E57AC6">
      <w:pPr>
        <w:spacing w:before="80" w:after="200"/>
      </w:pPr>
      <w:r>
        <w:rPr>
          <w:b/>
          <w:bCs/>
          <w:color w:val="0E8C8C"/>
          <w:sz w:val="18"/>
          <w:szCs w:val="18"/>
        </w:rPr>
        <w:t xml:space="preserve">Table </w:t>
      </w:r>
      <w:r>
        <w:rPr>
          <w:i/>
          <w:iCs/>
          <w:color w:val="5B6677"/>
          <w:sz w:val="18"/>
          <w:szCs w:val="18"/>
        </w:rPr>
        <w:t>9 — Non-moving spares and workbook recommendations (the six families sum to 169)</w:t>
      </w:r>
    </w:p>
    <w:p w:rsidR="00800B14" w:rsidRDefault="00E57AC6">
      <w:pPr>
        <w:pStyle w:val="Heading2"/>
      </w:pPr>
      <w:bookmarkStart w:id="22" w:name="h23"/>
      <w:r>
        <w:t>6.5 Classification and criticality</w:t>
      </w:r>
      <w:bookmarkEnd w:id="22"/>
    </w:p>
    <w:p w:rsidR="00800B14" w:rsidRDefault="00E57AC6">
      <w:pPr>
        <w:spacing w:after="120" w:line="276" w:lineRule="auto"/>
      </w:pPr>
      <w:r>
        <w:t>The criticality label in the workbook follows directly from the movement class (Fast → Critical, Medium → Semi-Critical, Slow → Non-Critical, Non-moving → Dead / Obsolete). It is therefore a consumption-based label, not a</w:t>
      </w:r>
      <w:r>
        <w:t xml:space="preserve">n assessment of machine dependency; the workbook itself recommends classifying each spare against machine dependency before procurement approval. A low-consumption item can still be critical if its absence stops a machine, which the current classification </w:t>
      </w:r>
      <w:r>
        <w:t>would not show.</w:t>
      </w:r>
    </w:p>
    <w:p w:rsidR="00800B14" w:rsidRDefault="00E57AC6">
      <w:pPr>
        <w:pStyle w:val="Heading1"/>
        <w:pageBreakBefore/>
      </w:pPr>
      <w:bookmarkStart w:id="23" w:name="h24"/>
      <w:r>
        <w:lastRenderedPageBreak/>
        <w:t>7. Powder Stores</w:t>
      </w:r>
      <w:bookmarkEnd w:id="23"/>
    </w:p>
    <w:p w:rsidR="00800B14" w:rsidRDefault="00E57AC6">
      <w:pPr>
        <w:pStyle w:val="Heading2"/>
      </w:pPr>
      <w:bookmarkStart w:id="24" w:name="h25"/>
      <w:r>
        <w:t>7.1 FSN summary — 56 shades</w:t>
      </w:r>
      <w:bookmarkEnd w:id="24"/>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000"/>
        <w:gridCol w:w="1700"/>
        <w:gridCol w:w="1900"/>
        <w:gridCol w:w="1500"/>
        <w:gridCol w:w="1506"/>
      </w:tblGrid>
      <w:tr w:rsidR="00800B14">
        <w:tblPrEx>
          <w:tblCellMar>
            <w:top w:w="0" w:type="dxa"/>
            <w:bottom w:w="0" w:type="dxa"/>
          </w:tblCellMar>
        </w:tblPrEx>
        <w:trPr>
          <w:cantSplit/>
          <w:tblHeader/>
        </w:trPr>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Class</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Shades</w:t>
            </w:r>
          </w:p>
        </w:tc>
        <w:tc>
          <w:tcPr>
            <w:tcW w:w="1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Total consumption (6M, recomputed)</w:t>
            </w:r>
          </w:p>
        </w:tc>
        <w:tc>
          <w:tcPr>
            <w:tcW w:w="1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Share (recomputed)</w:t>
            </w:r>
          </w:p>
        </w:tc>
        <w:tc>
          <w:tcPr>
            <w:tcW w:w="15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Share in workbook</w:t>
            </w:r>
          </w:p>
        </w:tc>
        <w:tc>
          <w:tcPr>
            <w:tcW w:w="15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Cumulative (recomputed)</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Fast (A)</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3</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14,672</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75.7%</w:t>
            </w:r>
          </w:p>
        </w:tc>
        <w:tc>
          <w:tcPr>
            <w:tcW w:w="1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76.2%</w:t>
            </w:r>
          </w:p>
        </w:tc>
        <w:tc>
          <w:tcPr>
            <w:tcW w:w="1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75.7%</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Medium (B)</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8</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3,657</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18.9%</w:t>
            </w:r>
          </w:p>
        </w:tc>
        <w:tc>
          <w:tcPr>
            <w:tcW w:w="1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18.9%</w:t>
            </w:r>
          </w:p>
        </w:tc>
        <w:tc>
          <w:tcPr>
            <w:tcW w:w="1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94.6%</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Slow (C)</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20</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1,055</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5.4%</w:t>
            </w:r>
          </w:p>
        </w:tc>
        <w:tc>
          <w:tcPr>
            <w:tcW w:w="1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4.9%</w:t>
            </w:r>
          </w:p>
        </w:tc>
        <w:tc>
          <w:tcPr>
            <w:tcW w:w="1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100.0%</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Non-moving (NM)</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25</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0</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0%</w:t>
            </w:r>
          </w:p>
        </w:tc>
        <w:tc>
          <w:tcPr>
            <w:tcW w:w="1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0%</w:t>
            </w:r>
          </w:p>
        </w:tc>
        <w:tc>
          <w:tcPr>
            <w:tcW w:w="1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6"/>
                <w:szCs w:val="16"/>
              </w:rPr>
              <w:t>Total</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56</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19,384</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100%</w:t>
            </w:r>
          </w:p>
        </w:tc>
        <w:tc>
          <w:tcPr>
            <w:tcW w:w="1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w:t>
            </w:r>
          </w:p>
        </w:tc>
        <w:tc>
          <w:tcPr>
            <w:tcW w:w="1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w:t>
            </w:r>
          </w:p>
        </w:tc>
      </w:tr>
    </w:tbl>
    <w:p w:rsidR="00800B14" w:rsidRDefault="00E57AC6">
      <w:pPr>
        <w:spacing w:before="80" w:after="200"/>
      </w:pPr>
      <w:r>
        <w:rPr>
          <w:b/>
          <w:bCs/>
          <w:color w:val="0E8C8C"/>
          <w:sz w:val="18"/>
          <w:szCs w:val="18"/>
        </w:rPr>
        <w:t xml:space="preserve">Table </w:t>
      </w:r>
      <w:r>
        <w:rPr>
          <w:i/>
          <w:iCs/>
          <w:color w:val="5B6677"/>
          <w:sz w:val="18"/>
          <w:szCs w:val="18"/>
        </w:rPr>
        <w:t>10 — Powder FSN summary — recomputed from the Powder Raw Data sheet</w:t>
      </w:r>
    </w:p>
    <w:p w:rsidR="00800B14" w:rsidRDefault="00E57AC6">
      <w:pPr>
        <w:keepNext/>
        <w:spacing w:before="80"/>
        <w:jc w:val="center"/>
      </w:pPr>
      <w:r>
        <w:rPr>
          <w:noProof/>
        </w:rPr>
        <w:drawing>
          <wp:inline distT="0" distB="0" distL="0" distR="0">
            <wp:extent cx="5524500" cy="2876550"/>
            <wp:effectExtent l="0" t="0" r="0" b="0"/>
            <wp:docPr id="8" name="powder_pareto.png" descr="powder_pareto.png" title="powder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876550"/>
                    </a:xfrm>
                    <a:prstGeom prst="rect">
                      <a:avLst/>
                    </a:prstGeom>
                  </pic:spPr>
                </pic:pic>
              </a:graphicData>
            </a:graphic>
          </wp:inline>
        </w:drawing>
      </w:r>
    </w:p>
    <w:p w:rsidR="00800B14" w:rsidRDefault="00E57AC6">
      <w:pPr>
        <w:spacing w:before="80" w:after="200"/>
        <w:jc w:val="center"/>
      </w:pPr>
      <w:r>
        <w:rPr>
          <w:b/>
          <w:bCs/>
          <w:color w:val="0E8C8C"/>
          <w:sz w:val="18"/>
          <w:szCs w:val="18"/>
        </w:rPr>
        <w:t xml:space="preserve">Figure </w:t>
      </w:r>
      <w:r>
        <w:rPr>
          <w:i/>
          <w:iCs/>
          <w:color w:val="5B6677"/>
          <w:sz w:val="18"/>
          <w:szCs w:val="18"/>
        </w:rPr>
        <w:t>7 — Powder — Pareto of the 31 shades with consumption (recomputed cumulative share)</w:t>
      </w:r>
    </w:p>
    <w:p w:rsidR="00800B14" w:rsidRDefault="00E57AC6">
      <w:pPr>
        <w:spacing w:after="120" w:line="276" w:lineRule="auto"/>
      </w:pPr>
      <w:r>
        <w:t>RAL 9016 MATT (38.2%) and Satin Black (31.9%) alone account for 70.2% of consumption. RAL Glossy 9010 takes the Fast class to 75.7%. The next shade, RAL 9010 Matt, has identical six-month consumption (1,072) but is classed Medium; the workbook gives no tie</w:t>
      </w:r>
      <w:r>
        <w:t>-break rule (Section 10).</w:t>
      </w:r>
    </w:p>
    <w:p w:rsidR="00800B14" w:rsidRDefault="00E57AC6">
      <w:pPr>
        <w:keepNext/>
        <w:spacing w:before="80"/>
        <w:jc w:val="center"/>
      </w:pPr>
      <w:r>
        <w:rPr>
          <w:noProof/>
        </w:rPr>
        <w:lastRenderedPageBreak/>
        <w:drawing>
          <wp:inline distT="0" distB="0" distL="0" distR="0">
            <wp:extent cx="5334000" cy="2743200"/>
            <wp:effectExtent l="0" t="0" r="0" b="0"/>
            <wp:docPr id="9" name="powder_mix.png" descr="powder_mix.png" title="powder_m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743200"/>
                    </a:xfrm>
                    <a:prstGeom prst="rect">
                      <a:avLst/>
                    </a:prstGeom>
                  </pic:spPr>
                </pic:pic>
              </a:graphicData>
            </a:graphic>
          </wp:inline>
        </w:drawing>
      </w:r>
    </w:p>
    <w:p w:rsidR="00800B14" w:rsidRDefault="00E57AC6">
      <w:pPr>
        <w:spacing w:before="80" w:after="200"/>
        <w:jc w:val="center"/>
      </w:pPr>
      <w:r>
        <w:rPr>
          <w:b/>
          <w:bCs/>
          <w:color w:val="0E8C8C"/>
          <w:sz w:val="18"/>
          <w:szCs w:val="18"/>
        </w:rPr>
        <w:t xml:space="preserve">Figure </w:t>
      </w:r>
      <w:r>
        <w:rPr>
          <w:i/>
          <w:iCs/>
          <w:color w:val="5B6677"/>
          <w:sz w:val="18"/>
          <w:szCs w:val="18"/>
        </w:rPr>
        <w:t>8 — Powder — share of shades vs share of consumption</w:t>
      </w:r>
    </w:p>
    <w:p w:rsidR="00800B14" w:rsidRDefault="00E57AC6">
      <w:pPr>
        <w:pStyle w:val="Heading2"/>
      </w:pPr>
      <w:bookmarkStart w:id="25" w:name="h26"/>
      <w:r>
        <w:t>7.2 Monthly pattern</w:t>
      </w:r>
      <w:bookmarkEnd w:id="25"/>
    </w:p>
    <w:p w:rsidR="00800B14" w:rsidRDefault="00E57AC6">
      <w:pPr>
        <w:keepNext/>
        <w:spacing w:before="80"/>
        <w:jc w:val="center"/>
      </w:pPr>
      <w:r>
        <w:rPr>
          <w:noProof/>
        </w:rPr>
        <w:drawing>
          <wp:inline distT="0" distB="0" distL="0" distR="0">
            <wp:extent cx="5334000" cy="2533650"/>
            <wp:effectExtent l="0" t="0" r="0" b="0"/>
            <wp:docPr id="10" name="powder_monthly.png" descr="powder_monthly.png" title="powder_month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533650"/>
                    </a:xfrm>
                    <a:prstGeom prst="rect">
                      <a:avLst/>
                    </a:prstGeom>
                  </pic:spPr>
                </pic:pic>
              </a:graphicData>
            </a:graphic>
          </wp:inline>
        </w:drawing>
      </w:r>
    </w:p>
    <w:p w:rsidR="00800B14" w:rsidRDefault="00E57AC6">
      <w:pPr>
        <w:spacing w:before="80" w:after="200"/>
        <w:jc w:val="center"/>
      </w:pPr>
      <w:r>
        <w:rPr>
          <w:b/>
          <w:bCs/>
          <w:color w:val="0E8C8C"/>
          <w:sz w:val="18"/>
          <w:szCs w:val="18"/>
        </w:rPr>
        <w:t xml:space="preserve">Figure </w:t>
      </w:r>
      <w:r>
        <w:rPr>
          <w:i/>
          <w:iCs/>
          <w:color w:val="5B6677"/>
          <w:sz w:val="18"/>
          <w:szCs w:val="18"/>
        </w:rPr>
        <w:t>9 — Powder — total monthly consumption and number of shades in use</w:t>
      </w:r>
    </w:p>
    <w:p w:rsidR="00800B14" w:rsidRDefault="00E57AC6">
      <w:pPr>
        <w:spacing w:after="120" w:line="276" w:lineRule="auto"/>
      </w:pPr>
      <w:r>
        <w:t>Total powder consumption ranged from 2,347 (month 6) to 4,098 (month 3). Between 11 and 16 shades were consumed in any single month, out of 31 shades with any consumption. The three Fast shades were consumed in 4 to 6 of the six months; Slow shades were mo</w:t>
      </w:r>
      <w:r>
        <w:t>stly occasional — 13 of the 20 were consumed in just one month.</w:t>
      </w:r>
    </w:p>
    <w:p w:rsidR="00800B14" w:rsidRDefault="00E57AC6">
      <w:pPr>
        <w:pStyle w:val="Heading2"/>
      </w:pPr>
      <w:bookmarkStart w:id="26" w:name="h27"/>
      <w:r>
        <w:t>7.3 Shade rationalization evidence</w:t>
      </w:r>
      <w:bookmarkEnd w:id="26"/>
    </w:p>
    <w:p w:rsidR="00800B14" w:rsidRDefault="00E57AC6">
      <w:pPr>
        <w:spacing w:after="120" w:line="276" w:lineRule="auto"/>
      </w:pPr>
      <w:r>
        <w:t>The workbook proposes cutting the shade count by about 30–40% through standardization. The data supports reviewing the following groups; whether shades can be merged depends on finish, chemistry and customer specification, which the workbooks do not record</w:t>
      </w:r>
      <w:r>
        <w:t>.</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100"/>
        <w:gridCol w:w="1600"/>
        <w:gridCol w:w="3906"/>
      </w:tblGrid>
      <w:tr w:rsidR="00800B14">
        <w:tblPrEx>
          <w:tblCellMar>
            <w:top w:w="0" w:type="dxa"/>
            <w:bottom w:w="0" w:type="dxa"/>
          </w:tblCellMar>
        </w:tblPrEx>
        <w:trPr>
          <w:cantSplit/>
          <w:tblHeader/>
        </w:trPr>
        <w:tc>
          <w:tcPr>
            <w:tcW w:w="3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Group</w:t>
            </w:r>
          </w:p>
        </w:tc>
        <w:tc>
          <w:tcPr>
            <w:tcW w:w="11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Shades</w:t>
            </w:r>
          </w:p>
        </w:tc>
        <w:tc>
          <w:tcPr>
            <w:tcW w:w="16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Six-month consumption</w:t>
            </w:r>
          </w:p>
        </w:tc>
        <w:tc>
          <w:tcPr>
            <w:tcW w:w="39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Observation</w:t>
            </w:r>
          </w:p>
        </w:tc>
      </w:tr>
      <w:tr w:rsidR="00800B14">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RAL 9010 variants (Glossy, Matt, PU, STRC)</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4</w:t>
            </w:r>
          </w:p>
        </w:tc>
        <w:tc>
          <w:tcPr>
            <w:tcW w:w="1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2,877 (14.8%)</w:t>
            </w:r>
          </w:p>
        </w:tc>
        <w:tc>
          <w:tcPr>
            <w:tcW w:w="39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Four shades with consumption: one Fast, two Medium and one Slow</w:t>
            </w:r>
          </w:p>
        </w:tc>
      </w:tr>
      <w:tr w:rsidR="00800B14">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lastRenderedPageBreak/>
              <w:t>RAL 70xx greys</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15 active, 11 non-moving</w:t>
            </w:r>
          </w:p>
        </w:tc>
        <w:tc>
          <w:tcPr>
            <w:tcW w:w="1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1,476 (7.6%)</w:t>
            </w:r>
          </w:p>
        </w:tc>
        <w:tc>
          <w:tcPr>
            <w:tcW w:w="39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Many shades share a small fraction of total consumption</w:t>
            </w:r>
          </w:p>
        </w:tc>
      </w:tr>
      <w:tr w:rsidR="00800B14">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6"/>
                <w:szCs w:val="16"/>
              </w:rPr>
              <w:t>Non-moving shades</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25</w:t>
            </w:r>
          </w:p>
        </w:tc>
        <w:tc>
          <w:tcPr>
            <w:tcW w:w="1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0</w:t>
            </w:r>
          </w:p>
        </w:tc>
        <w:tc>
          <w:tcPr>
            <w:tcW w:w="39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No consumption in six months; candidates for return, write-off or substitution</w:t>
            </w:r>
          </w:p>
        </w:tc>
      </w:tr>
    </w:tbl>
    <w:p w:rsidR="00800B14" w:rsidRDefault="00E57AC6">
      <w:pPr>
        <w:spacing w:before="80" w:after="200"/>
      </w:pPr>
      <w:r>
        <w:rPr>
          <w:b/>
          <w:bCs/>
          <w:color w:val="0E8C8C"/>
          <w:sz w:val="18"/>
          <w:szCs w:val="18"/>
        </w:rPr>
        <w:t xml:space="preserve">Table </w:t>
      </w:r>
      <w:r>
        <w:rPr>
          <w:i/>
          <w:iCs/>
          <w:color w:val="5B6677"/>
          <w:sz w:val="18"/>
          <w:szCs w:val="18"/>
        </w:rPr>
        <w:t>11 — Shade groups for rationalization review (derived by this report from the raw data)</w:t>
      </w:r>
    </w:p>
    <w:p w:rsidR="00800B14" w:rsidRDefault="00E57AC6">
      <w:pPr>
        <w:pStyle w:val="Heading2"/>
      </w:pPr>
      <w:bookmarkStart w:id="27" w:name="h28"/>
      <w:r>
        <w:t>7.4 Fast and Medium shades — safety stock and ROP</w:t>
      </w:r>
      <w:bookmarkEnd w:id="27"/>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1000"/>
        <w:gridCol w:w="1000"/>
        <w:gridCol w:w="1100"/>
        <w:gridCol w:w="1100"/>
        <w:gridCol w:w="900"/>
        <w:gridCol w:w="1000"/>
      </w:tblGrid>
      <w:tr w:rsidR="00800B14">
        <w:tblPrEx>
          <w:tblCellMar>
            <w:top w:w="0" w:type="dxa"/>
            <w:bottom w:w="0" w:type="dxa"/>
          </w:tblCellMar>
        </w:tblPrEx>
        <w:trPr>
          <w:cantSplit/>
          <w:tblHeader/>
        </w:trPr>
        <w:tc>
          <w:tcPr>
            <w:tcW w:w="21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Shade</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Avg monthly</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Avg daily</w:t>
            </w:r>
          </w:p>
        </w:tc>
        <w:tc>
          <w:tcPr>
            <w:tcW w:w="11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Safety stock</w:t>
            </w:r>
          </w:p>
        </w:tc>
        <w:tc>
          <w:tcPr>
            <w:tcW w:w="11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ROP</w:t>
            </w:r>
          </w:p>
        </w:tc>
        <w:tc>
          <w:tcPr>
            <w:tcW w:w="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Class</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Share</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Ral 9016 Matt</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1,235</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41</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123</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533</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A</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38.2%</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Satin Black 944</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1,032</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34</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102</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442</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A</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31.9%</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Ral Glossy 9010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179</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6</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18</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78</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A</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5.5%</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Ral 9010 Matt</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179</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6</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18</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78</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B</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5.5%</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Pu Ral 9010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104</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3</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9</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39</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B</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3.2%</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Pp Ral 9003</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74</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2</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6</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26</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B</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2.3%</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Ral 7044</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73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2</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6</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26</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B</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2.3%</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Ral 7035</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60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2</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6</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26</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B</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1.8%</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Ral 9002 Matt</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46</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2</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6</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26</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B</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1.4%</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Ral 9001</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41</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3</w:t>
            </w:r>
          </w:p>
        </w:tc>
        <w:tc>
          <w:tcPr>
            <w:tcW w:w="11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13</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B</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1.3%</w:t>
            </w:r>
          </w:p>
        </w:tc>
      </w:tr>
      <w:tr w:rsidR="00800B14">
        <w:tblPrEx>
          <w:tblCellMar>
            <w:top w:w="0" w:type="dxa"/>
            <w:bottom w:w="0" w:type="dxa"/>
          </w:tblCellMar>
        </w:tblPrEx>
        <w:trPr>
          <w:cantSplit/>
        </w:trPr>
        <w:tc>
          <w:tcPr>
            <w:tcW w:w="2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6"/>
                <w:szCs w:val="16"/>
              </w:rPr>
              <w:t>Ral 7024</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33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1</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3</w:t>
            </w:r>
          </w:p>
        </w:tc>
        <w:tc>
          <w:tcPr>
            <w:tcW w:w="11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13</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B</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1.0%</w:t>
            </w:r>
          </w:p>
        </w:tc>
      </w:tr>
    </w:tbl>
    <w:p w:rsidR="00800B14" w:rsidRDefault="00E57AC6">
      <w:pPr>
        <w:spacing w:before="80" w:after="200"/>
      </w:pPr>
      <w:r>
        <w:rPr>
          <w:b/>
          <w:bCs/>
          <w:color w:val="0E8C8C"/>
          <w:sz w:val="18"/>
          <w:szCs w:val="18"/>
        </w:rPr>
        <w:t xml:space="preserve">Table </w:t>
      </w:r>
      <w:r>
        <w:rPr>
          <w:i/>
          <w:iCs/>
          <w:color w:val="5B6677"/>
          <w:sz w:val="18"/>
          <w:szCs w:val="18"/>
        </w:rPr>
        <w:t>12 — Powder Fast and Medium shades — values from the raw-data sheet; share recomputed</w:t>
      </w:r>
    </w:p>
    <w:p w:rsidR="00800B14" w:rsidRDefault="00E57AC6">
      <w:pPr>
        <w:pStyle w:val="Heading1"/>
        <w:pageBreakBefore/>
      </w:pPr>
      <w:bookmarkStart w:id="28" w:name="h29"/>
      <w:r>
        <w:lastRenderedPageBreak/>
        <w:t>8. Safety Stock and Minimum Stock Formulas</w:t>
      </w:r>
      <w:bookmarkEnd w:id="28"/>
    </w:p>
    <w:p w:rsidR="00800B14" w:rsidRDefault="00E57AC6">
      <w:pPr>
        <w:spacing w:after="120" w:line="276" w:lineRule="auto"/>
      </w:pPr>
      <w:r>
        <w:t xml:space="preserve">This section explains the formulas the workbooks use to set safety stock and the reorder trigger (minimum stock level), with a </w:t>
      </w:r>
      <w:r>
        <w:t>worked example from each workbook.</w:t>
      </w:r>
    </w:p>
    <w:p w:rsidR="00800B14" w:rsidRDefault="00E57AC6">
      <w:pPr>
        <w:pStyle w:val="Heading2"/>
      </w:pPr>
      <w:bookmarkStart w:id="29" w:name="h30"/>
      <w:r>
        <w:t>8.1 Formulas as built in the workbooks</w:t>
      </w:r>
      <w:bookmarkEnd w:id="29"/>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700"/>
        <w:gridCol w:w="3200"/>
        <w:gridCol w:w="3306"/>
      </w:tblGrid>
      <w:tr w:rsidR="00800B14">
        <w:tblPrEx>
          <w:tblCellMar>
            <w:top w:w="0" w:type="dxa"/>
            <w:bottom w:w="0" w:type="dxa"/>
          </w:tblCellMar>
        </w:tblPrEx>
        <w:trPr>
          <w:cantSplit/>
          <w:tblHeader/>
        </w:trPr>
        <w:tc>
          <w:tcPr>
            <w:tcW w:w="1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Workbook</w:t>
            </w:r>
          </w:p>
        </w:tc>
        <w:tc>
          <w:tcPr>
            <w:tcW w:w="1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Quantity</w:t>
            </w:r>
          </w:p>
        </w:tc>
        <w:tc>
          <w:tcPr>
            <w:tcW w:w="32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Formula in the workbook</w:t>
            </w:r>
          </w:p>
        </w:tc>
        <w:tc>
          <w:tcPr>
            <w:tcW w:w="33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Meaning</w:t>
            </w:r>
          </w:p>
        </w:tc>
      </w:tr>
      <w:tr w:rsidR="00800B14">
        <w:tblPrEx>
          <w:tblCellMar>
            <w:top w:w="0" w:type="dxa"/>
            <w:bottom w:w="0" w:type="dxa"/>
          </w:tblCellMar>
        </w:tblPrEx>
        <w:trPr>
          <w:cantSplit/>
        </w:trPr>
        <w:tc>
          <w:tcPr>
            <w:tcW w:w="1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Spares</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Avg monthly (col L)</w:t>
            </w:r>
          </w:p>
        </w:tc>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=ROUND(AVERAGE(E:J),0)</w:t>
            </w:r>
          </w:p>
        </w:tc>
        <w:tc>
          <w:tcPr>
            <w:tcW w:w="3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Mean of the six monthly values, rounded</w:t>
            </w:r>
          </w:p>
        </w:tc>
      </w:tr>
      <w:tr w:rsidR="00800B14">
        <w:tblPrEx>
          <w:tblCellMar>
            <w:top w:w="0" w:type="dxa"/>
            <w:bottom w:w="0" w:type="dxa"/>
          </w:tblCellMar>
        </w:tblPrEx>
        <w:trPr>
          <w:cantSplit/>
        </w:trPr>
        <w:tc>
          <w:tcPr>
            <w:tcW w:w="1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Spares</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Avg daily (col M)</w:t>
            </w:r>
          </w:p>
        </w:tc>
        <w:tc>
          <w:tcPr>
            <w:tcW w:w="3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=ROUND(L/30,0)</w:t>
            </w:r>
          </w:p>
        </w:tc>
        <w:tc>
          <w:tcPr>
            <w:tcW w:w="3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Avg monthly ÷ 30 days, rounded to whole units</w:t>
            </w:r>
          </w:p>
        </w:tc>
      </w:tr>
      <w:tr w:rsidR="00800B14">
        <w:tblPrEx>
          <w:tblCellMar>
            <w:top w:w="0" w:type="dxa"/>
            <w:bottom w:w="0" w:type="dxa"/>
          </w:tblCellMar>
        </w:tblPrEx>
        <w:trPr>
          <w:cantSplit/>
        </w:trPr>
        <w:tc>
          <w:tcPr>
            <w:tcW w:w="1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Spares</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Safety stock (col P)</w:t>
            </w:r>
          </w:p>
        </w:tc>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=M × 10</w:t>
            </w:r>
          </w:p>
        </w:tc>
        <w:tc>
          <w:tcPr>
            <w:tcW w:w="3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Avg daily × 10 days of safety buffer</w:t>
            </w:r>
          </w:p>
        </w:tc>
      </w:tr>
      <w:tr w:rsidR="00800B14">
        <w:tblPrEx>
          <w:tblCellMar>
            <w:top w:w="0" w:type="dxa"/>
            <w:bottom w:w="0" w:type="dxa"/>
          </w:tblCellMar>
        </w:tblPrEx>
        <w:trPr>
          <w:cantSplit/>
        </w:trPr>
        <w:tc>
          <w:tcPr>
            <w:tcW w:w="1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Spares</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ROP (col Q)</w:t>
            </w:r>
          </w:p>
        </w:tc>
        <w:tc>
          <w:tcPr>
            <w:tcW w:w="3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=M × 30</w:t>
            </w:r>
          </w:p>
        </w:tc>
        <w:tc>
          <w:tcPr>
            <w:tcW w:w="3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Avg daily × (20 days lead time + 10 days safety)</w:t>
            </w:r>
          </w:p>
        </w:tc>
      </w:tr>
      <w:tr w:rsidR="00800B14">
        <w:tblPrEx>
          <w:tblCellMar>
            <w:top w:w="0" w:type="dxa"/>
            <w:bottom w:w="0" w:type="dxa"/>
          </w:tblCellMar>
        </w:tblPrEx>
        <w:trPr>
          <w:cantSplit/>
        </w:trPr>
        <w:tc>
          <w:tcPr>
            <w:tcW w:w="1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Powder</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Avg monthly (col L)</w:t>
            </w:r>
          </w:p>
        </w:tc>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=ROUND(AVERAGE(E:J),0)</w:t>
            </w:r>
          </w:p>
        </w:tc>
        <w:tc>
          <w:tcPr>
            <w:tcW w:w="3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Mean of the six monthly values, rounded</w:t>
            </w:r>
          </w:p>
        </w:tc>
      </w:tr>
      <w:tr w:rsidR="00800B14">
        <w:tblPrEx>
          <w:tblCellMar>
            <w:top w:w="0" w:type="dxa"/>
            <w:bottom w:w="0" w:type="dxa"/>
          </w:tblCellMar>
        </w:tblPrEx>
        <w:trPr>
          <w:cantSplit/>
        </w:trPr>
        <w:tc>
          <w:tcPr>
            <w:tcW w:w="1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Powder</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Avg daily (col P)</w:t>
            </w:r>
          </w:p>
        </w:tc>
        <w:tc>
          <w:tcPr>
            <w:tcW w:w="3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=ROUND(L/30,0)</w:t>
            </w:r>
          </w:p>
        </w:tc>
        <w:tc>
          <w:tcPr>
            <w:tcW w:w="3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Avg monthly ÷ 30 days, rounded</w:t>
            </w:r>
          </w:p>
        </w:tc>
      </w:tr>
      <w:tr w:rsidR="00800B14">
        <w:tblPrEx>
          <w:tblCellMar>
            <w:top w:w="0" w:type="dxa"/>
            <w:bottom w:w="0" w:type="dxa"/>
          </w:tblCellMar>
        </w:tblPrEx>
        <w:trPr>
          <w:cantSplit/>
        </w:trPr>
        <w:tc>
          <w:tcPr>
            <w:tcW w:w="1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Powder</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Safety stock (col S)</w:t>
            </w:r>
          </w:p>
        </w:tc>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=P × 3</w:t>
            </w:r>
          </w:p>
        </w:tc>
        <w:tc>
          <w:tcPr>
            <w:tcW w:w="3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Avg daily × 3 days of safety buffer</w:t>
            </w:r>
          </w:p>
        </w:tc>
      </w:tr>
      <w:tr w:rsidR="00800B14">
        <w:tblPrEx>
          <w:tblCellMar>
            <w:top w:w="0" w:type="dxa"/>
            <w:bottom w:w="0" w:type="dxa"/>
          </w:tblCellMar>
        </w:tblPrEx>
        <w:trPr>
          <w:cantSplit/>
        </w:trPr>
        <w:tc>
          <w:tcPr>
            <w:tcW w:w="1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Powder</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ROP (col T)</w:t>
            </w:r>
          </w:p>
        </w:tc>
        <w:tc>
          <w:tcPr>
            <w:tcW w:w="3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=P × 13</w:t>
            </w:r>
          </w:p>
        </w:tc>
        <w:tc>
          <w:tcPr>
            <w:tcW w:w="33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Avg daily × (10 days lead time + 3 days safety)</w:t>
            </w:r>
          </w:p>
        </w:tc>
      </w:tr>
      <w:tr w:rsidR="00800B14">
        <w:tblPrEx>
          <w:tblCellMar>
            <w:top w:w="0" w:type="dxa"/>
            <w:bottom w:w="0" w:type="dxa"/>
          </w:tblCellMar>
        </w:tblPrEx>
        <w:trPr>
          <w:cantSplit/>
        </w:trPr>
        <w:tc>
          <w:tcPr>
            <w:tcW w:w="1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6"/>
                <w:szCs w:val="16"/>
              </w:rPr>
              <w:t>Extrusion</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Safety stock (Medium class)</w:t>
            </w:r>
          </w:p>
        </w:tc>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1.5 × average monthly consumption (text, no formula)</w:t>
            </w:r>
          </w:p>
        </w:tc>
        <w:tc>
          <w:tcPr>
            <w:tcW w:w="33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Stated for B items; family-level values not supplied</w:t>
            </w:r>
          </w:p>
        </w:tc>
      </w:tr>
    </w:tbl>
    <w:p w:rsidR="00800B14" w:rsidRDefault="00E57AC6">
      <w:pPr>
        <w:spacing w:before="80" w:after="200"/>
      </w:pPr>
      <w:r>
        <w:rPr>
          <w:b/>
          <w:bCs/>
          <w:color w:val="0E8C8C"/>
          <w:sz w:val="18"/>
          <w:szCs w:val="18"/>
        </w:rPr>
        <w:t xml:space="preserve">Table </w:t>
      </w:r>
      <w:r>
        <w:rPr>
          <w:i/>
          <w:iCs/>
          <w:color w:val="5B6677"/>
          <w:sz w:val="18"/>
          <w:szCs w:val="18"/>
        </w:rPr>
        <w:t>13 — Formulas used for safety stock and reorder point</w:t>
      </w:r>
    </w:p>
    <w:p w:rsidR="00800B14" w:rsidRDefault="00E57AC6">
      <w:pPr>
        <w:pStyle w:val="Heading2"/>
      </w:pPr>
      <w:bookmarkStart w:id="30" w:name="h31"/>
      <w:r>
        <w:t>8.2 Safety stock</w:t>
      </w:r>
      <w:bookmarkEnd w:id="30"/>
    </w:p>
    <w:p w:rsidR="00800B14" w:rsidRDefault="00E57AC6">
      <w:pPr>
        <w:spacing w:after="120" w:line="276" w:lineRule="auto"/>
      </w:pPr>
      <w:r>
        <w:rPr>
          <w:b/>
          <w:bCs/>
          <w:color w:val="0B2545"/>
        </w:rPr>
        <w:t xml:space="preserve">Safety stock = Average daily consumption × Safety days. </w:t>
      </w:r>
      <w:r>
        <w:t>It is a reserve held on top of expected lead-time demand to protect against supply disruption (the Spares workbook describes it as an emergency reserve) or uncertainty (Powder). The b</w:t>
      </w:r>
      <w:r>
        <w:t>uffer is a fixed number of days — 10 for Spares, 3 for Powder — applied equally to every item.</w:t>
      </w:r>
    </w:p>
    <w:p w:rsidR="00800B14" w:rsidRDefault="00E57AC6">
      <w:pPr>
        <w:pStyle w:val="Heading2"/>
      </w:pPr>
      <w:bookmarkStart w:id="31" w:name="h32"/>
      <w:r>
        <w:t>8.3 Minimum stock level and reorder point</w:t>
      </w:r>
      <w:bookmarkEnd w:id="31"/>
    </w:p>
    <w:p w:rsidR="00800B14" w:rsidRDefault="00E57AC6">
      <w:pPr>
        <w:spacing w:after="120" w:line="276" w:lineRule="auto"/>
      </w:pPr>
      <w:r>
        <w:rPr>
          <w:b/>
          <w:bCs/>
          <w:color w:val="0B2545"/>
        </w:rPr>
        <w:t xml:space="preserve">Reorder point (ROP) = Average daily consumption × (Lead time + Safety days) = Lead-time demand + Safety stock. </w:t>
      </w:r>
      <w:r>
        <w:t>When stock reaches the ROP a purchase order is placed immediately (both workbooks). The ROP is therefore the minimum stock level in practice: the level below which stock must not be allowed to fall without an order already in progress. Within it, the safet</w:t>
      </w:r>
      <w:r>
        <w:t>y stock is the floor that should only be consumed if the supplier is late.</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800B14">
        <w:tblPrEx>
          <w:tblCellMar>
            <w:top w:w="0" w:type="dxa"/>
            <w:bottom w:w="0" w:type="dxa"/>
          </w:tblCellMar>
        </w:tblPrEx>
        <w:trPr>
          <w:cantSplit/>
        </w:trPr>
        <w:tc>
          <w:tcPr>
            <w:tcW w:w="9606" w:type="dxa"/>
            <w:tcBorders>
              <w:top w:val="single" w:sz="2" w:space="0" w:color="FFF4E0"/>
              <w:left w:val="single" w:sz="24" w:space="0" w:color="D98A1A"/>
              <w:bottom w:val="single" w:sz="2" w:space="0" w:color="FFF4E0"/>
              <w:right w:val="single" w:sz="2" w:space="0" w:color="FFF4E0"/>
            </w:tcBorders>
            <w:shd w:val="clear" w:color="auto" w:fill="FFF4E0"/>
            <w:tcMar>
              <w:top w:w="110" w:type="dxa"/>
              <w:left w:w="180" w:type="dxa"/>
              <w:bottom w:w="110" w:type="dxa"/>
              <w:right w:w="180" w:type="dxa"/>
            </w:tcMar>
          </w:tcPr>
          <w:p w:rsidR="00800B14" w:rsidRDefault="00E57AC6">
            <w:pPr>
              <w:spacing w:after="50"/>
            </w:pPr>
            <w:r>
              <w:rPr>
                <w:b/>
                <w:bCs/>
                <w:color w:val="0B2545"/>
                <w:sz w:val="20"/>
                <w:szCs w:val="20"/>
              </w:rPr>
              <w:t>Note on the term “minimum stock”</w:t>
            </w:r>
          </w:p>
          <w:p w:rsidR="00800B14" w:rsidRDefault="00E57AC6">
            <w:pPr>
              <w:spacing w:after="50" w:line="260" w:lineRule="auto"/>
            </w:pPr>
            <w:r>
              <w:rPr>
                <w:sz w:val="19"/>
                <w:szCs w:val="19"/>
              </w:rPr>
              <w:t>Neither workbook has a column named “Minimum Stock”, and neither defines a Maximum level. This report uses “minimum stock level” to mean the ROP, as</w:t>
            </w:r>
            <w:r>
              <w:rPr>
                <w:sz w:val="19"/>
                <w:szCs w:val="19"/>
              </w:rPr>
              <w:t xml:space="preserve"> the workbooks apply it. The Extrusion dashboard refers to “Min–Max visual stock markers” for Fast items but gives no values. If a Min–Max pair is needed for the Kanban workstream, the Max level will have to be defined; it is not available from the workboo</w:t>
            </w:r>
            <w:r>
              <w:rPr>
                <w:sz w:val="19"/>
                <w:szCs w:val="19"/>
              </w:rPr>
              <w:t>ks.</w:t>
            </w:r>
          </w:p>
        </w:tc>
      </w:tr>
    </w:tbl>
    <w:p w:rsidR="00800B14" w:rsidRDefault="00800B14">
      <w:pPr>
        <w:spacing w:after="80"/>
      </w:pPr>
    </w:p>
    <w:p w:rsidR="00800B14" w:rsidRDefault="00E57AC6">
      <w:pPr>
        <w:keepNext/>
        <w:spacing w:before="80"/>
        <w:jc w:val="center"/>
      </w:pPr>
      <w:r>
        <w:rPr>
          <w:noProof/>
        </w:rPr>
        <w:lastRenderedPageBreak/>
        <w:drawing>
          <wp:inline distT="0" distB="0" distL="0" distR="0">
            <wp:extent cx="5334000" cy="2495550"/>
            <wp:effectExtent l="0" t="0" r="0" b="0"/>
            <wp:docPr id="11" name="formula.png" descr="formula.png" title="formu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495550"/>
                    </a:xfrm>
                    <a:prstGeom prst="rect">
                      <a:avLst/>
                    </a:prstGeom>
                  </pic:spPr>
                </pic:pic>
              </a:graphicData>
            </a:graphic>
          </wp:inline>
        </w:drawing>
      </w:r>
    </w:p>
    <w:p w:rsidR="00800B14" w:rsidRDefault="00E57AC6">
      <w:pPr>
        <w:spacing w:before="80" w:after="200"/>
        <w:jc w:val="center"/>
      </w:pPr>
      <w:r>
        <w:rPr>
          <w:b/>
          <w:bCs/>
          <w:color w:val="0E8C8C"/>
          <w:sz w:val="18"/>
          <w:szCs w:val="18"/>
        </w:rPr>
        <w:t xml:space="preserve">Figure </w:t>
      </w:r>
      <w:r>
        <w:rPr>
          <w:i/>
          <w:iCs/>
          <w:color w:val="5B6677"/>
          <w:sz w:val="18"/>
          <w:szCs w:val="18"/>
        </w:rPr>
        <w:t>10 — Structure of the ROP — lead-time demand plus safety stock (worked examples)</w:t>
      </w:r>
    </w:p>
    <w:p w:rsidR="00800B14" w:rsidRDefault="00E57AC6">
      <w:pPr>
        <w:pStyle w:val="Heading2"/>
      </w:pPr>
      <w:bookmarkStart w:id="32" w:name="h33"/>
      <w:r>
        <w:t>8.4 Worked examples</w:t>
      </w:r>
      <w:bookmarkEnd w:id="32"/>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300"/>
        <w:gridCol w:w="3106"/>
      </w:tblGrid>
      <w:tr w:rsidR="00800B14">
        <w:tblPrEx>
          <w:tblCellMar>
            <w:top w:w="0" w:type="dxa"/>
            <w:bottom w:w="0" w:type="dxa"/>
          </w:tblCellMar>
        </w:tblPrEx>
        <w:trPr>
          <w:cantSplit/>
          <w:tblHeader/>
        </w:trPr>
        <w:tc>
          <w:tcPr>
            <w:tcW w:w="32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Step</w:t>
            </w:r>
          </w:p>
        </w:tc>
        <w:tc>
          <w:tcPr>
            <w:tcW w:w="33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Spares — Grille Black Bush</w:t>
            </w:r>
          </w:p>
        </w:tc>
        <w:tc>
          <w:tcPr>
            <w:tcW w:w="31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Powder — RAL 9016 MATT</w:t>
            </w:r>
          </w:p>
        </w:tc>
      </w:tr>
      <w:tr w:rsidR="00800B14">
        <w:tblPrEx>
          <w:tblCellMar>
            <w:top w:w="0" w:type="dxa"/>
            <w:bottom w:w="0" w:type="dxa"/>
          </w:tblCellMar>
        </w:tblPrEx>
        <w:trPr>
          <w:cantSplit/>
        </w:trPr>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Six monthly values</w:t>
            </w:r>
          </w:p>
        </w:tc>
        <w:tc>
          <w:tcPr>
            <w:tcW w:w="3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114,742; 124,501; 135,927; 122,961; 279,257; 120,886</w:t>
            </w:r>
          </w:p>
        </w:tc>
        <w:tc>
          <w:tcPr>
            <w:tcW w:w="3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1,215; 1,365; 1,605; 1,425; 1,200; 600</w:t>
            </w:r>
          </w:p>
        </w:tc>
      </w:tr>
      <w:tr w:rsidR="00800B14">
        <w:tblPrEx>
          <w:tblCellMar>
            <w:top w:w="0" w:type="dxa"/>
            <w:bottom w:w="0" w:type="dxa"/>
          </w:tblCellMar>
        </w:tblPrEx>
        <w:trPr>
          <w:cantSplit/>
        </w:trPr>
        <w:tc>
          <w:tcPr>
            <w:tcW w:w="3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Total (6 months)</w:t>
            </w:r>
          </w:p>
        </w:tc>
        <w:tc>
          <w:tcPr>
            <w:tcW w:w="3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898,274</w:t>
            </w:r>
          </w:p>
        </w:tc>
        <w:tc>
          <w:tcPr>
            <w:tcW w:w="31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7,410</w:t>
            </w:r>
          </w:p>
        </w:tc>
      </w:tr>
      <w:tr w:rsidR="00800B14">
        <w:tblPrEx>
          <w:tblCellMar>
            <w:top w:w="0" w:type="dxa"/>
            <w:bottom w:w="0" w:type="dxa"/>
          </w:tblCellMar>
        </w:tblPrEx>
        <w:trPr>
          <w:cantSplit/>
        </w:trPr>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Average monthly (÷ 6)</w:t>
            </w:r>
          </w:p>
        </w:tc>
        <w:tc>
          <w:tcPr>
            <w:tcW w:w="3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149,712</w:t>
            </w:r>
          </w:p>
        </w:tc>
        <w:tc>
          <w:tcPr>
            <w:tcW w:w="3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1,235</w:t>
            </w:r>
          </w:p>
        </w:tc>
      </w:tr>
      <w:tr w:rsidR="00800B14">
        <w:tblPrEx>
          <w:tblCellMar>
            <w:top w:w="0" w:type="dxa"/>
            <w:bottom w:w="0" w:type="dxa"/>
          </w:tblCellMar>
        </w:tblPrEx>
        <w:trPr>
          <w:cantSplit/>
        </w:trPr>
        <w:tc>
          <w:tcPr>
            <w:tcW w:w="3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Average daily (÷ 30)</w:t>
            </w:r>
          </w:p>
        </w:tc>
        <w:tc>
          <w:tcPr>
            <w:tcW w:w="3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4,990</w:t>
            </w:r>
          </w:p>
        </w:tc>
        <w:tc>
          <w:tcPr>
            <w:tcW w:w="31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41</w:t>
            </w:r>
          </w:p>
        </w:tc>
      </w:tr>
      <w:tr w:rsidR="00800B14">
        <w:tblPrEx>
          <w:tblCellMar>
            <w:top w:w="0" w:type="dxa"/>
            <w:bottom w:w="0" w:type="dxa"/>
          </w:tblCellMar>
        </w:tblPrEx>
        <w:trPr>
          <w:cantSplit/>
        </w:trPr>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Lead-time demand (daily × lead days)</w:t>
            </w:r>
          </w:p>
        </w:tc>
        <w:tc>
          <w:tcPr>
            <w:tcW w:w="3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4,990 × 20 = 99,800</w:t>
            </w:r>
          </w:p>
        </w:tc>
        <w:tc>
          <w:tcPr>
            <w:tcW w:w="3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41 × 10 = 410</w:t>
            </w:r>
          </w:p>
        </w:tc>
      </w:tr>
      <w:tr w:rsidR="00800B14">
        <w:tblPrEx>
          <w:tblCellMar>
            <w:top w:w="0" w:type="dxa"/>
            <w:bottom w:w="0" w:type="dxa"/>
          </w:tblCellMar>
        </w:tblPrEx>
        <w:trPr>
          <w:cantSplit/>
        </w:trPr>
        <w:tc>
          <w:tcPr>
            <w:tcW w:w="3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Safety stock (daily × safety days)</w:t>
            </w:r>
          </w:p>
        </w:tc>
        <w:tc>
          <w:tcPr>
            <w:tcW w:w="3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4,990 × 10 = 49,900</w:t>
            </w:r>
          </w:p>
        </w:tc>
        <w:tc>
          <w:tcPr>
            <w:tcW w:w="31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41 × 3 = 123</w:t>
            </w:r>
          </w:p>
        </w:tc>
      </w:tr>
      <w:tr w:rsidR="00800B14">
        <w:tblPrEx>
          <w:tblCellMar>
            <w:top w:w="0" w:type="dxa"/>
            <w:bottom w:w="0" w:type="dxa"/>
          </w:tblCellMar>
        </w:tblPrEx>
        <w:trPr>
          <w:cantSplit/>
        </w:trPr>
        <w:tc>
          <w:tcPr>
            <w:tcW w:w="3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6"/>
                <w:szCs w:val="16"/>
              </w:rPr>
              <w:t>ROP = lead-time demand + safety stock</w:t>
            </w:r>
          </w:p>
        </w:tc>
        <w:tc>
          <w:tcPr>
            <w:tcW w:w="3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99,800 + 49,900 = 149,700 (= 4,990 × 30)</w:t>
            </w:r>
          </w:p>
        </w:tc>
        <w:tc>
          <w:tcPr>
            <w:tcW w:w="3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410 + 123 = 533 (= 41 × 13)</w:t>
            </w:r>
          </w:p>
        </w:tc>
      </w:tr>
    </w:tbl>
    <w:p w:rsidR="00800B14" w:rsidRDefault="00E57AC6">
      <w:pPr>
        <w:spacing w:before="80" w:after="200"/>
      </w:pPr>
      <w:r>
        <w:rPr>
          <w:b/>
          <w:bCs/>
          <w:color w:val="0E8C8C"/>
          <w:sz w:val="18"/>
          <w:szCs w:val="18"/>
        </w:rPr>
        <w:t xml:space="preserve">Table </w:t>
      </w:r>
      <w:r>
        <w:rPr>
          <w:i/>
          <w:iCs/>
          <w:color w:val="5B6677"/>
          <w:sz w:val="18"/>
          <w:szCs w:val="18"/>
        </w:rPr>
        <w:t>14 — Step-by-step calculation of safety stock and ROP</w:t>
      </w:r>
    </w:p>
    <w:p w:rsidR="00800B14" w:rsidRDefault="00E57AC6">
      <w:pPr>
        <w:pStyle w:val="Heading2"/>
      </w:pPr>
      <w:bookmarkStart w:id="33" w:name="h34"/>
      <w:r>
        <w:t>8.5 Observations on the formulas</w:t>
      </w:r>
      <w:bookmarkEnd w:id="33"/>
    </w:p>
    <w:p w:rsidR="00800B14" w:rsidRDefault="00E57AC6">
      <w:pPr>
        <w:spacing w:after="120" w:line="276" w:lineRule="auto"/>
      </w:pPr>
      <w:r>
        <w:rPr>
          <w:b/>
          <w:bCs/>
          <w:color w:val="0B2545"/>
        </w:rPr>
        <w:t xml:space="preserve">Fixed-day buffers do not reflect variability. </w:t>
      </w:r>
      <w:r>
        <w:t>A 10-day buffer equals one third of an average month. The Fast spares’ peak months run from 1.26× to 2.74× average (Section 6.3). Whether 10 days is enough depends on actual lead-time performance and stock held</w:t>
      </w:r>
      <w:r>
        <w:t xml:space="preserve"> at the trigger; this should be validated against supplier delivery records.</w:t>
      </w:r>
    </w:p>
    <w:p w:rsidR="00800B14" w:rsidRDefault="00E57AC6">
      <w:pPr>
        <w:spacing w:after="120" w:line="276" w:lineRule="auto"/>
      </w:pPr>
      <w:r>
        <w:rPr>
          <w:b/>
          <w:bCs/>
          <w:color w:val="0B2545"/>
        </w:rPr>
        <w:t xml:space="preserve">Day multipliers are typed into the formulas. </w:t>
      </w:r>
      <w:r>
        <w:t xml:space="preserve">The Lead Time and Safety Days columns (Spares N, O; Powder Q, R) are not referenced; the formulas contain the constants 10, 30, 3 and </w:t>
      </w:r>
      <w:r>
        <w:t>13. Changing an item’s lead time in its column would not change its ROP.</w:t>
      </w:r>
    </w:p>
    <w:p w:rsidR="00800B14" w:rsidRDefault="00E57AC6">
      <w:pPr>
        <w:spacing w:after="120" w:line="276" w:lineRule="auto"/>
      </w:pPr>
      <w:r>
        <w:rPr>
          <w:b/>
          <w:bCs/>
          <w:color w:val="0B2545"/>
        </w:rPr>
        <w:t xml:space="preserve">Rounding of daily consumption. </w:t>
      </w:r>
      <w:r>
        <w:t>Both workbooks round the daily average to whole units before multiplying. For Spares this is immaterial. For low-volume Powder shades it changes the res</w:t>
      </w:r>
      <w:r>
        <w:t>ult noticeably, as the table shows; for Powder shades with an average monthly consumption of 14 or less, the daily average rounds to zero and the safety stock and ROP become zero.</w:t>
      </w:r>
    </w:p>
    <w:tbl>
      <w:tblPr>
        <w:tblW w:w="8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900"/>
        <w:gridCol w:w="1000"/>
        <w:gridCol w:w="1000"/>
        <w:gridCol w:w="1000"/>
        <w:gridCol w:w="1000"/>
        <w:gridCol w:w="1000"/>
        <w:gridCol w:w="1006"/>
      </w:tblGrid>
      <w:tr w:rsidR="00800B14">
        <w:tblPrEx>
          <w:tblCellMar>
            <w:top w:w="0" w:type="dxa"/>
            <w:bottom w:w="0" w:type="dxa"/>
          </w:tblCellMar>
        </w:tblPrEx>
        <w:trPr>
          <w:cantSplit/>
          <w:tblHeader/>
        </w:trPr>
        <w:tc>
          <w:tcPr>
            <w:tcW w:w="1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Powder shade</w:t>
            </w:r>
          </w:p>
        </w:tc>
        <w:tc>
          <w:tcPr>
            <w:tcW w:w="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Avg monthly</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Avg daily (workbook)</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Avg daily (unrounded)</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ROP (workbook)</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ROP (unrounded)</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Safety stock (workbook)</w:t>
            </w:r>
          </w:p>
        </w:tc>
        <w:tc>
          <w:tcPr>
            <w:tcW w:w="10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ROP difference</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Ral 9016 Matt</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1,235</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41</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41.2</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533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535.2</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123</w:t>
            </w:r>
          </w:p>
        </w:tc>
        <w:tc>
          <w:tcPr>
            <w:tcW w:w="10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-0.4%</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Satin Black 944</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1,032</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34</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34.4</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442</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447.2</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102</w:t>
            </w:r>
          </w:p>
        </w:tc>
        <w:tc>
          <w:tcPr>
            <w:tcW w:w="1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-1.2%</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lastRenderedPageBreak/>
              <w:t>Ral Glossy 9010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179</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6</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6</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78</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77.6</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18</w:t>
            </w:r>
          </w:p>
        </w:tc>
        <w:tc>
          <w:tcPr>
            <w:tcW w:w="10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+0.6%</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Ral 9010 Matt</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179</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6</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6</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78</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77.6</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18</w:t>
            </w:r>
          </w:p>
        </w:tc>
        <w:tc>
          <w:tcPr>
            <w:tcW w:w="1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+0.6%</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Pu Ral 9010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104</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3.5</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39</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45.1</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9</w:t>
            </w:r>
          </w:p>
        </w:tc>
        <w:tc>
          <w:tcPr>
            <w:tcW w:w="10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-13.5%</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Pp Ral 9003</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74</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2</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2.5</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26</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32.1</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6</w:t>
            </w:r>
          </w:p>
        </w:tc>
        <w:tc>
          <w:tcPr>
            <w:tcW w:w="1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-18.9%</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Ral 7044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73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2</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2.4</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26</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31.6</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6</w:t>
            </w:r>
          </w:p>
        </w:tc>
        <w:tc>
          <w:tcPr>
            <w:tcW w:w="10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-17.8%</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Ral 7035</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60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2</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2</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26</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26</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6</w:t>
            </w:r>
          </w:p>
        </w:tc>
        <w:tc>
          <w:tcPr>
            <w:tcW w:w="1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0%</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Ral 9002 Matt</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46</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2</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1.5</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26</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19.9</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6</w:t>
            </w:r>
          </w:p>
        </w:tc>
        <w:tc>
          <w:tcPr>
            <w:tcW w:w="10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+30.4%</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Ral 9001</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41</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1.4</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13</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17.8</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3</w:t>
            </w:r>
          </w:p>
        </w:tc>
        <w:tc>
          <w:tcPr>
            <w:tcW w:w="10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-26.8%</w:t>
            </w:r>
          </w:p>
        </w:tc>
      </w:tr>
      <w:tr w:rsidR="00800B14">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5"/>
                <w:szCs w:val="15"/>
              </w:rPr>
              <w:t>Ral 7024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33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1</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1.1</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13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14.3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3</w:t>
            </w:r>
          </w:p>
        </w:tc>
        <w:tc>
          <w:tcPr>
            <w:tcW w:w="10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-9.1%</w:t>
            </w:r>
          </w:p>
        </w:tc>
      </w:tr>
    </w:tbl>
    <w:p w:rsidR="00800B14" w:rsidRDefault="00E57AC6">
      <w:pPr>
        <w:spacing w:before="80" w:after="200"/>
      </w:pPr>
      <w:r>
        <w:rPr>
          <w:b/>
          <w:bCs/>
          <w:color w:val="0E8C8C"/>
          <w:sz w:val="18"/>
          <w:szCs w:val="18"/>
        </w:rPr>
        <w:t xml:space="preserve">Table </w:t>
      </w:r>
      <w:r>
        <w:rPr>
          <w:i/>
          <w:iCs/>
          <w:color w:val="5B6677"/>
          <w:sz w:val="18"/>
          <w:szCs w:val="18"/>
        </w:rPr>
        <w:t>15 — Effect of rounding on Powder ROP — unrounded values recomputed by this report for comparison only</w:t>
      </w:r>
    </w:p>
    <w:p w:rsidR="00800B14" w:rsidRDefault="00E57AC6">
      <w:pPr>
        <w:spacing w:after="120" w:line="276" w:lineRule="auto"/>
      </w:pPr>
      <w:r>
        <w:rPr>
          <w:i/>
          <w:iCs/>
          <w:color w:val="5B6677"/>
        </w:rPr>
        <w:t>Five of the eleven Fast and Medium shades differ by more than 10% from the unrounded ROP, in both directions (−26.8% to +30.4%). This is not a reco</w:t>
      </w:r>
      <w:r>
        <w:rPr>
          <w:i/>
          <w:iCs/>
          <w:color w:val="5B6677"/>
        </w:rPr>
        <w:t>mmendation to change the formula; it shows that the rounding is an issue to resolve before ROP values are used for Kanban card sizing.</w:t>
      </w:r>
    </w:p>
    <w:p w:rsidR="00800B14" w:rsidRDefault="00E57AC6">
      <w:pPr>
        <w:pStyle w:val="Heading2"/>
      </w:pPr>
      <w:bookmarkStart w:id="34" w:name="h35"/>
      <w:r>
        <w:t>8.6 Buffer policies differ between stores</w:t>
      </w:r>
      <w:bookmarkEnd w:id="34"/>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800"/>
        <w:gridCol w:w="2200"/>
        <w:gridCol w:w="2406"/>
      </w:tblGrid>
      <w:tr w:rsidR="00800B14">
        <w:tblPrEx>
          <w:tblCellMar>
            <w:top w:w="0" w:type="dxa"/>
            <w:bottom w:w="0" w:type="dxa"/>
          </w:tblCellMar>
        </w:tblPrEx>
        <w:trPr>
          <w:cantSplit/>
          <w:tblHeader/>
        </w:trPr>
        <w:tc>
          <w:tcPr>
            <w:tcW w:w="22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Store</w:t>
            </w:r>
          </w:p>
        </w:tc>
        <w:tc>
          <w:tcPr>
            <w:tcW w:w="28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Buffer in the workbook</w:t>
            </w:r>
          </w:p>
        </w:tc>
        <w:tc>
          <w:tcPr>
            <w:tcW w:w="22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Equivalent in days (30-day month)</w:t>
            </w:r>
          </w:p>
        </w:tc>
        <w:tc>
          <w:tcPr>
            <w:tcW w:w="24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Applies to</w:t>
            </w:r>
          </w:p>
        </w:tc>
      </w:tr>
      <w:tr w:rsidR="00800B14">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Extrusion</w:t>
            </w:r>
          </w:p>
        </w:tc>
        <w:tc>
          <w:tcPr>
            <w:tcW w:w="2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Safety stock = 1.5 × average monthly consumption</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 45 days</w:t>
            </w:r>
          </w:p>
        </w:tc>
        <w:tc>
          <w:tcPr>
            <w:tcW w:w="24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Medium (B) families</w:t>
            </w:r>
          </w:p>
        </w:tc>
      </w:tr>
      <w:tr w:rsidR="00800B14">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Factory 1 Spares</w:t>
            </w:r>
          </w:p>
        </w:tc>
        <w:tc>
          <w:tcPr>
            <w:tcW w:w="2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Safety stock = 10 days of consumption</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10 days</w:t>
            </w:r>
          </w:p>
        </w:tc>
        <w:tc>
          <w:tcPr>
            <w:tcW w:w="24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Fast and Medium items with ROP</w:t>
            </w:r>
          </w:p>
        </w:tc>
      </w:tr>
      <w:tr w:rsidR="00800B14">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6"/>
                <w:szCs w:val="16"/>
              </w:rPr>
              <w:t>Powder</w:t>
            </w:r>
          </w:p>
        </w:tc>
        <w:tc>
          <w:tcPr>
            <w:tcW w:w="2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Safety stock = 3 days of consumption</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3 days</w:t>
            </w:r>
          </w:p>
        </w:tc>
        <w:tc>
          <w:tcPr>
            <w:tcW w:w="24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Fast and Medium shades with ROP</w:t>
            </w:r>
          </w:p>
        </w:tc>
      </w:tr>
    </w:tbl>
    <w:p w:rsidR="00800B14" w:rsidRDefault="00E57AC6">
      <w:pPr>
        <w:spacing w:before="80" w:after="200"/>
      </w:pPr>
      <w:r>
        <w:rPr>
          <w:b/>
          <w:bCs/>
          <w:color w:val="0E8C8C"/>
          <w:sz w:val="18"/>
          <w:szCs w:val="18"/>
        </w:rPr>
        <w:t xml:space="preserve">Table </w:t>
      </w:r>
      <w:r>
        <w:rPr>
          <w:i/>
          <w:iCs/>
          <w:color w:val="5B6677"/>
          <w:sz w:val="18"/>
          <w:szCs w:val="18"/>
        </w:rPr>
        <w:t>16 — Safety-buffer policy by store (days equivalent derived by this report)</w:t>
      </w:r>
    </w:p>
    <w:p w:rsidR="00800B14" w:rsidRDefault="00E57AC6">
      <w:pPr>
        <w:spacing w:after="120" w:line="276" w:lineRule="auto"/>
      </w:pPr>
      <w:r>
        <w:t>The three stores use different buffer logic, and the source for the chosen values (20- and 10-day lead times for Spares, 10 and 3 days for Powder) is not documented in the workbooks. These parameters should be confirmed with Purchase before they are carrie</w:t>
      </w:r>
      <w:r>
        <w:t>d into the Kanban workstream.</w:t>
      </w:r>
    </w:p>
    <w:p w:rsidR="00800B14" w:rsidRDefault="00E57AC6">
      <w:pPr>
        <w:pStyle w:val="Heading1"/>
        <w:pageBreakBefore/>
      </w:pPr>
      <w:bookmarkStart w:id="35" w:name="h36"/>
      <w:r>
        <w:lastRenderedPageBreak/>
        <w:t>9. Cross-Workbook Comparison</w:t>
      </w:r>
      <w:bookmarkEnd w:id="35"/>
    </w:p>
    <w:p w:rsidR="00800B14" w:rsidRDefault="00E57AC6">
      <w:pPr>
        <w:keepNext/>
        <w:spacing w:before="80"/>
        <w:jc w:val="center"/>
      </w:pPr>
      <w:r>
        <w:rPr>
          <w:noProof/>
        </w:rPr>
        <w:drawing>
          <wp:inline distT="0" distB="0" distL="0" distR="0">
            <wp:extent cx="5334000" cy="2600325"/>
            <wp:effectExtent l="0" t="0" r="0" b="0"/>
            <wp:docPr id="12" name="cross.png" descr="cross.png" title="cr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600325"/>
                    </a:xfrm>
                    <a:prstGeom prst="rect">
                      <a:avLst/>
                    </a:prstGeom>
                  </pic:spPr>
                </pic:pic>
              </a:graphicData>
            </a:graphic>
          </wp:inline>
        </w:drawing>
      </w:r>
    </w:p>
    <w:p w:rsidR="00800B14" w:rsidRDefault="00E57AC6">
      <w:pPr>
        <w:spacing w:before="80" w:after="200"/>
        <w:jc w:val="center"/>
      </w:pPr>
      <w:r>
        <w:rPr>
          <w:b/>
          <w:bCs/>
          <w:color w:val="0E8C8C"/>
          <w:sz w:val="18"/>
          <w:szCs w:val="18"/>
        </w:rPr>
        <w:t xml:space="preserve">Figure </w:t>
      </w:r>
      <w:r>
        <w:rPr>
          <w:i/>
          <w:iCs/>
          <w:color w:val="5B6677"/>
          <w:sz w:val="18"/>
          <w:szCs w:val="18"/>
        </w:rPr>
        <w:t>11 — Concentration of consumption in the Fast-moving class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800"/>
        <w:gridCol w:w="1900"/>
        <w:gridCol w:w="2106"/>
      </w:tblGrid>
      <w:tr w:rsidR="00800B14">
        <w:tblPrEx>
          <w:tblCellMar>
            <w:top w:w="0" w:type="dxa"/>
            <w:bottom w:w="0" w:type="dxa"/>
          </w:tblCellMar>
        </w:tblPrEx>
        <w:trPr>
          <w:cantSplit/>
          <w:tblHeader/>
        </w:trPr>
        <w:tc>
          <w:tcPr>
            <w:tcW w:w="2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Measure</w:t>
            </w:r>
          </w:p>
        </w:tc>
        <w:tc>
          <w:tcPr>
            <w:tcW w:w="18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Extrusion</w:t>
            </w:r>
          </w:p>
        </w:tc>
        <w:tc>
          <w:tcPr>
            <w:tcW w:w="18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Spares</w:t>
            </w:r>
          </w:p>
        </w:tc>
        <w:tc>
          <w:tcPr>
            <w:tcW w:w="1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Powder</w:t>
            </w:r>
          </w:p>
        </w:tc>
        <w:tc>
          <w:tcPr>
            <w:tcW w:w="21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Comment</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Items in scope</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118 families</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549 SKUs</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56 shades</w:t>
            </w:r>
          </w:p>
        </w:tc>
        <w:tc>
          <w:tcPr>
            <w:tcW w:w="2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Spares register shows 51 SKUs</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Fast (A) items</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12 (10.2%)</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19 (3.5%)</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3 (5.4%)</w:t>
            </w:r>
          </w:p>
        </w:tc>
        <w:tc>
          <w:tcPr>
            <w:tcW w:w="21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Pareto concentration in all three</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Fast share of consumption</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68.3%</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 69.3%</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75.7% (recomputed)</w:t>
            </w:r>
          </w:p>
        </w:tc>
        <w:tc>
          <w:tcPr>
            <w:tcW w:w="2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Powder workbook states 76.2%</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Non-moving items</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Not shown</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169 (30.8%)</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25 (44.6%)</w:t>
            </w:r>
          </w:p>
        </w:tc>
        <w:tc>
          <w:tcPr>
            <w:tcW w:w="21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Highest in Powder</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Reorder logic</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Not formula-based</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ROP = daily × 30</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ROP = daily × 13</w:t>
            </w:r>
          </w:p>
        </w:tc>
        <w:tc>
          <w:tcPr>
            <w:tcW w:w="2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Fixed-day rules</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Safety buffer</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1.5 × avg monthly (B)</w:t>
            </w:r>
          </w:p>
        </w:tc>
        <w:tc>
          <w:tcPr>
            <w:tcW w:w="1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10 days</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3 days</w:t>
            </w:r>
          </w:p>
        </w:tc>
        <w:tc>
          <w:tcPr>
            <w:tcW w:w="21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Different policies</w:t>
            </w:r>
          </w:p>
        </w:tc>
      </w:tr>
      <w:tr w:rsidR="00800B14">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6"/>
                <w:szCs w:val="16"/>
              </w:rPr>
              <w:t>Data traceability</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Typed dashboard</w:t>
            </w:r>
          </w:p>
        </w:tc>
        <w:tc>
          <w:tcPr>
            <w:tcW w:w="1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51 of 549 SKUs in register</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Full raw data</w:t>
            </w:r>
          </w:p>
        </w:tc>
        <w:tc>
          <w:tcPr>
            <w:tcW w:w="21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Powder most reproducible</w:t>
            </w:r>
          </w:p>
        </w:tc>
      </w:tr>
    </w:tbl>
    <w:p w:rsidR="00800B14" w:rsidRDefault="00E57AC6">
      <w:pPr>
        <w:spacing w:before="80" w:after="200"/>
      </w:pPr>
      <w:r>
        <w:rPr>
          <w:b/>
          <w:bCs/>
          <w:color w:val="0E8C8C"/>
          <w:sz w:val="18"/>
          <w:szCs w:val="18"/>
        </w:rPr>
        <w:t xml:space="preserve">Table </w:t>
      </w:r>
      <w:r>
        <w:rPr>
          <w:i/>
          <w:iCs/>
          <w:color w:val="5B6677"/>
          <w:sz w:val="18"/>
          <w:szCs w:val="18"/>
        </w:rPr>
        <w:t>17 — Comparison of the three workbooks</w:t>
      </w:r>
    </w:p>
    <w:p w:rsidR="00800B14" w:rsidRDefault="00E57AC6">
      <w:pPr>
        <w:pStyle w:val="Heading1"/>
      </w:pPr>
      <w:bookmarkStart w:id="36" w:name="h37"/>
      <w:r>
        <w:t>10. Audit Findings Register</w:t>
      </w:r>
      <w:bookmarkEnd w:id="36"/>
    </w:p>
    <w:p w:rsidR="00800B14" w:rsidRDefault="00E57AC6">
      <w:pPr>
        <w:spacing w:after="120" w:line="276" w:lineRule="auto"/>
      </w:pPr>
      <w:r>
        <w:t>The table lists inconsistencies, gaps and unsupported statements found while recomputing the workbooks. None has been corrected in the source files; the report preserves the workbook figures and states the recomputed values alongside.</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
        <w:gridCol w:w="900"/>
        <w:gridCol w:w="2400"/>
        <w:gridCol w:w="1900"/>
        <w:gridCol w:w="1900"/>
        <w:gridCol w:w="1946"/>
      </w:tblGrid>
      <w:tr w:rsidR="00800B14">
        <w:tblPrEx>
          <w:tblCellMar>
            <w:top w:w="0" w:type="dxa"/>
            <w:bottom w:w="0" w:type="dxa"/>
          </w:tblCellMar>
        </w:tblPrEx>
        <w:trPr>
          <w:cantSplit/>
          <w:tblHeader/>
        </w:trPr>
        <w:tc>
          <w:tcPr>
            <w:tcW w:w="56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ID</w:t>
            </w:r>
          </w:p>
        </w:tc>
        <w:tc>
          <w:tcPr>
            <w:tcW w:w="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Workbook</w:t>
            </w:r>
          </w:p>
        </w:tc>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Finding</w:t>
            </w:r>
          </w:p>
        </w:tc>
        <w:tc>
          <w:tcPr>
            <w:tcW w:w="1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E</w:t>
            </w:r>
            <w:r>
              <w:rPr>
                <w:b/>
                <w:bCs/>
                <w:color w:val="FFFFFF"/>
                <w:sz w:val="14"/>
                <w:szCs w:val="14"/>
              </w:rPr>
              <w:t>vidence</w:t>
            </w:r>
          </w:p>
        </w:tc>
        <w:tc>
          <w:tcPr>
            <w:tcW w:w="1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Implication</w:t>
            </w:r>
          </w:p>
        </w:tc>
        <w:tc>
          <w:tcPr>
            <w:tcW w:w="194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Suggested action</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4"/>
                <w:szCs w:val="14"/>
              </w:rPr>
              <w:t>D-01</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All</w:t>
            </w:r>
          </w:p>
        </w:tc>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Sheet names, column headers and text use “ABC” although the analysis is FSN</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Examples: “ABC Cat”, “ABC Dashboard”, “ABC Classification Summary”</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Labels inconsistent with the confirmed method</w:t>
            </w:r>
          </w:p>
        </w:tc>
        <w:tc>
          <w:tcPr>
            <w:tcW w:w="194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Relabel to FSN</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4"/>
                <w:szCs w:val="14"/>
              </w:rPr>
              <w:t>D-02</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Extrusion</w:t>
            </w:r>
          </w:p>
        </w:tc>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Dashboard holds typed values only; no item-level register or formulas</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All KPI cells are text</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Classification cannot be reproduced</w:t>
            </w:r>
          </w:p>
        </w:tc>
        <w:tc>
          <w:tcPr>
            <w:tcW w:w="194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Provide the family-level register</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4"/>
                <w:szCs w:val="14"/>
              </w:rPr>
              <w:t>D-03</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Spares</w:t>
            </w:r>
          </w:p>
        </w:tc>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Register has 51 of 549 SKUs</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Footer: “51 representative SKUs (full dataset: 549)”</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Summary shares for all 549 cannot be re-derived</w:t>
            </w:r>
          </w:p>
        </w:tc>
        <w:tc>
          <w:tcPr>
            <w:tcW w:w="194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Provide the full register</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4"/>
                <w:szCs w:val="14"/>
              </w:rPr>
              <w:lastRenderedPageBreak/>
              <w:t>D-04</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Spares</w:t>
            </w:r>
          </w:p>
        </w:tc>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ROP in the Fast-item table (Section 04) equals daily × 15; register and Section 06 use daily × 30</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e.g. Grille Black Bush: 74,850 vs 149,700</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Conflicting reorder levels for the same items</w:t>
            </w:r>
          </w:p>
        </w:tc>
        <w:tc>
          <w:tcPr>
            <w:tcW w:w="194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Confirm the intended multiplier</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4"/>
                <w:szCs w:val="14"/>
              </w:rPr>
              <w:t>D-05</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Spares</w:t>
            </w:r>
          </w:p>
        </w:tc>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Class counts sum to 548 (19+31+329+169) against 549 stated</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Executive Summary</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One SKU unaccounted for</w:t>
            </w:r>
          </w:p>
        </w:tc>
        <w:tc>
          <w:tcPr>
            <w:tcW w:w="194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Reconcile the count</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4"/>
                <w:szCs w:val="14"/>
              </w:rPr>
              <w:t>D-06</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Spares, Powder</w:t>
            </w:r>
          </w:p>
        </w:tc>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ROP and safety stock hard-code the day multipliers; Lead Time and Safety Days columns are not referenced</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Spares =M×10, =M×30; Powder =P×3, =P×13</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Changing inputs does not update results</w:t>
            </w:r>
          </w:p>
        </w:tc>
        <w:tc>
          <w:tcPr>
            <w:tcW w:w="194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Link formulas to the input columns</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4"/>
                <w:szCs w:val="14"/>
              </w:rPr>
              <w:t>D-07</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Powder</w:t>
            </w:r>
          </w:p>
        </w:tc>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9016 MATT month 2: 825 (summary) vs 1,365 (raw data); total 6,870 vs 7,410</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Grand total 18,844 vs 19,384</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Totals and shares differ by 540 units</w:t>
            </w:r>
          </w:p>
        </w:tc>
        <w:tc>
          <w:tcPr>
            <w:tcW w:w="194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Confirm correct month-2 value</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4"/>
                <w:szCs w:val="14"/>
              </w:rPr>
              <w:t>D-08</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Powder</w:t>
            </w:r>
          </w:p>
        </w:tc>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Class shares stated 76.2 / 18.9 / 4.9%; recomputed 75.7 / 18.9 / 5.4%</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Raw data totals</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Stated shares not reproducible</w:t>
            </w:r>
          </w:p>
        </w:tc>
        <w:tc>
          <w:tcPr>
            <w:tcW w:w="194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Recalculate from the raw data</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4"/>
                <w:szCs w:val="14"/>
              </w:rPr>
              <w:t>D-09</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Powder</w:t>
            </w:r>
          </w:p>
        </w:tc>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Contribution % filled for 11 shades only; Cumulative % shows “—”</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Columns M, N of raw data</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Classification not traceable in the sheet</w:t>
            </w:r>
          </w:p>
        </w:tc>
        <w:tc>
          <w:tcPr>
            <w:tcW w:w="194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Complete both columns with formulas</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4"/>
                <w:szCs w:val="14"/>
              </w:rPr>
              <w:t>D-10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Powder</w:t>
            </w:r>
          </w:p>
        </w:tc>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Glossy 9010 and RAL 9010 Matt both total 1,072 but sit in different classes (A, B)</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Ranks 3 and 4</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No stated tie-break rule</w:t>
            </w:r>
          </w:p>
        </w:tc>
        <w:tc>
          <w:tcPr>
            <w:tcW w:w="194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Document the rule</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4"/>
                <w:szCs w:val="14"/>
              </w:rPr>
              <w:t>D-11</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Powder</w:t>
            </w:r>
          </w:p>
        </w:tc>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Daily average rounded before multiplying</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See Table 15</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ROP differs from unrounded by −26.8% to +30.4% for Fast and Medium shades</w:t>
            </w:r>
          </w:p>
        </w:tc>
        <w:tc>
          <w:tcPr>
            <w:tcW w:w="194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Decide on rounding approach</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4"/>
                <w:szCs w:val="14"/>
              </w:rPr>
              <w:t>D-12</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Powder</w:t>
            </w:r>
          </w:p>
        </w:tc>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Summary row “Grand total” shows 98 for Avg monthly: an average of per-row averages including the Non-moving aggregate row</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Cell J53</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Value is not a total (total of averages ≈ 3,234)</w:t>
            </w:r>
          </w:p>
        </w:tc>
        <w:tc>
          <w:tcPr>
            <w:tcW w:w="194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Relabel or replace with a sum</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4"/>
                <w:szCs w:val="14"/>
              </w:rPr>
              <w:t>D-13</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Spares, Powder</w:t>
            </w:r>
          </w:p>
        </w:tc>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Thresholds differ (Spares 70/90/100; Powder 80/95/100); Spares text says “Pareto 80-20”</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Methodology sections</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Class boundaries not comparable across stores</w:t>
            </w:r>
          </w:p>
        </w:tc>
        <w:tc>
          <w:tcPr>
            <w:tcW w:w="194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Agree one rule or document the difference</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4"/>
                <w:szCs w:val="14"/>
              </w:rPr>
              <w:t>D-14</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Powder</w:t>
            </w:r>
          </w:p>
        </w:tc>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Shade named “Satin Black 9005” in the summary and “Satin Black 944” in the raw data</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Code SI/SP-285.13</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Naming inconsistency</w:t>
            </w:r>
          </w:p>
        </w:tc>
        <w:tc>
          <w:tcPr>
            <w:tcW w:w="194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Confirm the correct name</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4"/>
                <w:szCs w:val="14"/>
              </w:rPr>
              <w:t>D-15</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Spares, Powder</w:t>
            </w:r>
          </w:p>
        </w:tc>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Units stated only in a Powder chart title (Kg); Spares units not stated</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Charts &amp; Analysis</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Quantities may be misread</w:t>
            </w:r>
          </w:p>
        </w:tc>
        <w:tc>
          <w:tcPr>
            <w:tcW w:w="194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State units on all sheets</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4"/>
                <w:szCs w:val="14"/>
              </w:rPr>
              <w:t>D-16</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Spares</w:t>
            </w:r>
          </w:p>
        </w:tc>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Criticality assigned from movement class rather than machine dependency</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Criticality column mirrors class</w:t>
            </w:r>
          </w:p>
        </w:tc>
        <w:tc>
          <w:tcPr>
            <w:tcW w:w="1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Low-consumption but machine-critical items not identified</w:t>
            </w:r>
          </w:p>
        </w:tc>
        <w:tc>
          <w:tcPr>
            <w:tcW w:w="194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Add a machine-dependency assessment</w:t>
            </w:r>
          </w:p>
        </w:tc>
      </w:tr>
      <w:tr w:rsidR="00800B14">
        <w:tblPrEx>
          <w:tblCellMar>
            <w:top w:w="0" w:type="dxa"/>
            <w:bottom w:w="0" w:type="dxa"/>
          </w:tblCellMar>
        </w:tblPrEx>
        <w:trPr>
          <w:cantSplit/>
        </w:trPr>
        <w:tc>
          <w:tcPr>
            <w:tcW w:w="56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4"/>
                <w:szCs w:val="14"/>
              </w:rPr>
              <w:t>D-17</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4"/>
                <w:szCs w:val="14"/>
              </w:rPr>
              <w:t>Spares, Powder</w:t>
            </w:r>
          </w:p>
        </w:tc>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4"/>
                <w:szCs w:val="14"/>
              </w:rPr>
              <w:t>Estimates in the summaries (30%+ rack space recovered; 15–20% SKU reduction; 30–40% shade reduction) are not supported by data in the workbooks</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4"/>
                <w:szCs w:val="14"/>
              </w:rPr>
              <w:t>Findings sections</w:t>
            </w:r>
          </w:p>
        </w:tc>
        <w:tc>
          <w:tcPr>
            <w:tcW w:w="1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4"/>
                <w:szCs w:val="14"/>
              </w:rPr>
              <w:t>Unsupported figures</w:t>
            </w:r>
          </w:p>
        </w:tc>
        <w:tc>
          <w:tcPr>
            <w:tcW w:w="194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4"/>
                <w:szCs w:val="14"/>
              </w:rPr>
              <w:t>Treat as unvalidated hypotheses</w:t>
            </w:r>
          </w:p>
        </w:tc>
      </w:tr>
    </w:tbl>
    <w:p w:rsidR="00800B14" w:rsidRDefault="00E57AC6">
      <w:pPr>
        <w:spacing w:before="80" w:after="200"/>
      </w:pPr>
      <w:r>
        <w:rPr>
          <w:b/>
          <w:bCs/>
          <w:color w:val="0E8C8C"/>
          <w:sz w:val="18"/>
          <w:szCs w:val="18"/>
        </w:rPr>
        <w:t xml:space="preserve">Table </w:t>
      </w:r>
      <w:r>
        <w:rPr>
          <w:i/>
          <w:iCs/>
          <w:color w:val="5B6677"/>
          <w:sz w:val="18"/>
          <w:szCs w:val="18"/>
        </w:rPr>
        <w:t>18 — Audit findings register</w:t>
      </w:r>
    </w:p>
    <w:p w:rsidR="00800B14" w:rsidRDefault="00E57AC6">
      <w:pPr>
        <w:pStyle w:val="Heading1"/>
        <w:pageBreakBefore/>
      </w:pPr>
      <w:bookmarkStart w:id="37" w:name="h38"/>
      <w:r>
        <w:lastRenderedPageBreak/>
        <w:t>11. Operational Implications and Recommendations</w:t>
      </w:r>
      <w:bookmarkEnd w:id="37"/>
    </w:p>
    <w:p w:rsidR="00800B14" w:rsidRDefault="00E57AC6">
      <w:pPr>
        <w:spacing w:after="120" w:line="276" w:lineRule="auto"/>
      </w:pPr>
      <w:r>
        <w:t>Recommendations below are drawn from the workbooks and from this analysis. They are proposals; none has been implemented and no benefit is claimed.</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4506"/>
        <w:gridCol w:w="2800"/>
      </w:tblGrid>
      <w:tr w:rsidR="00800B14">
        <w:tblPrEx>
          <w:tblCellMar>
            <w:top w:w="0" w:type="dxa"/>
            <w:bottom w:w="0" w:type="dxa"/>
          </w:tblCellMar>
        </w:tblPrEx>
        <w:trPr>
          <w:cantSplit/>
          <w:tblHeader/>
        </w:trPr>
        <w:tc>
          <w:tcPr>
            <w:tcW w:w="23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Area</w:t>
            </w:r>
          </w:p>
        </w:tc>
        <w:tc>
          <w:tcPr>
            <w:tcW w:w="45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Recommendation</w:t>
            </w:r>
          </w:p>
        </w:tc>
        <w:tc>
          <w:tcPr>
            <w:tcW w:w="28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6"/>
                <w:szCs w:val="16"/>
              </w:rPr>
              <w:t>Source / link</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Prioritise Fast items</w:t>
            </w:r>
          </w:p>
        </w:tc>
        <w:tc>
          <w:tcPr>
            <w:tcW w:w="4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Give the 12 Extrusion, 19 Spares and 3 Powder Fast items the most accessible, controlled locations with Kanban and FIFO-based replenishment</w:t>
            </w:r>
          </w:p>
        </w:tc>
        <w:tc>
          <w:tcPr>
            <w:tcW w:w="2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Workbook recommendations; rack designing, Kanban, FIFO workstreams</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FSN-based zoning</w:t>
            </w:r>
          </w:p>
        </w:tc>
        <w:tc>
          <w:tcPr>
            <w:tcW w:w="4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Fast items at front / accessible rows, Medium at mid-level, Slow and Non-moving in a rear quarantine or review zone</w:t>
            </w:r>
          </w:p>
        </w:tc>
        <w:tc>
          <w:tcPr>
            <w:tcW w:w="2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Spares and Powder workbooks; rack designing</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Reorder control</w:t>
            </w:r>
          </w:p>
        </w:tc>
        <w:tc>
          <w:tcPr>
            <w:tcW w:w="4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Keep ROP monitoring for Fast and Medium items; Slow items on order-on-demand</w:t>
            </w:r>
          </w:p>
        </w:tc>
        <w:tc>
          <w:tcPr>
            <w:tcW w:w="2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Spares and Powder workbooks</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Non-moving review</w:t>
            </w:r>
          </w:p>
        </w:tc>
        <w:tc>
          <w:tcPr>
            <w:tcW w:w="4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Quarterly review of the 169 Spares (return to vendor / write-off / hold) and review of the 25 Powder shades; tag and isolate pending decision</w:t>
            </w:r>
          </w:p>
        </w:tc>
        <w:tc>
          <w:tcPr>
            <w:tcW w:w="2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Workbooks; Section 6.4</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Shade standardization</w:t>
            </w:r>
          </w:p>
        </w:tc>
        <w:tc>
          <w:tcPr>
            <w:tcW w:w="4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Review the shade groups in Table 11 with technical and sales input before merging any</w:t>
            </w:r>
          </w:p>
        </w:tc>
        <w:tc>
          <w:tcPr>
            <w:tcW w:w="2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Section 7.3</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Fix the numbers first</w:t>
            </w:r>
          </w:p>
        </w:tc>
        <w:tc>
          <w:tcPr>
            <w:tcW w:w="4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Resolve D-04, D-05, D-07 and D-09; link formulas to input cells; decide the rounding approach</w:t>
            </w:r>
          </w:p>
        </w:tc>
        <w:tc>
          <w:tcPr>
            <w:tcW w:w="2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Section 10</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6"/>
                <w:szCs w:val="16"/>
              </w:rPr>
              <w:t>Validate buffers</w:t>
            </w:r>
          </w:p>
        </w:tc>
        <w:tc>
          <w:tcPr>
            <w:tcW w:w="4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Compare the fixed-day buffers with actual supplier lead times and the observed peaks before sizing Kanban cards</w:t>
            </w:r>
          </w:p>
        </w:tc>
        <w:tc>
          <w:tcPr>
            <w:tcW w:w="2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6"/>
                <w:szCs w:val="16"/>
              </w:rPr>
              <w:t>Section 8.5</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6"/>
                <w:szCs w:val="16"/>
              </w:rPr>
              <w:t>Define Min–Max</w:t>
            </w:r>
          </w:p>
        </w:tc>
        <w:tc>
          <w:tcPr>
            <w:tcW w:w="45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If Min–Max is needed for Kanban, define Max levels; the workbooks give only the reorder point</w:t>
            </w:r>
          </w:p>
        </w:tc>
        <w:tc>
          <w:tcPr>
            <w:tcW w:w="2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6"/>
                <w:szCs w:val="16"/>
              </w:rPr>
              <w:t>Section 8.3</w:t>
            </w:r>
          </w:p>
        </w:tc>
      </w:tr>
      <w:tr w:rsidR="00800B14">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6"/>
                <w:szCs w:val="16"/>
              </w:rPr>
              <w:t>Add machine criticality</w:t>
            </w:r>
          </w:p>
        </w:tc>
        <w:tc>
          <w:tcPr>
            <w:tcW w:w="45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Classify spares against machine dependency, in addition to consumption</w:t>
            </w:r>
          </w:p>
        </w:tc>
        <w:tc>
          <w:tcPr>
            <w:tcW w:w="2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6"/>
                <w:szCs w:val="16"/>
              </w:rPr>
              <w:t>D-16; workbook recommendation 06</w:t>
            </w:r>
          </w:p>
        </w:tc>
      </w:tr>
    </w:tbl>
    <w:p w:rsidR="00800B14" w:rsidRDefault="00E57AC6">
      <w:pPr>
        <w:spacing w:before="80" w:after="200"/>
      </w:pPr>
      <w:r>
        <w:rPr>
          <w:b/>
          <w:bCs/>
          <w:color w:val="0E8C8C"/>
          <w:sz w:val="18"/>
          <w:szCs w:val="18"/>
        </w:rPr>
        <w:t xml:space="preserve">Table </w:t>
      </w:r>
      <w:r>
        <w:rPr>
          <w:i/>
          <w:iCs/>
          <w:color w:val="5B6677"/>
          <w:sz w:val="18"/>
          <w:szCs w:val="18"/>
        </w:rPr>
        <w:t>19 — Recommendations</w:t>
      </w:r>
    </w:p>
    <w:p w:rsidR="00800B14" w:rsidRDefault="00E57AC6">
      <w:pPr>
        <w:pStyle w:val="Heading2"/>
      </w:pPr>
      <w:bookmarkStart w:id="38" w:name="h39"/>
      <w:r>
        <w:t>11.1 Link to the next workstreams</w:t>
      </w:r>
      <w:bookmarkEnd w:id="38"/>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206"/>
      </w:tblGrid>
      <w:tr w:rsidR="00800B14">
        <w:tblPrEx>
          <w:tblCellMar>
            <w:top w:w="0" w:type="dxa"/>
            <w:bottom w:w="0" w:type="dxa"/>
          </w:tblCellMar>
        </w:tblPrEx>
        <w:trPr>
          <w:cantSplit/>
          <w:tblHeader/>
        </w:trPr>
        <w:tc>
          <w:tcPr>
            <w:tcW w:w="24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Workstream</w:t>
            </w:r>
          </w:p>
        </w:tc>
        <w:tc>
          <w:tcPr>
            <w:tcW w:w="72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7"/>
                <w:szCs w:val="17"/>
              </w:rPr>
              <w:t>What this analysis provides</w:t>
            </w:r>
          </w:p>
        </w:tc>
      </w:tr>
      <w:tr w:rsidR="00800B14">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7"/>
                <w:szCs w:val="17"/>
              </w:rPr>
              <w:t>Rack designing</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Fast / Slow / Non-moving lists for zoning; volume of Fast items</w:t>
            </w:r>
          </w:p>
        </w:tc>
      </w:tr>
      <w:tr w:rsidR="00800B14">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7"/>
                <w:szCs w:val="17"/>
              </w:rPr>
              <w:t>Binning and labeling</w:t>
            </w:r>
          </w:p>
        </w:tc>
        <w:tc>
          <w:tcPr>
            <w:tcW w:w="7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Item lists with codes; Fast items first</w:t>
            </w:r>
          </w:p>
        </w:tc>
      </w:tr>
      <w:tr w:rsidR="00800B14">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7"/>
                <w:szCs w:val="17"/>
              </w:rPr>
              <w:t>FIFO</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7"/>
                <w:szCs w:val="17"/>
              </w:rPr>
              <w:t>Identification of items where rotation matters — FIFO is a physical storage and issuing method, not an ERP function</w:t>
            </w:r>
          </w:p>
        </w:tc>
      </w:tr>
      <w:tr w:rsidR="00800B14">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7"/>
                <w:szCs w:val="17"/>
              </w:rPr>
              <w:t>Kitting</w:t>
            </w:r>
          </w:p>
        </w:tc>
        <w:tc>
          <w:tcPr>
            <w:tcW w:w="72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7"/>
                <w:szCs w:val="17"/>
              </w:rPr>
              <w:t>Fast items consumed together (to be identified with Production)</w:t>
            </w:r>
          </w:p>
        </w:tc>
      </w:tr>
      <w:tr w:rsidR="00800B14">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7"/>
                <w:szCs w:val="17"/>
              </w:rPr>
              <w:t>Kanban</w:t>
            </w:r>
          </w:p>
        </w:tc>
        <w:tc>
          <w:tcPr>
            <w:tcW w:w="72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7"/>
                <w:szCs w:val="17"/>
              </w:rPr>
              <w:t>ROP and safety-stock starting values, subject to the validations above</w:t>
            </w:r>
          </w:p>
        </w:tc>
      </w:tr>
    </w:tbl>
    <w:p w:rsidR="00800B14" w:rsidRDefault="00E57AC6">
      <w:pPr>
        <w:spacing w:before="80" w:after="200"/>
      </w:pPr>
      <w:r>
        <w:rPr>
          <w:b/>
          <w:bCs/>
          <w:color w:val="0E8C8C"/>
          <w:sz w:val="18"/>
          <w:szCs w:val="18"/>
        </w:rPr>
        <w:t xml:space="preserve">Table </w:t>
      </w:r>
      <w:r>
        <w:rPr>
          <w:i/>
          <w:iCs/>
          <w:color w:val="5B6677"/>
          <w:sz w:val="18"/>
          <w:szCs w:val="18"/>
        </w:rPr>
        <w:t>20 — Inputs to the subsequent workstreams</w:t>
      </w:r>
    </w:p>
    <w:p w:rsidR="00053300" w:rsidRDefault="00053300">
      <w:pPr>
        <w:pStyle w:val="Heading1"/>
      </w:pPr>
      <w:bookmarkStart w:id="39" w:name="h40"/>
    </w:p>
    <w:p w:rsidR="00053300" w:rsidRDefault="00053300">
      <w:pPr>
        <w:pStyle w:val="Heading1"/>
      </w:pPr>
    </w:p>
    <w:p w:rsidR="00053300" w:rsidRDefault="00053300">
      <w:pPr>
        <w:pStyle w:val="Heading1"/>
      </w:pPr>
    </w:p>
    <w:p w:rsidR="00800B14" w:rsidRDefault="00E57AC6">
      <w:pPr>
        <w:pStyle w:val="Heading1"/>
      </w:pPr>
      <w:bookmarkStart w:id="40" w:name="_GoBack"/>
      <w:bookmarkEnd w:id="40"/>
      <w:r>
        <w:t>12. Validation and Next Steps</w:t>
      </w:r>
      <w:bookmarkEnd w:id="39"/>
    </w:p>
    <w:p w:rsidR="00800B14" w:rsidRDefault="00E57AC6">
      <w:pPr>
        <w:pStyle w:val="ListParagraph"/>
        <w:numPr>
          <w:ilvl w:val="0"/>
          <w:numId w:val="3"/>
        </w:numPr>
        <w:spacing w:after="70" w:line="272" w:lineRule="auto"/>
      </w:pPr>
      <w:r>
        <w:t>Provide the item-level Extrusion register and the full 549-SKU Spares register.</w:t>
      </w:r>
    </w:p>
    <w:p w:rsidR="00800B14" w:rsidRDefault="00E57AC6">
      <w:pPr>
        <w:pStyle w:val="ListParagraph"/>
        <w:numPr>
          <w:ilvl w:val="0"/>
          <w:numId w:val="3"/>
        </w:numPr>
        <w:spacing w:after="70" w:line="272" w:lineRule="auto"/>
      </w:pPr>
      <w:r>
        <w:t>Resolve the audit findings D-04, D-05 and D-07 with the workbook owners.</w:t>
      </w:r>
    </w:p>
    <w:p w:rsidR="00800B14" w:rsidRDefault="00E57AC6">
      <w:pPr>
        <w:pStyle w:val="ListParagraph"/>
        <w:numPr>
          <w:ilvl w:val="0"/>
          <w:numId w:val="3"/>
        </w:numPr>
        <w:spacing w:after="70" w:line="272" w:lineRule="auto"/>
      </w:pPr>
      <w:r>
        <w:t>Confirm lead-time and safety-day values with Purchase and the Stores.</w:t>
      </w:r>
    </w:p>
    <w:p w:rsidR="00800B14" w:rsidRDefault="00E57AC6">
      <w:pPr>
        <w:pStyle w:val="ListParagraph"/>
        <w:numPr>
          <w:ilvl w:val="0"/>
          <w:numId w:val="3"/>
        </w:numPr>
        <w:spacing w:after="70" w:line="272" w:lineRule="auto"/>
      </w:pPr>
      <w:r>
        <w:t>Decide on the rounding and day-ba</w:t>
      </w:r>
      <w:r>
        <w:t>sis (30 days) for daily consumption.</w:t>
      </w:r>
    </w:p>
    <w:p w:rsidR="00800B14" w:rsidRDefault="00E57AC6">
      <w:pPr>
        <w:pStyle w:val="ListParagraph"/>
        <w:numPr>
          <w:ilvl w:val="0"/>
          <w:numId w:val="3"/>
        </w:numPr>
        <w:spacing w:after="70" w:line="272" w:lineRule="auto"/>
      </w:pPr>
      <w:r>
        <w:t>Link the ROP and safety-stock formulas to the input columns.</w:t>
      </w:r>
    </w:p>
    <w:p w:rsidR="00800B14" w:rsidRDefault="00E57AC6">
      <w:pPr>
        <w:pStyle w:val="ListParagraph"/>
        <w:numPr>
          <w:ilvl w:val="0"/>
          <w:numId w:val="3"/>
        </w:numPr>
        <w:spacing w:after="70" w:line="272" w:lineRule="auto"/>
      </w:pPr>
      <w:r>
        <w:t>Agree one set of FSN thresholds, or document why they differ.</w:t>
      </w:r>
    </w:p>
    <w:p w:rsidR="00800B14" w:rsidRDefault="00E57AC6">
      <w:pPr>
        <w:pStyle w:val="ListParagraph"/>
        <w:numPr>
          <w:ilvl w:val="0"/>
          <w:numId w:val="3"/>
        </w:numPr>
        <w:spacing w:after="70" w:line="272" w:lineRule="auto"/>
      </w:pPr>
      <w:r>
        <w:t>Carry the validated Fast / Slow / Non-moving lists into the rack designing, binning, labeling, F</w:t>
      </w:r>
      <w:r>
        <w:t>IFO, kitting and Kanban workstreams.</w:t>
      </w:r>
    </w:p>
    <w:p w:rsidR="00800B14" w:rsidRDefault="00E57AC6">
      <w:pPr>
        <w:pStyle w:val="Heading1"/>
        <w:pageBreakBefore/>
      </w:pPr>
      <w:bookmarkStart w:id="41" w:name="h42"/>
      <w:r>
        <w:lastRenderedPageBreak/>
        <w:t>Appendix A: Spares Register (51 SKUs)</w:t>
      </w:r>
      <w:bookmarkEnd w:id="41"/>
    </w:p>
    <w:p w:rsidR="00800B14" w:rsidRDefault="00E57AC6">
      <w:pPr>
        <w:spacing w:after="120" w:line="276" w:lineRule="auto"/>
      </w:pPr>
      <w:r>
        <w:t>Values as in the Spares Register sheet, ordered by six-month consumption. Safety stock and ROP follow the workbook formulas (daily × 10 and daily × 30).</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
        <w:gridCol w:w="1000"/>
        <w:gridCol w:w="2700"/>
        <w:gridCol w:w="1000"/>
        <w:gridCol w:w="900"/>
        <w:gridCol w:w="750"/>
        <w:gridCol w:w="900"/>
        <w:gridCol w:w="1000"/>
        <w:gridCol w:w="900"/>
      </w:tblGrid>
      <w:tr w:rsidR="00800B14">
        <w:tblPrEx>
          <w:tblCellMar>
            <w:top w:w="0" w:type="dxa"/>
            <w:bottom w:w="0" w:type="dxa"/>
          </w:tblCellMar>
        </w:tblPrEx>
        <w:trPr>
          <w:cantSplit/>
          <w:tblHeader/>
        </w:trPr>
        <w:tc>
          <w:tcPr>
            <w:tcW w:w="45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Sr</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Code</w:t>
            </w:r>
          </w:p>
        </w:tc>
        <w:tc>
          <w:tcPr>
            <w:tcW w:w="2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Spare</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Total (6M)</w:t>
            </w:r>
          </w:p>
        </w:tc>
        <w:tc>
          <w:tcPr>
            <w:tcW w:w="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Avg monthly</w:t>
            </w:r>
          </w:p>
        </w:tc>
        <w:tc>
          <w:tcPr>
            <w:tcW w:w="75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Avg daily</w:t>
            </w:r>
          </w:p>
        </w:tc>
        <w:tc>
          <w:tcPr>
            <w:tcW w:w="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Safety stock</w:t>
            </w:r>
          </w:p>
        </w:tc>
        <w:tc>
          <w:tcPr>
            <w:tcW w:w="10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ROP</w:t>
            </w:r>
          </w:p>
        </w:tc>
        <w:tc>
          <w:tcPr>
            <w:tcW w:w="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Class</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187</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SI/SP-61.3</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GRILLE BLACK BUSH</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898,274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149,712</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4,990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49,900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149,700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195</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SI/SP-79.2</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POP RIVET (1/8 x 1/4)</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604,016</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100,669</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3,356</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33,560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100,680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424</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SI/SP-66.1</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GRILLE DAMPER BUSH</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316,270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52,712</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1,757</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17,570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52,710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415</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SI/SP-109.7</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OBD SELF TAPPING SCREW 3.5X13</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270,892</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45,149</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1,505</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15,050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45,150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194</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SI/SP-79.1</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POP RIVET (1/8 x 3/8)</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200,472</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33,412</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1,114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11,140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33,420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250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SI/SP-109.3</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GRILLE SCREW</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180,967</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30,161</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1,005</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10,050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30,150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425</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SI/SP-66.2</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GRILLE DAMPER BUSH - DOWN SIDE</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172,508</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28,751</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958</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9,580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28,740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251</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SI/SP-109.4</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GRILLE SCREW</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164,465</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27,411</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914</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9,140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27,420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426</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SI/SP-66.3</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GRILLE DAMPER BUSH - UP SIDE</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151,133</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25,189</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840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8,400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25,200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159</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SI/SP-24.1</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BUTTERFLY (INNER)</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139,247</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23,208</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774</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7,740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23,220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197</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SI/SP-80.2</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AL RIVET (3 x 5)</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114,504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19,084</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636</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6,360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19,080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8</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SI/SP-1.4</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SIDE SPACER - 12 mm</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109,258</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18,210</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607</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6,070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18,210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23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SI/SP-2.1</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"L" CORNER</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103,300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17,217</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574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5,740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17,220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423</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SI/SP-79.7</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POP RIVET BLACK COATING 1/8x1/4</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100,180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16,697</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557</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5,570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16,710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422</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SI/SP-338</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NEW SLOT DIFFUSER SPRING</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94,695</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15,783</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526</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5,260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15,780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189</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SI/SP-63</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DIFFUSER WHITE BUSH</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75,955</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12,659</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422</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4,220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12,660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421</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SI/SP-1.20</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SLOT SPACER - 42.8 mm</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72,032</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12,005</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400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4,000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12,000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53</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SI/SP-6.10</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ALUMINIUM ROD</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65,820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10,970</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366</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3,660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10,980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190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SI/SP-65</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SW HELICAL BUSH</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64,806</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10,801</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360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3,600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10,800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175</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SI/SP-45</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LIVER GUN</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63,710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10,618</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354</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3,540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10,620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B</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119</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SI/SP-13.2</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DIFFUSER SPRING</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61,751</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10,292</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343</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3,430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10,290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B</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10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SI/SP-1.6</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SIDE SPACER - 16 mm</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56,287</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9,381</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313</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3,130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9,390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B</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6</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SI/SP-1.2</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SIDE SPACER - 9 mm</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55,248</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9,208</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307</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3,070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9,210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B</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269</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SI/SP-121</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S.S. CORNER-90°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54,709</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9,118</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304</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3,040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9,120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B</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160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SI/SP-24.2</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BUTTERFLY (OUTER)</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54,078</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9,013</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300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3,000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9,000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B</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47</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SI/SP-6.4</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ALUMINIUM ROD</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50,759</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8,460</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282</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2,820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8,460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B</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357</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SI/CP-11.1</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SQ INN - 150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48,610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8,102</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270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2,700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8,100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B</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358</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SI/CP-11.2</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SQ INN - 225</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48,458</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8,076</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269</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2,690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8,070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B</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292</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SI/SP-236</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PRODUCT STICKER</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48,457</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8,076</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269</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2,690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8,070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B</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439</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SI/SP-109.20</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OBD ROD SCREW 4.3X12</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48,158</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8,026</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268</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2,680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8,040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B</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188</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SI/SP-62</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DD WHITE BUSH</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41,944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6,991</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233</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2,330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6,990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B</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266</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SI/SP-120.3</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M C REMOVABLE CORE</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14,106</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2,351</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78</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780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2,340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33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SI/SP-3.6</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AL. CORNER - RIGHT</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14,104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2,351</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78</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780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2,340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lastRenderedPageBreak/>
              <w:t>36</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SI/SP-5.2</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GRILLE AL. BUSH (11mm)</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13,670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2,278</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76</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760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2,280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180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SI/SP-124</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SQUARE DIFFUSER VATI</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13,152</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2,192</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73</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730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2,190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261</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SI/SP-119.6</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FLUSH REMOVABLE CORE</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12,914</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2,152</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72</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720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2,160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373</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SI/CP-15.3</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SQ MC - 375</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12,864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2,144</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71</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710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2,130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260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SI/SP-119.5</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FLUSH REMOVABLE CORE</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10,998</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1,833</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61</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610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1,830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374</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SI/CP-15.4</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SQ MC - 450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10,676</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1,779</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59</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590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1,770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376</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SI/CP-15.6</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SQ MC - 550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9,168</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1,528</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51</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510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1,530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377</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SI/CP-15.7</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SQ MC - 625</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8,840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1,473</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49</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490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1,470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5</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SI/SP-1.5</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SIDE SPACER - 13 mm</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7</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SI/SP-1.7</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SIDE SPACER - 34 mm</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9</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SI/SP-1.8</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SIDE SPACER - 52 mm</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11</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SI/SP-1.12</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SIDE SPACER - 25 mm</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12</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SI/SP-1.15</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SIDE SPACER - 29 mm</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25</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SI/SP-2.3</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"L" CORNER</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35</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SI/SP-5.5</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AL. BUSH (12)</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36</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SI/SP-5.6</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AL. BUSH (8)</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37</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SI/SP-5.10</w:t>
            </w:r>
          </w:p>
        </w:tc>
        <w:tc>
          <w:tcPr>
            <w:tcW w:w="2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AL. BUSH (11.5)</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10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r>
      <w:tr w:rsidR="00800B14">
        <w:tblPrEx>
          <w:tblCellMar>
            <w:top w:w="0" w:type="dxa"/>
            <w:bottom w:w="0" w:type="dxa"/>
          </w:tblCellMar>
        </w:tblPrEx>
        <w:trPr>
          <w:cantSplit/>
        </w:trPr>
        <w:tc>
          <w:tcPr>
            <w:tcW w:w="4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color w:val="0B2545"/>
                <w:sz w:val="14"/>
                <w:szCs w:val="14"/>
              </w:rPr>
              <w:t>48</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4"/>
                <w:szCs w:val="14"/>
              </w:rPr>
              <w:t>SI/SP-6.6</w:t>
            </w:r>
          </w:p>
        </w:tc>
        <w:tc>
          <w:tcPr>
            <w:tcW w:w="2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4"/>
                <w:szCs w:val="14"/>
              </w:rPr>
              <w:t>ALUMINIUM ROD</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4"/>
                <w:szCs w:val="14"/>
              </w:rPr>
              <w:t>0</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4"/>
                <w:szCs w:val="14"/>
              </w:rPr>
              <w:t>0</w:t>
            </w:r>
          </w:p>
        </w:tc>
        <w:tc>
          <w:tcPr>
            <w:tcW w:w="10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4"/>
                <w:szCs w:val="14"/>
              </w:rPr>
              <w:t>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4"/>
                <w:szCs w:val="14"/>
              </w:rPr>
              <w:t>NM</w:t>
            </w:r>
          </w:p>
        </w:tc>
      </w:tr>
    </w:tbl>
    <w:p w:rsidR="00800B14" w:rsidRDefault="00E57AC6">
      <w:pPr>
        <w:spacing w:before="80" w:after="200"/>
      </w:pPr>
      <w:r>
        <w:rPr>
          <w:b/>
          <w:bCs/>
          <w:color w:val="0E8C8C"/>
          <w:sz w:val="18"/>
          <w:szCs w:val="18"/>
        </w:rPr>
        <w:t xml:space="preserve">Table </w:t>
      </w:r>
      <w:r>
        <w:rPr>
          <w:i/>
          <w:iCs/>
          <w:color w:val="5B6677"/>
          <w:sz w:val="18"/>
          <w:szCs w:val="18"/>
        </w:rPr>
        <w:t>22 — Spares Register — 51 SKUs (representative subset of 549)</w:t>
      </w:r>
    </w:p>
    <w:p w:rsidR="00800B14" w:rsidRDefault="00E57AC6">
      <w:pPr>
        <w:pStyle w:val="Heading1"/>
        <w:pageBreakBefore/>
      </w:pPr>
      <w:bookmarkStart w:id="42" w:name="h43"/>
      <w:r>
        <w:lastRenderedPageBreak/>
        <w:t>Appendix B: Powder Shades (56)</w:t>
      </w:r>
      <w:bookmarkEnd w:id="42"/>
    </w:p>
    <w:p w:rsidR="00800B14" w:rsidRDefault="00E57AC6">
      <w:pPr>
        <w:spacing w:after="120" w:line="276" w:lineRule="auto"/>
      </w:pPr>
      <w:r>
        <w:t>Values from the Powder Raw Data sheet, ordered by consumption. Share and cumulative share are recomputed by this report.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
        <w:gridCol w:w="1150"/>
        <w:gridCol w:w="2200"/>
        <w:gridCol w:w="900"/>
        <w:gridCol w:w="850"/>
        <w:gridCol w:w="700"/>
        <w:gridCol w:w="800"/>
        <w:gridCol w:w="700"/>
        <w:gridCol w:w="600"/>
        <w:gridCol w:w="750"/>
      </w:tblGrid>
      <w:tr w:rsidR="00800B14">
        <w:tblPrEx>
          <w:tblCellMar>
            <w:top w:w="0" w:type="dxa"/>
            <w:bottom w:w="0" w:type="dxa"/>
          </w:tblCellMar>
        </w:tblPrEx>
        <w:trPr>
          <w:cantSplit/>
          <w:tblHeader/>
        </w:trPr>
        <w:tc>
          <w:tcPr>
            <w:tcW w:w="42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w:t>
            </w:r>
          </w:p>
        </w:tc>
        <w:tc>
          <w:tcPr>
            <w:tcW w:w="115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Code</w:t>
            </w:r>
          </w:p>
        </w:tc>
        <w:tc>
          <w:tcPr>
            <w:tcW w:w="22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Shade</w:t>
            </w:r>
          </w:p>
        </w:tc>
        <w:tc>
          <w:tcPr>
            <w:tcW w:w="9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Total (6M)</w:t>
            </w:r>
          </w:p>
        </w:tc>
        <w:tc>
          <w:tcPr>
            <w:tcW w:w="85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Avg monthly</w:t>
            </w:r>
          </w:p>
        </w:tc>
        <w:tc>
          <w:tcPr>
            <w:tcW w:w="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Avg daily</w:t>
            </w:r>
          </w:p>
        </w:tc>
        <w:tc>
          <w:tcPr>
            <w:tcW w:w="8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Safety stock</w:t>
            </w:r>
          </w:p>
        </w:tc>
        <w:tc>
          <w:tcPr>
            <w:tcW w:w="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ROP</w:t>
            </w:r>
          </w:p>
        </w:tc>
        <w:tc>
          <w:tcPr>
            <w:tcW w:w="6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Class</w:t>
            </w:r>
          </w:p>
        </w:tc>
        <w:tc>
          <w:tcPr>
            <w:tcW w:w="75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4"/>
                <w:szCs w:val="14"/>
              </w:rPr>
              <w:t>Cum. %</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SI-SP-284.1</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9016 Matt</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7,410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1,235</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41</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123</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533</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38.2</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2</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SI/SP-285.13</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Satin Black 944</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6,190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1,032</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34</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102</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442</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A</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70.2</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3</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SI/SP-284.5</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Glossy 9010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1,072</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179</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6</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18</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78</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A</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75.7</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4</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SI/SP-285.4</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9010 Matt</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1,072</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179</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18</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78</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B</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81.2</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5</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SI-SP-285.34</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Pu Ral 9010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621</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104</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39</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B</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84.4</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6</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SI/SP-285.5</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Pp Ral 9003</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446</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74</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26</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B</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86.7</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7</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SI/SP-285.14</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7044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436</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73</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6</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26</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B</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89.0</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8</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SI/SP-285.32</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7035</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357</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26</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B</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90.8</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9</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SI/SP-285.7</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9002 Matt</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277</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46</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6</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26</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B</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92.2</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10</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SI/SP-285.3</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9001</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248</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41</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13</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B</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93.5</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11</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SI/SP-285.22</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7024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200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33</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13</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B</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94.6</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12</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SI/SP-285.20</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7037</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133</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22</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13</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95.2</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13</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SI/SP-285.37</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Strc Ral 9010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112</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19</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13</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95.8</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14</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SI/SP-285.30</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9012</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105</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18</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13</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96.4</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15</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Pu Usha Beige</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100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17</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13</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96.9</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16</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Everine White</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78</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13</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97.3</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17</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SI/SP-285.33</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7047</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78</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13</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97.7</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18</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SI/SP-285.24</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Pu Ral 7016</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61</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98.0</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19</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9004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60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98.3</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20</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Pp Satin Light Beige</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98.6</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21</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7043</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57</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98.9</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22</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1035</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50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8</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99.2</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23</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7023 Matt</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40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99.4</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24</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SI/SP-285.29</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7021</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34</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6</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99.6</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25</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SI/SP-285.28</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7040</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20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99.7</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26</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SI/SP-285.25</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7006</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20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99.8</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27</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SI/SP-285.31</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7045</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17</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99.8</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28</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7001</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15</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3</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99.9</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29</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SI-SP-285.35</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Pu 1013 Matt</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7</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100.0</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30</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7038 Grey Matt</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5</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100.0</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31</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Pu Ral 7046</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3</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C</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100.0</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32</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SI-SP-284.3</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Broken White Matt 510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33</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SI/SP-286</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7011 Matt</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lastRenderedPageBreak/>
              <w:t>34</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SI/SP-285.16</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Metallic Wonder Grey</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35</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SI/SP-285.6</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Pu White</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36</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SI/SP-285.17</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Metallic Ncs Red</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37</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SI/SP-285.5</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9003 Matt</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38</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SI/SP-285.18</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7039 Matt</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39</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SI/SP-285.9</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7012</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40</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SI/SP-285.10</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7030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41</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SI/SP-285.12</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9006 Pu</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42</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SI/SP-285.19</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905</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43</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7042</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44</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7015</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45</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7022</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46</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SI/SP-285.12</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9006</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47</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Pu Ral 7004</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48</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2003</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49</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SI/SP-285.21</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9023</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50</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SI/SP-285.27</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Pu Ral 9016 Matt</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51</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Golden Brown Matt</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52</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SI/SP-285.1</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Ral 1013</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53</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SI/SP-285.23</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7004 Matt</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color w:val="0B2545"/>
                <w:sz w:val="14"/>
                <w:szCs w:val="14"/>
              </w:rPr>
              <w:t>54</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SI-SP-285.35</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Pu 8019 Matt</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color w:val="0B2545"/>
                <w:sz w:val="14"/>
                <w:szCs w:val="14"/>
              </w:rPr>
              <w:t>55</w:t>
            </w:r>
          </w:p>
        </w:tc>
        <w:tc>
          <w:tcPr>
            <w:tcW w:w="11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c>
          <w:tcPr>
            <w:tcW w:w="22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Ral 7034 Matt</w:t>
            </w:r>
          </w:p>
        </w:tc>
        <w:tc>
          <w:tcPr>
            <w:tcW w:w="9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4"/>
                <w:szCs w:val="14"/>
              </w:rPr>
              <w:t>—</w:t>
            </w:r>
          </w:p>
        </w:tc>
      </w:tr>
      <w:tr w:rsidR="00800B14">
        <w:tblPrEx>
          <w:tblCellMar>
            <w:top w:w="0" w:type="dxa"/>
            <w:bottom w:w="0" w:type="dxa"/>
          </w:tblCellMar>
        </w:tblPrEx>
        <w:trPr>
          <w:cantSplit/>
        </w:trPr>
        <w:tc>
          <w:tcPr>
            <w:tcW w:w="42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color w:val="0B2545"/>
                <w:sz w:val="14"/>
                <w:szCs w:val="14"/>
              </w:rPr>
              <w:t>56</w:t>
            </w:r>
          </w:p>
        </w:tc>
        <w:tc>
          <w:tcPr>
            <w:tcW w:w="11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4"/>
                <w:szCs w:val="14"/>
              </w:rPr>
              <w:t>SI/SP-285.26</w:t>
            </w:r>
          </w:p>
        </w:tc>
        <w:tc>
          <w:tcPr>
            <w:tcW w:w="22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4"/>
                <w:szCs w:val="14"/>
              </w:rPr>
              <w:t>Ral 7010</w:t>
            </w:r>
          </w:p>
        </w:tc>
        <w:tc>
          <w:tcPr>
            <w:tcW w:w="9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4"/>
                <w:szCs w:val="14"/>
              </w:rPr>
              <w:t>0</w:t>
            </w:r>
          </w:p>
        </w:tc>
        <w:tc>
          <w:tcPr>
            <w:tcW w:w="8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4"/>
                <w:szCs w:val="14"/>
              </w:rPr>
              <w:t>0</w:t>
            </w:r>
          </w:p>
        </w:tc>
        <w:tc>
          <w:tcPr>
            <w:tcW w:w="8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4"/>
                <w:szCs w:val="14"/>
              </w:rPr>
              <w:t>0</w:t>
            </w:r>
          </w:p>
        </w:tc>
        <w:tc>
          <w:tcPr>
            <w:tcW w:w="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4"/>
                <w:szCs w:val="14"/>
              </w:rPr>
              <w:t>0</w:t>
            </w:r>
          </w:p>
        </w:tc>
        <w:tc>
          <w:tcPr>
            <w:tcW w:w="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4"/>
                <w:szCs w:val="14"/>
              </w:rPr>
              <w:t>NM</w:t>
            </w:r>
          </w:p>
        </w:tc>
        <w:tc>
          <w:tcPr>
            <w:tcW w:w="75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keepNext/>
              <w:spacing w:after="40" w:line="250" w:lineRule="auto"/>
            </w:pPr>
            <w:r>
              <w:rPr>
                <w:sz w:val="14"/>
                <w:szCs w:val="14"/>
              </w:rPr>
              <w:t>—</w:t>
            </w:r>
          </w:p>
        </w:tc>
      </w:tr>
    </w:tbl>
    <w:p w:rsidR="00800B14" w:rsidRDefault="00E57AC6">
      <w:pPr>
        <w:spacing w:before="80" w:after="200"/>
      </w:pPr>
      <w:r>
        <w:rPr>
          <w:b/>
          <w:bCs/>
          <w:color w:val="0E8C8C"/>
          <w:sz w:val="18"/>
          <w:szCs w:val="18"/>
        </w:rPr>
        <w:t xml:space="preserve">Table </w:t>
      </w:r>
      <w:r>
        <w:rPr>
          <w:i/>
          <w:iCs/>
          <w:color w:val="5B6677"/>
          <w:sz w:val="18"/>
          <w:szCs w:val="18"/>
        </w:rPr>
        <w:t>23 — Powder shades — raw data with recomputed cumulative share</w:t>
      </w:r>
    </w:p>
    <w:p w:rsidR="00800B14" w:rsidRDefault="00E57AC6">
      <w:pPr>
        <w:pStyle w:val="Heading1"/>
        <w:pageBreakBefore/>
      </w:pPr>
      <w:bookmarkStart w:id="43" w:name="h44"/>
      <w:r>
        <w:lastRenderedPageBreak/>
        <w:t>Appendix C: Formula Audit Trail</w:t>
      </w:r>
      <w:bookmarkEnd w:id="43"/>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1700"/>
        <w:gridCol w:w="3500"/>
        <w:gridCol w:w="2806"/>
      </w:tblGrid>
      <w:tr w:rsidR="00800B14">
        <w:tblPrEx>
          <w:tblCellMar>
            <w:top w:w="0" w:type="dxa"/>
            <w:bottom w:w="0" w:type="dxa"/>
          </w:tblCellMar>
        </w:tblPrEx>
        <w:trPr>
          <w:cantSplit/>
          <w:tblHeader/>
        </w:trPr>
        <w:tc>
          <w:tcPr>
            <w:tcW w:w="16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5"/>
                <w:szCs w:val="15"/>
              </w:rPr>
              <w:t>Sheet</w:t>
            </w:r>
          </w:p>
        </w:tc>
        <w:tc>
          <w:tcPr>
            <w:tcW w:w="17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5"/>
                <w:szCs w:val="15"/>
              </w:rPr>
              <w:t>Cell / column</w:t>
            </w:r>
          </w:p>
        </w:tc>
        <w:tc>
          <w:tcPr>
            <w:tcW w:w="3500"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5"/>
                <w:szCs w:val="15"/>
              </w:rPr>
              <w:t>Formula</w:t>
            </w:r>
          </w:p>
        </w:tc>
        <w:tc>
          <w:tcPr>
            <w:tcW w:w="2806" w:type="dxa"/>
            <w:tcBorders>
              <w:top w:val="single" w:sz="4" w:space="0" w:color="C9D1DB"/>
              <w:left w:val="single" w:sz="4" w:space="0" w:color="C9D1DB"/>
              <w:bottom w:val="single" w:sz="4" w:space="0" w:color="C9D1DB"/>
              <w:right w:val="single" w:sz="4" w:space="0" w:color="C9D1DB"/>
            </w:tcBorders>
            <w:shd w:val="clear" w:color="auto" w:fill="0B2545"/>
            <w:tcMar>
              <w:top w:w="70" w:type="dxa"/>
              <w:left w:w="90" w:type="dxa"/>
              <w:bottom w:w="70" w:type="dxa"/>
              <w:right w:w="90" w:type="dxa"/>
            </w:tcMar>
            <w:vAlign w:val="center"/>
          </w:tcPr>
          <w:p w:rsidR="00800B14" w:rsidRDefault="00E57AC6">
            <w:pPr>
              <w:spacing w:after="40" w:line="250" w:lineRule="auto"/>
            </w:pPr>
            <w:r>
              <w:rPr>
                <w:b/>
                <w:bCs/>
                <w:color w:val="FFFFFF"/>
                <w:sz w:val="15"/>
                <w:szCs w:val="15"/>
              </w:rPr>
              <w:t>Result for first data row</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Spares Register</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K (Total)</w:t>
            </w:r>
          </w:p>
        </w:tc>
        <w:tc>
          <w:tcPr>
            <w:tcW w:w="3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=SUM(E2:J2)</w:t>
            </w:r>
          </w:p>
        </w:tc>
        <w:tc>
          <w:tcPr>
            <w:tcW w:w="28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898,274</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Spares Register</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L (Avg Monthly)</w:t>
            </w:r>
          </w:p>
        </w:tc>
        <w:tc>
          <w:tcPr>
            <w:tcW w:w="3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=ROUND(AVERAGE(E2:J2),0)</w:t>
            </w:r>
          </w:p>
        </w:tc>
        <w:tc>
          <w:tcPr>
            <w:tcW w:w="28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149,712</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Spares Register</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M (Avg Daily)</w:t>
            </w:r>
          </w:p>
        </w:tc>
        <w:tc>
          <w:tcPr>
            <w:tcW w:w="3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=ROUND(L2/30,0)</w:t>
            </w:r>
          </w:p>
        </w:tc>
        <w:tc>
          <w:tcPr>
            <w:tcW w:w="28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4,990</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Spares Register</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P (Safety Stock)</w:t>
            </w:r>
          </w:p>
        </w:tc>
        <w:tc>
          <w:tcPr>
            <w:tcW w:w="3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=M2*10</w:t>
            </w:r>
          </w:p>
        </w:tc>
        <w:tc>
          <w:tcPr>
            <w:tcW w:w="28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49,900</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Spares Register</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Q (ROP)</w:t>
            </w:r>
          </w:p>
        </w:tc>
        <w:tc>
          <w:tcPr>
            <w:tcW w:w="3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=M2*30</w:t>
            </w:r>
          </w:p>
        </w:tc>
        <w:tc>
          <w:tcPr>
            <w:tcW w:w="28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149,700</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Spares Register</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K53</w:t>
            </w:r>
          </w:p>
        </w:tc>
        <w:tc>
          <w:tcPr>
            <w:tcW w:w="3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=SUM(K2:K52)</w:t>
            </w:r>
          </w:p>
        </w:tc>
        <w:tc>
          <w:tcPr>
            <w:tcW w:w="28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4,651,455</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Powder Raw Data</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K (Total)</w:t>
            </w:r>
          </w:p>
        </w:tc>
        <w:tc>
          <w:tcPr>
            <w:tcW w:w="3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=SUM(E2:J2)</w:t>
            </w:r>
          </w:p>
        </w:tc>
        <w:tc>
          <w:tcPr>
            <w:tcW w:w="28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7,410</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Powder Raw Data</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L (Avg Monthly)</w:t>
            </w:r>
          </w:p>
        </w:tc>
        <w:tc>
          <w:tcPr>
            <w:tcW w:w="3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=ROUND(AVERAGE(E2:J2),0)</w:t>
            </w:r>
          </w:p>
        </w:tc>
        <w:tc>
          <w:tcPr>
            <w:tcW w:w="28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1,235</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Powder Raw Data</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P (Avg Daily)</w:t>
            </w:r>
          </w:p>
        </w:tc>
        <w:tc>
          <w:tcPr>
            <w:tcW w:w="3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=ROUND(L2/30,0)</w:t>
            </w:r>
          </w:p>
        </w:tc>
        <w:tc>
          <w:tcPr>
            <w:tcW w:w="28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41</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Powder Raw Data</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S (Safety Stock)</w:t>
            </w:r>
          </w:p>
        </w:tc>
        <w:tc>
          <w:tcPr>
            <w:tcW w:w="3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=P2*3</w:t>
            </w:r>
          </w:p>
        </w:tc>
        <w:tc>
          <w:tcPr>
            <w:tcW w:w="28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123</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Powder Raw Data</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T (ROP)</w:t>
            </w:r>
          </w:p>
        </w:tc>
        <w:tc>
          <w:tcPr>
            <w:tcW w:w="3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=P2*13</w:t>
            </w:r>
          </w:p>
        </w:tc>
        <w:tc>
          <w:tcPr>
            <w:tcW w:w="28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533</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Powder Raw Data</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M, N</w:t>
            </w:r>
          </w:p>
        </w:tc>
        <w:tc>
          <w:tcPr>
            <w:tcW w:w="3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Typed values / “—” (no formulas)</w:t>
            </w:r>
          </w:p>
        </w:tc>
        <w:tc>
          <w:tcPr>
            <w:tcW w:w="28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b/>
                <w:bCs/>
                <w:color w:val="0B2545"/>
                <w:sz w:val="15"/>
                <w:szCs w:val="15"/>
              </w:rPr>
              <w:t>Powder Exec. Summary</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H57:H67 (ROP)</w:t>
            </w:r>
          </w:p>
        </w:tc>
        <w:tc>
          <w:tcPr>
            <w:tcW w:w="3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=D57*13 …</w:t>
            </w:r>
          </w:p>
        </w:tc>
        <w:tc>
          <w:tcPr>
            <w:tcW w:w="28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spacing w:after="40" w:line="250" w:lineRule="auto"/>
            </w:pPr>
            <w:r>
              <w:rPr>
                <w:sz w:val="15"/>
                <w:szCs w:val="15"/>
              </w:rPr>
              <w:t>533</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b/>
                <w:bCs/>
                <w:color w:val="0B2545"/>
                <w:sz w:val="15"/>
                <w:szCs w:val="15"/>
              </w:rPr>
              <w:t>Powder Exec. Summary</w:t>
            </w:r>
          </w:p>
        </w:tc>
        <w:tc>
          <w:tcPr>
            <w:tcW w:w="17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J53</w:t>
            </w:r>
          </w:p>
        </w:tc>
        <w:tc>
          <w:tcPr>
            <w:tcW w:w="3500"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=ROUND(AVERAGE(J21:J52),0)</w:t>
            </w:r>
          </w:p>
        </w:tc>
        <w:tc>
          <w:tcPr>
            <w:tcW w:w="2806" w:type="dxa"/>
            <w:tcBorders>
              <w:top w:val="single" w:sz="4" w:space="0" w:color="C9D1DB"/>
              <w:left w:val="single" w:sz="4" w:space="0" w:color="C9D1DB"/>
              <w:bottom w:val="single" w:sz="4" w:space="0" w:color="C9D1DB"/>
              <w:right w:val="single" w:sz="4" w:space="0" w:color="C9D1DB"/>
            </w:tcBorders>
            <w:shd w:val="clear" w:color="auto" w:fill="F2F4F7"/>
            <w:tcMar>
              <w:top w:w="70" w:type="dxa"/>
              <w:left w:w="90" w:type="dxa"/>
              <w:bottom w:w="70" w:type="dxa"/>
              <w:right w:w="90" w:type="dxa"/>
            </w:tcMar>
          </w:tcPr>
          <w:p w:rsidR="00800B14" w:rsidRDefault="00E57AC6">
            <w:pPr>
              <w:spacing w:after="40" w:line="250" w:lineRule="auto"/>
            </w:pPr>
            <w:r>
              <w:rPr>
                <w:sz w:val="15"/>
                <w:szCs w:val="15"/>
              </w:rPr>
              <w:t>98</w:t>
            </w:r>
          </w:p>
        </w:tc>
      </w:tr>
      <w:tr w:rsidR="00800B14">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b/>
                <w:bCs/>
                <w:color w:val="0B2545"/>
                <w:sz w:val="15"/>
                <w:szCs w:val="15"/>
              </w:rPr>
              <w:t>Extrusion Dashboard</w:t>
            </w:r>
          </w:p>
        </w:tc>
        <w:tc>
          <w:tcPr>
            <w:tcW w:w="17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All cells</w:t>
            </w:r>
          </w:p>
        </w:tc>
        <w:tc>
          <w:tcPr>
            <w:tcW w:w="3500"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No formulas (typed text)</w:t>
            </w:r>
          </w:p>
        </w:tc>
        <w:tc>
          <w:tcPr>
            <w:tcW w:w="2806" w:type="dxa"/>
            <w:tcBorders>
              <w:top w:val="single" w:sz="4" w:space="0" w:color="C9D1DB"/>
              <w:left w:val="single" w:sz="4" w:space="0" w:color="C9D1DB"/>
              <w:bottom w:val="single" w:sz="4" w:space="0" w:color="C9D1DB"/>
              <w:right w:val="single" w:sz="4" w:space="0" w:color="C9D1DB"/>
            </w:tcBorders>
            <w:tcMar>
              <w:top w:w="70" w:type="dxa"/>
              <w:left w:w="90" w:type="dxa"/>
              <w:bottom w:w="70" w:type="dxa"/>
              <w:right w:w="90" w:type="dxa"/>
            </w:tcMar>
          </w:tcPr>
          <w:p w:rsidR="00800B14" w:rsidRDefault="00E57AC6">
            <w:pPr>
              <w:keepNext/>
              <w:spacing w:after="40" w:line="250" w:lineRule="auto"/>
            </w:pPr>
            <w:r>
              <w:rPr>
                <w:sz w:val="15"/>
                <w:szCs w:val="15"/>
              </w:rPr>
              <w:t>—</w:t>
            </w:r>
          </w:p>
        </w:tc>
      </w:tr>
    </w:tbl>
    <w:p w:rsidR="00800B14" w:rsidRDefault="00E57AC6">
      <w:pPr>
        <w:spacing w:before="80" w:after="200"/>
      </w:pPr>
      <w:r>
        <w:rPr>
          <w:b/>
          <w:bCs/>
          <w:color w:val="0E8C8C"/>
          <w:sz w:val="18"/>
          <w:szCs w:val="18"/>
        </w:rPr>
        <w:t xml:space="preserve">Table </w:t>
      </w:r>
      <w:r>
        <w:rPr>
          <w:i/>
          <w:iCs/>
          <w:color w:val="5B6677"/>
          <w:sz w:val="18"/>
          <w:szCs w:val="18"/>
        </w:rPr>
        <w:t>24 — Key formulas found in the workbooks</w:t>
      </w:r>
    </w:p>
    <w:sectPr w:rsidR="00800B14">
      <w:headerReference w:type="default" r:id="rId23"/>
      <w:footerReference w:type="default" r:id="rId24"/>
      <w:headerReference w:type="first" r:id="rId25"/>
      <w:footerReference w:type="first" r:id="rId26"/>
      <w:pgSz w:w="11906" w:h="16838"/>
      <w:pgMar w:top="1300" w:right="1150" w:bottom="1150" w:left="115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7AC6" w:rsidRDefault="00E57AC6">
      <w:r>
        <w:separator/>
      </w:r>
    </w:p>
  </w:endnote>
  <w:endnote w:type="continuationSeparator" w:id="0">
    <w:p w:rsidR="00E57AC6" w:rsidRDefault="00E57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B14" w:rsidRDefault="00E57AC6">
    <w:pPr>
      <w:pBdr>
        <w:top w:val="single" w:sz="4" w:space="4" w:color="C9D1DB"/>
      </w:pBdr>
      <w:tabs>
        <w:tab w:val="right" w:pos="9606"/>
      </w:tabs>
    </w:pPr>
    <w:r>
      <w:rPr>
        <w:color w:val="5B6677"/>
        <w:sz w:val="15"/>
        <w:szCs w:val="15"/>
      </w:rPr>
      <w:t>Draft v0.1  |  Date: To be confirmed  |  Confidential — for review</w:t>
    </w:r>
    <w:r>
      <w:rPr>
        <w:color w:val="5B6677"/>
        <w:sz w:val="15"/>
        <w:szCs w:val="15"/>
      </w:rPr>
      <w:tab/>
      <w:t xml:space="preserve">Page </w:t>
    </w:r>
    <w:r>
      <w:rPr>
        <w:color w:val="5B6677"/>
        <w:sz w:val="15"/>
        <w:szCs w:val="15"/>
      </w:rPr>
      <w:fldChar w:fldCharType="begin"/>
    </w:r>
    <w:r>
      <w:rPr>
        <w:color w:val="5B6677"/>
        <w:sz w:val="15"/>
        <w:szCs w:val="15"/>
      </w:rPr>
      <w:instrText>PAGE</w:instrText>
    </w:r>
    <w:r>
      <w:rPr>
        <w:color w:val="5B6677"/>
        <w:sz w:val="15"/>
        <w:szCs w:val="15"/>
      </w:rPr>
      <w:fldChar w:fldCharType="end"/>
    </w:r>
    <w:r>
      <w:rPr>
        <w:color w:val="5B6677"/>
        <w:sz w:val="15"/>
        <w:szCs w:val="15"/>
      </w:rPr>
      <w:t xml:space="preserve"> of </w:t>
    </w:r>
    <w:r>
      <w:rPr>
        <w:color w:val="5B6677"/>
        <w:sz w:val="15"/>
        <w:szCs w:val="15"/>
      </w:rPr>
      <w:fldChar w:fldCharType="begin"/>
    </w:r>
    <w:r>
      <w:rPr>
        <w:color w:val="5B6677"/>
        <w:sz w:val="15"/>
        <w:szCs w:val="15"/>
      </w:rPr>
      <w:instrText>NUMPAGES</w:instrText>
    </w:r>
    <w:r>
      <w:rPr>
        <w:color w:val="5B6677"/>
        <w:sz w:val="15"/>
        <w:szCs w:val="15"/>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B14" w:rsidRDefault="00800B14"/>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B14" w:rsidRDefault="00E57AC6">
    <w:pPr>
      <w:pBdr>
        <w:top w:val="single" w:sz="4" w:space="4" w:color="C9D1DB"/>
      </w:pBdr>
      <w:tabs>
        <w:tab w:val="right" w:pos="9606"/>
      </w:tabs>
    </w:pPr>
    <w:r>
      <w:rPr>
        <w:color w:val="5B6677"/>
        <w:sz w:val="15"/>
        <w:szCs w:val="15"/>
      </w:rPr>
      <w:t>Draft v0.1  |  Date: To be confirmed  |  Confidential — for review</w:t>
    </w:r>
    <w:r>
      <w:rPr>
        <w:color w:val="5B6677"/>
        <w:sz w:val="15"/>
        <w:szCs w:val="15"/>
      </w:rPr>
      <w:tab/>
      <w:t xml:space="preserve">Page </w:t>
    </w:r>
    <w:r>
      <w:rPr>
        <w:color w:val="5B6677"/>
        <w:sz w:val="15"/>
        <w:szCs w:val="15"/>
      </w:rPr>
      <w:fldChar w:fldCharType="begin"/>
    </w:r>
    <w:r>
      <w:rPr>
        <w:color w:val="5B6677"/>
        <w:sz w:val="15"/>
        <w:szCs w:val="15"/>
      </w:rPr>
      <w:instrText>PAGE</w:instrText>
    </w:r>
    <w:r w:rsidR="00053300">
      <w:rPr>
        <w:color w:val="5B6677"/>
        <w:sz w:val="15"/>
        <w:szCs w:val="15"/>
      </w:rPr>
      <w:fldChar w:fldCharType="separate"/>
    </w:r>
    <w:r w:rsidR="00053300">
      <w:rPr>
        <w:noProof/>
        <w:color w:val="5B6677"/>
        <w:sz w:val="15"/>
        <w:szCs w:val="15"/>
      </w:rPr>
      <w:t>2</w:t>
    </w:r>
    <w:r>
      <w:rPr>
        <w:color w:val="5B6677"/>
        <w:sz w:val="15"/>
        <w:szCs w:val="15"/>
      </w:rPr>
      <w:fldChar w:fldCharType="end"/>
    </w:r>
    <w:r>
      <w:rPr>
        <w:color w:val="5B6677"/>
        <w:sz w:val="15"/>
        <w:szCs w:val="15"/>
      </w:rPr>
      <w:t xml:space="preserve"> of </w:t>
    </w:r>
    <w:r>
      <w:rPr>
        <w:color w:val="5B6677"/>
        <w:sz w:val="15"/>
        <w:szCs w:val="15"/>
      </w:rPr>
      <w:fldChar w:fldCharType="begin"/>
    </w:r>
    <w:r>
      <w:rPr>
        <w:color w:val="5B6677"/>
        <w:sz w:val="15"/>
        <w:szCs w:val="15"/>
      </w:rPr>
      <w:instrText>NUMPAGES</w:instrText>
    </w:r>
    <w:r w:rsidR="00053300">
      <w:rPr>
        <w:color w:val="5B6677"/>
        <w:sz w:val="15"/>
        <w:szCs w:val="15"/>
      </w:rPr>
      <w:fldChar w:fldCharType="separate"/>
    </w:r>
    <w:r w:rsidR="00053300">
      <w:rPr>
        <w:noProof/>
        <w:color w:val="5B6677"/>
        <w:sz w:val="15"/>
        <w:szCs w:val="15"/>
      </w:rPr>
      <w:t>28</w:t>
    </w:r>
    <w:r>
      <w:rPr>
        <w:color w:val="5B6677"/>
        <w:sz w:val="15"/>
        <w:szCs w:val="15"/>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B14" w:rsidRDefault="00800B1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7AC6" w:rsidRDefault="00E57AC6">
      <w:r>
        <w:separator/>
      </w:r>
    </w:p>
  </w:footnote>
  <w:footnote w:type="continuationSeparator" w:id="0">
    <w:p w:rsidR="00E57AC6" w:rsidRDefault="00E57A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B14" w:rsidRDefault="00E57AC6">
    <w:pPr>
      <w:pBdr>
        <w:bottom w:val="single" w:sz="8" w:space="4" w:color="0E8C8C"/>
      </w:pBdr>
    </w:pPr>
    <w:r>
      <w:rPr>
        <w:b/>
        <w:bCs/>
        <w:color w:val="0B2545"/>
        <w:sz w:val="16"/>
        <w:szCs w:val="16"/>
      </w:rPr>
      <w:t>Step 3 — FSN Inventory Analysis &amp; Inventory Rationalization</w:t>
    </w:r>
    <w:r>
      <w:rPr>
        <w:color w:val="5B6677"/>
        <w:sz w:val="16"/>
        <w:szCs w:val="16"/>
      </w:rPr>
      <w:t xml:space="preserve">   |   Store Optimization Project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B14" w:rsidRDefault="00800B14"/>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B14" w:rsidRDefault="00E57AC6">
    <w:pPr>
      <w:pBdr>
        <w:bottom w:val="single" w:sz="8" w:space="4" w:color="0E8C8C"/>
      </w:pBdr>
    </w:pPr>
    <w:r>
      <w:rPr>
        <w:b/>
        <w:bCs/>
        <w:color w:val="0B2545"/>
        <w:sz w:val="16"/>
        <w:szCs w:val="16"/>
      </w:rPr>
      <w:t>Step 3 — FSN Inventory Analysis &amp; Inventory Rationalization</w:t>
    </w:r>
    <w:r>
      <w:rPr>
        <w:color w:val="5B6677"/>
        <w:sz w:val="16"/>
        <w:szCs w:val="16"/>
      </w:rPr>
      <w:t xml:space="preserve">   |   Store Optimization Project</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B14" w:rsidRDefault="00800B14"/>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45EDD"/>
    <w:multiLevelType w:val="hybridMultilevel"/>
    <w:tmpl w:val="1876C5BE"/>
    <w:lvl w:ilvl="0" w:tplc="7D36FB4E">
      <w:start w:val="1"/>
      <w:numFmt w:val="bullet"/>
      <w:lvlText w:val="•"/>
      <w:lvlJc w:val="left"/>
      <w:pPr>
        <w:ind w:left="540" w:hanging="270"/>
      </w:pPr>
      <w:rPr>
        <w:color w:val="0E8C8C"/>
      </w:rPr>
    </w:lvl>
    <w:lvl w:ilvl="1" w:tplc="764A8E6C">
      <w:numFmt w:val="decimal"/>
      <w:lvlText w:val=""/>
      <w:lvlJc w:val="left"/>
    </w:lvl>
    <w:lvl w:ilvl="2" w:tplc="31FAC022">
      <w:numFmt w:val="decimal"/>
      <w:lvlText w:val=""/>
      <w:lvlJc w:val="left"/>
    </w:lvl>
    <w:lvl w:ilvl="3" w:tplc="5EC8A438">
      <w:numFmt w:val="decimal"/>
      <w:lvlText w:val=""/>
      <w:lvlJc w:val="left"/>
    </w:lvl>
    <w:lvl w:ilvl="4" w:tplc="A2C62740">
      <w:numFmt w:val="decimal"/>
      <w:lvlText w:val=""/>
      <w:lvlJc w:val="left"/>
    </w:lvl>
    <w:lvl w:ilvl="5" w:tplc="0BF65498">
      <w:numFmt w:val="decimal"/>
      <w:lvlText w:val=""/>
      <w:lvlJc w:val="left"/>
    </w:lvl>
    <w:lvl w:ilvl="6" w:tplc="BB02E430">
      <w:numFmt w:val="decimal"/>
      <w:lvlText w:val=""/>
      <w:lvlJc w:val="left"/>
    </w:lvl>
    <w:lvl w:ilvl="7" w:tplc="81CCD810">
      <w:numFmt w:val="decimal"/>
      <w:lvlText w:val=""/>
      <w:lvlJc w:val="left"/>
    </w:lvl>
    <w:lvl w:ilvl="8" w:tplc="5E2C3C1C">
      <w:numFmt w:val="decimal"/>
      <w:lvlText w:val=""/>
      <w:lvlJc w:val="left"/>
    </w:lvl>
  </w:abstractNum>
  <w:abstractNum w:abstractNumId="1" w15:restartNumberingAfterBreak="0">
    <w:nsid w:val="14BB7BF4"/>
    <w:multiLevelType w:val="hybridMultilevel"/>
    <w:tmpl w:val="00225480"/>
    <w:lvl w:ilvl="0" w:tplc="2460EE02">
      <w:start w:val="1"/>
      <w:numFmt w:val="bullet"/>
      <w:lvlText w:val="●"/>
      <w:lvlJc w:val="left"/>
      <w:pPr>
        <w:ind w:left="720" w:hanging="360"/>
      </w:pPr>
    </w:lvl>
    <w:lvl w:ilvl="1" w:tplc="7E2841DE">
      <w:start w:val="1"/>
      <w:numFmt w:val="bullet"/>
      <w:lvlText w:val="○"/>
      <w:lvlJc w:val="left"/>
      <w:pPr>
        <w:ind w:left="1440" w:hanging="360"/>
      </w:pPr>
    </w:lvl>
    <w:lvl w:ilvl="2" w:tplc="2EC222A2">
      <w:start w:val="1"/>
      <w:numFmt w:val="bullet"/>
      <w:lvlText w:val="■"/>
      <w:lvlJc w:val="left"/>
      <w:pPr>
        <w:ind w:left="2160" w:hanging="360"/>
      </w:pPr>
    </w:lvl>
    <w:lvl w:ilvl="3" w:tplc="F3604042">
      <w:start w:val="1"/>
      <w:numFmt w:val="bullet"/>
      <w:lvlText w:val="●"/>
      <w:lvlJc w:val="left"/>
      <w:pPr>
        <w:ind w:left="2880" w:hanging="360"/>
      </w:pPr>
    </w:lvl>
    <w:lvl w:ilvl="4" w:tplc="8C04EAB8">
      <w:start w:val="1"/>
      <w:numFmt w:val="bullet"/>
      <w:lvlText w:val="○"/>
      <w:lvlJc w:val="left"/>
      <w:pPr>
        <w:ind w:left="3600" w:hanging="360"/>
      </w:pPr>
    </w:lvl>
    <w:lvl w:ilvl="5" w:tplc="47FAB1B0">
      <w:start w:val="1"/>
      <w:numFmt w:val="bullet"/>
      <w:lvlText w:val="■"/>
      <w:lvlJc w:val="left"/>
      <w:pPr>
        <w:ind w:left="4320" w:hanging="360"/>
      </w:pPr>
    </w:lvl>
    <w:lvl w:ilvl="6" w:tplc="41C0D04E">
      <w:start w:val="1"/>
      <w:numFmt w:val="bullet"/>
      <w:lvlText w:val="●"/>
      <w:lvlJc w:val="left"/>
      <w:pPr>
        <w:ind w:left="5040" w:hanging="360"/>
      </w:pPr>
    </w:lvl>
    <w:lvl w:ilvl="7" w:tplc="C3169474">
      <w:start w:val="1"/>
      <w:numFmt w:val="bullet"/>
      <w:lvlText w:val="●"/>
      <w:lvlJc w:val="left"/>
      <w:pPr>
        <w:ind w:left="5760" w:hanging="360"/>
      </w:pPr>
    </w:lvl>
    <w:lvl w:ilvl="8" w:tplc="B56A3914">
      <w:start w:val="1"/>
      <w:numFmt w:val="bullet"/>
      <w:lvlText w:val="●"/>
      <w:lvlJc w:val="left"/>
      <w:pPr>
        <w:ind w:left="6480" w:hanging="360"/>
      </w:pPr>
    </w:lvl>
  </w:abstractNum>
  <w:abstractNum w:abstractNumId="2" w15:restartNumberingAfterBreak="0">
    <w:nsid w:val="2E924E93"/>
    <w:multiLevelType w:val="hybridMultilevel"/>
    <w:tmpl w:val="52B20938"/>
    <w:lvl w:ilvl="0" w:tplc="0F5EEDC0">
      <w:start w:val="1"/>
      <w:numFmt w:val="decimal"/>
      <w:lvlText w:val="%1."/>
      <w:lvlJc w:val="left"/>
      <w:pPr>
        <w:ind w:left="540" w:hanging="360"/>
      </w:pPr>
      <w:rPr>
        <w:b/>
        <w:bCs/>
        <w:color w:val="0E8C8C"/>
      </w:rPr>
    </w:lvl>
    <w:lvl w:ilvl="1" w:tplc="830CFA1A">
      <w:numFmt w:val="decimal"/>
      <w:lvlText w:val=""/>
      <w:lvlJc w:val="left"/>
    </w:lvl>
    <w:lvl w:ilvl="2" w:tplc="45C2AB62">
      <w:numFmt w:val="decimal"/>
      <w:lvlText w:val=""/>
      <w:lvlJc w:val="left"/>
    </w:lvl>
    <w:lvl w:ilvl="3" w:tplc="5F9C7398">
      <w:numFmt w:val="decimal"/>
      <w:lvlText w:val=""/>
      <w:lvlJc w:val="left"/>
    </w:lvl>
    <w:lvl w:ilvl="4" w:tplc="13C82D52">
      <w:numFmt w:val="decimal"/>
      <w:lvlText w:val=""/>
      <w:lvlJc w:val="left"/>
    </w:lvl>
    <w:lvl w:ilvl="5" w:tplc="1AD248E2">
      <w:numFmt w:val="decimal"/>
      <w:lvlText w:val=""/>
      <w:lvlJc w:val="left"/>
    </w:lvl>
    <w:lvl w:ilvl="6" w:tplc="6E402F00">
      <w:numFmt w:val="decimal"/>
      <w:lvlText w:val=""/>
      <w:lvlJc w:val="left"/>
    </w:lvl>
    <w:lvl w:ilvl="7" w:tplc="898E9CB4">
      <w:numFmt w:val="decimal"/>
      <w:lvlText w:val=""/>
      <w:lvlJc w:val="left"/>
    </w:lvl>
    <w:lvl w:ilvl="8" w:tplc="3B800FD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B14"/>
    <w:rsid w:val="00053300"/>
    <w:rsid w:val="00800B14"/>
    <w:rsid w:val="00E57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1DD60"/>
  <w15:docId w15:val="{45628216-E3E7-4093-8E70-CC77CB3CF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12" w:space="6" w:color="0E8C8C"/>
      </w:pBdr>
      <w:spacing w:before="120" w:after="200"/>
      <w:outlineLvl w:val="0"/>
    </w:pPr>
    <w:rPr>
      <w:b/>
      <w:bCs/>
      <w:color w:val="0B2545"/>
      <w:sz w:val="36"/>
      <w:szCs w:val="36"/>
    </w:rPr>
  </w:style>
  <w:style w:type="paragraph" w:styleId="Heading2">
    <w:name w:val="heading 2"/>
    <w:qFormat/>
    <w:pPr>
      <w:keepNext/>
      <w:spacing w:before="260" w:after="120"/>
      <w:outlineLvl w:val="1"/>
    </w:pPr>
    <w:rPr>
      <w:b/>
      <w:bCs/>
      <w:color w:val="0E8C8C"/>
      <w:sz w:val="28"/>
      <w:szCs w:val="28"/>
    </w:rPr>
  </w:style>
  <w:style w:type="paragraph" w:styleId="Heading3">
    <w:name w:val="heading 3"/>
    <w:qFormat/>
    <w:pPr>
      <w:keepNext/>
      <w:spacing w:before="200" w:after="90"/>
      <w:outlineLvl w:val="2"/>
    </w:pPr>
    <w:rPr>
      <w:b/>
      <w:bCs/>
      <w:color w:val="0B2545"/>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5921</Words>
  <Characters>33753</Characters>
  <Application>Microsoft Office Word</Application>
  <DocSecurity>0</DocSecurity>
  <Lines>281</Lines>
  <Paragraphs>79</Paragraphs>
  <ScaleCrop>false</ScaleCrop>
  <Company/>
  <LinksUpToDate>false</LinksUpToDate>
  <CharactersWithSpaces>39595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3 — FSN Inventory Analysis &amp; Inventory Rationalization</dc:title>
  <dc:creator>Store Optimization Project team</dc:creator>
  <dc:description>v0.1 draft</dc:description>
  <cp:lastModifiedBy>Student</cp:lastModifiedBy>
  <cp:revision>3</cp:revision>
  <dcterms:created xsi:type="dcterms:W3CDTF">2026-10-22T07:34:00Z</dcterms:created>
  <dcterms:modified xsi:type="dcterms:W3CDTF">2026-10-22T08:56:00Z</dcterms:modified>
</cp:coreProperties>
</file>