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2026 Financial Summary Report</w:t>
      </w:r>
    </w:p>
    <w:p>
      <w:r>
        <w:t>Precision Textile Industry Ltd. — Finance Department</w:t>
      </w:r>
    </w:p>
    <w:p>
      <w:r>
        <w:t>Prepared by: Habibur Chowdhury, Commercial Manager</w:t>
      </w:r>
    </w:p>
    <w:p>
      <w:r>
        <w:t>Date: 2026-08-11</w:t>
      </w:r>
    </w:p>
    <w:p>
      <w:pPr>
        <w:pStyle w:val="Heading2"/>
      </w:pPr>
      <w:r>
        <w:t>Overview</w:t>
      </w:r>
    </w:p>
    <w:p>
      <w:r>
        <w:t>Total revenue for Q3 2026 reached BDT 55,050,000, representing a 3.7% increase over Q2 2026. Export orders continued to drive the majority of revenue, with domestic sales remaining a smaller but stable contribution.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Raw material costs rose slightly due to yarn price fluctuations in the regional market.</w:t>
      </w:r>
    </w:p>
    <w:p>
      <w:pPr>
        <w:pStyle w:val="ListBullet"/>
      </w:pPr>
      <w:r>
        <w:t>Finance cost increased due to higher LC negotiation volume during the quarter.</w:t>
      </w:r>
    </w:p>
    <w:p>
      <w:pPr>
        <w:pStyle w:val="ListBullet"/>
      </w:pPr>
      <w:r>
        <w:t>Net profit margin held steady at approximately 16.9%, consistent with prior quarter.</w:t>
      </w:r>
    </w:p>
    <w:p>
      <w:pPr>
        <w:pStyle w:val="ListBullet"/>
      </w:pPr>
      <w:r>
        <w:t>Outstanding party dues in the 61-90 day bucket increased and should be monitored closely.</w:t>
      </w:r>
    </w:p>
    <w:p>
      <w:pPr>
        <w:pStyle w:val="Heading2"/>
      </w:pPr>
      <w:r>
        <w:t>Recommendation</w:t>
      </w:r>
    </w:p>
    <w:p>
      <w:r>
        <w:t>Continue current cost control measures on raw material procurement, and prioritize collection follow-up on aged party dues exceeding 60 days to improve cash flow position heading into Q4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