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/>
      </w:pPr>
      <w:bookmarkStart w:colFirst="0" w:colLast="0" w:name="_qpngprc102q" w:id="0"/>
      <w:bookmarkEnd w:id="0"/>
      <w:r w:rsidDel="00000000" w:rsidR="00000000" w:rsidRPr="00000000">
        <w:rPr>
          <w:b w:val="1"/>
          <w:bCs w:val="1"/>
          <w:rtl w:val="0"/>
        </w:rPr>
        <w:t xml:space="preserve">Project 2: Fraud Detection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xzhkwfv8qiq4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1. Objective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build a fraud detection system using Apache Spark and Machine Learning.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perform feature engineering on transaction data.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train a Random Forest Classifier for fraud prediction.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identify suspicious and high-value transactions.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analyze user transaction patterns for fraud detection.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nuaeqi4ltuf5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2. Procedure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SparkSession to initialize the PySpark application.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sample transaction dataset containing transaction details.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the timestamp column into Timestamp format.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feature engineering by extracting Hour of Day, Day of Week, and Amount Category.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rolling average transaction amount and transaction count using Window functions.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label column to identify fraudulent transactions based on transaction amount.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Assemble the selected features into a feature vector using VectorAssembler.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the dataset into training and testing datasets.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a Random Forest Classification model.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predictions for test transactions.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potential fraudulent transactions based on prediction results.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high-value transactions.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users with frequent transactions.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the average transaction amount for each user.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users with high average spending.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the SparkSession after successful execution.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rdgzki5znqc2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3. Screenshots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81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w0sacmpnuxa5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4. Conclusion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Fraud Detection System was successfully implemented using Apache Spark MLlib. Feature engineering techniques were applied to transaction data, and a Random Forest Classifier was used to detect fraudulent transactions. The system also analyzed user transaction behavior, identified high-value transactions, and generated useful fraud detection insights using PySpark DataFrame operations.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