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5E8" w:rsidRDefault="001305E8" w:rsidP="001A19A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Introduction </w:t>
      </w:r>
    </w:p>
    <w:p w:rsidR="001305E8" w:rsidRDefault="001305E8" w:rsidP="001A19A2">
      <w:pPr>
        <w:pStyle w:val="NormalWeb"/>
        <w:shd w:val="clear" w:color="auto" w:fill="FFFFFF"/>
        <w:spacing w:before="120" w:beforeAutospacing="0" w:after="120" w:afterAutospacing="0"/>
        <w:rPr>
          <w:rFonts w:ascii="Arial" w:hAnsi="Arial" w:cs="Arial"/>
          <w:color w:val="202122"/>
          <w:sz w:val="21"/>
          <w:szCs w:val="21"/>
        </w:rPr>
      </w:pPr>
      <w:bookmarkStart w:id="0" w:name="_GoBack"/>
      <w:bookmarkEnd w:id="0"/>
    </w:p>
    <w:p w:rsidR="001305E8" w:rsidRDefault="001305E8" w:rsidP="001A19A2">
      <w:pPr>
        <w:pStyle w:val="NormalWeb"/>
        <w:shd w:val="clear" w:color="auto" w:fill="FFFFFF"/>
        <w:spacing w:before="120" w:beforeAutospacing="0" w:after="120" w:afterAutospacing="0"/>
        <w:rPr>
          <w:rFonts w:ascii="Arial" w:hAnsi="Arial" w:cs="Arial"/>
          <w:color w:val="202122"/>
          <w:sz w:val="21"/>
          <w:szCs w:val="21"/>
        </w:rPr>
      </w:pPr>
    </w:p>
    <w:p w:rsidR="001305E8" w:rsidRDefault="001305E8" w:rsidP="001A19A2">
      <w:pPr>
        <w:pStyle w:val="NormalWeb"/>
        <w:shd w:val="clear" w:color="auto" w:fill="FFFFFF"/>
        <w:spacing w:before="120" w:beforeAutospacing="0" w:after="120" w:afterAutospacing="0"/>
        <w:rPr>
          <w:rFonts w:ascii="Arial" w:hAnsi="Arial" w:cs="Arial"/>
          <w:color w:val="202122"/>
          <w:sz w:val="21"/>
          <w:szCs w:val="21"/>
        </w:rPr>
      </w:pPr>
    </w:p>
    <w:p w:rsidR="001305E8" w:rsidRDefault="001305E8" w:rsidP="001A19A2">
      <w:pPr>
        <w:pStyle w:val="NormalWeb"/>
        <w:shd w:val="clear" w:color="auto" w:fill="FFFFFF"/>
        <w:spacing w:before="120" w:beforeAutospacing="0" w:after="120" w:afterAutospacing="0"/>
        <w:rPr>
          <w:rFonts w:ascii="Arial" w:hAnsi="Arial" w:cs="Arial"/>
          <w:color w:val="202122"/>
          <w:sz w:val="21"/>
          <w:szCs w:val="21"/>
        </w:rPr>
      </w:pPr>
    </w:p>
    <w:p w:rsidR="001305E8" w:rsidRDefault="001305E8" w:rsidP="001A19A2">
      <w:pPr>
        <w:pStyle w:val="NormalWeb"/>
        <w:shd w:val="clear" w:color="auto" w:fill="FFFFFF"/>
        <w:spacing w:before="120" w:beforeAutospacing="0" w:after="120" w:afterAutospacing="0"/>
        <w:rPr>
          <w:rFonts w:ascii="Arial" w:hAnsi="Arial" w:cs="Arial"/>
          <w:color w:val="202122"/>
          <w:sz w:val="21"/>
          <w:szCs w:val="21"/>
        </w:rPr>
      </w:pPr>
    </w:p>
    <w:p w:rsidR="001305E8" w:rsidRDefault="001305E8" w:rsidP="001A19A2">
      <w:pPr>
        <w:pStyle w:val="NormalWeb"/>
        <w:shd w:val="clear" w:color="auto" w:fill="FFFFFF"/>
        <w:spacing w:before="120" w:beforeAutospacing="0" w:after="120" w:afterAutospacing="0"/>
        <w:rPr>
          <w:rFonts w:ascii="Arial" w:hAnsi="Arial" w:cs="Arial"/>
          <w:color w:val="202122"/>
          <w:sz w:val="21"/>
          <w:szCs w:val="21"/>
        </w:rPr>
      </w:pPr>
    </w:p>
    <w:p w:rsidR="001305E8" w:rsidRDefault="001305E8" w:rsidP="001A19A2">
      <w:pPr>
        <w:pStyle w:val="NormalWeb"/>
        <w:shd w:val="clear" w:color="auto" w:fill="FFFFFF"/>
        <w:spacing w:before="120" w:beforeAutospacing="0" w:after="120" w:afterAutospacing="0"/>
        <w:rPr>
          <w:rFonts w:ascii="Arial" w:hAnsi="Arial" w:cs="Arial"/>
          <w:color w:val="202122"/>
          <w:sz w:val="21"/>
          <w:szCs w:val="21"/>
        </w:rPr>
      </w:pPr>
    </w:p>
    <w:p w:rsidR="001305E8" w:rsidRDefault="001305E8" w:rsidP="001A19A2">
      <w:pPr>
        <w:pStyle w:val="NormalWeb"/>
        <w:shd w:val="clear" w:color="auto" w:fill="FFFFFF"/>
        <w:spacing w:before="120" w:beforeAutospacing="0" w:after="120" w:afterAutospacing="0"/>
        <w:rPr>
          <w:rFonts w:ascii="Arial" w:hAnsi="Arial" w:cs="Arial"/>
          <w:color w:val="202122"/>
          <w:sz w:val="21"/>
          <w:szCs w:val="21"/>
        </w:rPr>
      </w:pPr>
    </w:p>
    <w:p w:rsidR="001305E8" w:rsidRDefault="001305E8" w:rsidP="001A19A2">
      <w:pPr>
        <w:pStyle w:val="NormalWeb"/>
        <w:shd w:val="clear" w:color="auto" w:fill="FFFFFF"/>
        <w:spacing w:before="120" w:beforeAutospacing="0" w:after="120" w:afterAutospacing="0"/>
        <w:rPr>
          <w:rFonts w:ascii="Arial" w:hAnsi="Arial" w:cs="Arial"/>
          <w:color w:val="202122"/>
          <w:sz w:val="21"/>
          <w:szCs w:val="21"/>
        </w:rPr>
      </w:pPr>
    </w:p>
    <w:p w:rsidR="001305E8" w:rsidRDefault="001305E8" w:rsidP="001A19A2">
      <w:pPr>
        <w:pStyle w:val="NormalWeb"/>
        <w:shd w:val="clear" w:color="auto" w:fill="FFFFFF"/>
        <w:spacing w:before="120" w:beforeAutospacing="0" w:after="120" w:afterAutospacing="0"/>
        <w:rPr>
          <w:rFonts w:ascii="Arial" w:hAnsi="Arial" w:cs="Arial"/>
          <w:color w:val="202122"/>
          <w:sz w:val="21"/>
          <w:szCs w:val="21"/>
        </w:rPr>
      </w:pPr>
    </w:p>
    <w:p w:rsidR="001305E8" w:rsidRDefault="001305E8" w:rsidP="001A19A2">
      <w:pPr>
        <w:pStyle w:val="NormalWeb"/>
        <w:shd w:val="clear" w:color="auto" w:fill="FFFFFF"/>
        <w:spacing w:before="120" w:beforeAutospacing="0" w:after="120" w:afterAutospacing="0"/>
        <w:rPr>
          <w:rFonts w:ascii="Arial" w:hAnsi="Arial" w:cs="Arial"/>
          <w:color w:val="202122"/>
          <w:sz w:val="21"/>
          <w:szCs w:val="21"/>
        </w:rPr>
      </w:pPr>
    </w:p>
    <w:p w:rsidR="001A19A2" w:rsidRDefault="001A19A2" w:rsidP="001A19A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Ethiopia Commodity Exchange</w:t>
      </w:r>
      <w:r>
        <w:rPr>
          <w:rFonts w:ascii="Arial" w:hAnsi="Arial" w:cs="Arial"/>
          <w:color w:val="202122"/>
          <w:sz w:val="21"/>
          <w:szCs w:val="21"/>
        </w:rPr>
        <w:t> (</w:t>
      </w:r>
      <w:r>
        <w:rPr>
          <w:rFonts w:ascii="Arial" w:hAnsi="Arial" w:cs="Arial"/>
          <w:b/>
          <w:bCs/>
          <w:color w:val="202122"/>
          <w:sz w:val="21"/>
          <w:szCs w:val="21"/>
        </w:rPr>
        <w:t>ECX</w:t>
      </w:r>
      <w:r>
        <w:rPr>
          <w:rFonts w:ascii="Arial" w:hAnsi="Arial" w:cs="Arial"/>
          <w:color w:val="202122"/>
          <w:sz w:val="21"/>
          <w:szCs w:val="21"/>
        </w:rPr>
        <w:t>) is a </w:t>
      </w:r>
      <w:hyperlink r:id="rId4" w:tooltip="Commodities exchange" w:history="1">
        <w:r>
          <w:rPr>
            <w:rStyle w:val="Hyperlink"/>
            <w:rFonts w:ascii="Arial" w:hAnsi="Arial" w:cs="Arial"/>
            <w:color w:val="0645AD"/>
            <w:sz w:val="21"/>
            <w:szCs w:val="21"/>
          </w:rPr>
          <w:t>commodities exchange</w:t>
        </w:r>
      </w:hyperlink>
      <w:r>
        <w:rPr>
          <w:rFonts w:ascii="Arial" w:hAnsi="Arial" w:cs="Arial"/>
          <w:color w:val="202122"/>
          <w:sz w:val="21"/>
          <w:szCs w:val="21"/>
        </w:rPr>
        <w:t> established April 2008 in </w:t>
      </w:r>
      <w:hyperlink r:id="rId5" w:tooltip="Ethiopia" w:history="1">
        <w:r>
          <w:rPr>
            <w:rStyle w:val="Hyperlink"/>
            <w:rFonts w:ascii="Arial" w:hAnsi="Arial" w:cs="Arial"/>
            <w:color w:val="0645AD"/>
            <w:sz w:val="21"/>
            <w:szCs w:val="21"/>
          </w:rPr>
          <w:t>Ethiopia</w:t>
        </w:r>
      </w:hyperlink>
      <w:r>
        <w:rPr>
          <w:rFonts w:ascii="Arial" w:hAnsi="Arial" w:cs="Arial"/>
          <w:color w:val="202122"/>
          <w:sz w:val="21"/>
          <w:szCs w:val="21"/>
        </w:rPr>
        <w:t>. In Proclamation 2007-550, which created the ECX, its stated objective was "to ensure the development of an efficient modern trading system" that would "protect the rights and benefits of sellers, buyers, intermediaries, and the general public."</w:t>
      </w:r>
      <w:hyperlink r:id="rId6" w:anchor="cite_note-1" w:history="1">
        <w:r>
          <w:rPr>
            <w:rStyle w:val="Hyperlink"/>
            <w:rFonts w:ascii="Arial" w:hAnsi="Arial" w:cs="Arial"/>
            <w:color w:val="0645AD"/>
            <w:sz w:val="17"/>
            <w:szCs w:val="17"/>
            <w:vertAlign w:val="superscript"/>
          </w:rPr>
          <w:t>[1]</w:t>
        </w:r>
      </w:hyperlink>
    </w:p>
    <w:p w:rsidR="001A19A2" w:rsidRDefault="001A19A2" w:rsidP="001A19A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ECX is set up as a private company owned by a partnership of the market actors, members of the exchange, and the Ethiopian government, led by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"https://en.wikipedia.org/wiki/Eleni_Gebre_Medhin" \o "Eleni Gebre Medhin" </w:instrText>
      </w:r>
      <w:r>
        <w:rPr>
          <w:rFonts w:ascii="Arial" w:hAnsi="Arial" w:cs="Arial"/>
          <w:color w:val="202122"/>
          <w:sz w:val="21"/>
          <w:szCs w:val="21"/>
        </w:rPr>
        <w:fldChar w:fldCharType="separate"/>
      </w:r>
      <w:r>
        <w:rPr>
          <w:rStyle w:val="Hyperlink"/>
          <w:rFonts w:ascii="Arial" w:hAnsi="Arial" w:cs="Arial"/>
          <w:color w:val="0645AD"/>
          <w:sz w:val="21"/>
          <w:szCs w:val="21"/>
        </w:rPr>
        <w:t>Eleni</w:t>
      </w:r>
      <w:proofErr w:type="spellEnd"/>
      <w:r>
        <w:rPr>
          <w:rStyle w:val="Hyperlink"/>
          <w:rFonts w:ascii="Arial" w:hAnsi="Arial" w:cs="Arial"/>
          <w:color w:val="0645AD"/>
          <w:sz w:val="21"/>
          <w:szCs w:val="21"/>
        </w:rPr>
        <w:t xml:space="preserve"> </w:t>
      </w:r>
      <w:proofErr w:type="spellStart"/>
      <w:r>
        <w:rPr>
          <w:rStyle w:val="Hyperlink"/>
          <w:rFonts w:ascii="Arial" w:hAnsi="Arial" w:cs="Arial"/>
          <w:color w:val="0645AD"/>
          <w:sz w:val="21"/>
          <w:szCs w:val="21"/>
        </w:rPr>
        <w:t>Gebre</w:t>
      </w:r>
      <w:proofErr w:type="spellEnd"/>
      <w:r>
        <w:rPr>
          <w:rStyle w:val="Hyperlink"/>
          <w:rFonts w:ascii="Arial" w:hAnsi="Arial" w:cs="Arial"/>
          <w:color w:val="0645AD"/>
          <w:sz w:val="21"/>
          <w:szCs w:val="21"/>
        </w:rPr>
        <w:t xml:space="preserve"> </w:t>
      </w:r>
      <w:proofErr w:type="spellStart"/>
      <w:r>
        <w:rPr>
          <w:rStyle w:val="Hyperlink"/>
          <w:rFonts w:ascii="Arial" w:hAnsi="Arial" w:cs="Arial"/>
          <w:color w:val="0645AD"/>
          <w:sz w:val="21"/>
          <w:szCs w:val="21"/>
        </w:rPr>
        <w:t>Medhin</w:t>
      </w:r>
      <w:proofErr w:type="spellEnd"/>
      <w:r>
        <w:rPr>
          <w:rFonts w:ascii="Arial" w:hAnsi="Arial" w:cs="Arial"/>
          <w:color w:val="202122"/>
          <w:sz w:val="21"/>
          <w:szCs w:val="21"/>
        </w:rPr>
        <w:fldChar w:fldCharType="end"/>
      </w:r>
      <w:r>
        <w:rPr>
          <w:rFonts w:ascii="Arial" w:hAnsi="Arial" w:cs="Arial"/>
          <w:color w:val="202122"/>
          <w:sz w:val="21"/>
          <w:szCs w:val="21"/>
        </w:rPr>
        <w:t> a former economist for the </w:t>
      </w:r>
      <w:hyperlink r:id="rId7" w:tooltip="International Food Policy Research Institute" w:history="1">
        <w:r>
          <w:rPr>
            <w:rStyle w:val="Hyperlink"/>
            <w:rFonts w:ascii="Arial" w:hAnsi="Arial" w:cs="Arial"/>
            <w:color w:val="0645AD"/>
            <w:sz w:val="21"/>
            <w:szCs w:val="21"/>
          </w:rPr>
          <w:t>International Food Policy Research Institute</w:t>
        </w:r>
      </w:hyperlink>
      <w:r>
        <w:rPr>
          <w:rFonts w:ascii="Arial" w:hAnsi="Arial" w:cs="Arial"/>
          <w:color w:val="202122"/>
          <w:sz w:val="21"/>
          <w:szCs w:val="21"/>
        </w:rPr>
        <w:t> and the </w:t>
      </w:r>
      <w:hyperlink r:id="rId8" w:tooltip="World Bank" w:history="1">
        <w:r>
          <w:rPr>
            <w:rStyle w:val="Hyperlink"/>
            <w:rFonts w:ascii="Arial" w:hAnsi="Arial" w:cs="Arial"/>
            <w:color w:val="0645AD"/>
            <w:sz w:val="21"/>
            <w:szCs w:val="21"/>
          </w:rPr>
          <w:t>World Bank</w:t>
        </w:r>
      </w:hyperlink>
      <w:r>
        <w:rPr>
          <w:rFonts w:ascii="Arial" w:hAnsi="Arial" w:cs="Arial"/>
          <w:color w:val="202122"/>
          <w:sz w:val="21"/>
          <w:szCs w:val="21"/>
        </w:rPr>
        <w:t>. As of July 2011, the physical presence of the ECX consists of 55 warehouses in 17 regional locations. It has grown from trading 138,000 tons in its first year to 508,000 tons in its third year, with nearly equal shares of coffee and oilseeds and pulses. The value of the ECX rose 368% between 2010 and 2011 to reach US$1.1 billion.</w:t>
      </w:r>
      <w:hyperlink r:id="rId9" w:anchor="cite_note-2" w:history="1">
        <w:r>
          <w:rPr>
            <w:rStyle w:val="Hyperlink"/>
            <w:rFonts w:ascii="Arial" w:hAnsi="Arial" w:cs="Arial"/>
            <w:color w:val="0645AD"/>
            <w:sz w:val="17"/>
            <w:szCs w:val="17"/>
            <w:vertAlign w:val="superscript"/>
          </w:rPr>
          <w:t>[2]</w:t>
        </w:r>
      </w:hyperlink>
      <w:r>
        <w:rPr>
          <w:rFonts w:ascii="Arial" w:hAnsi="Arial" w:cs="Arial"/>
          <w:color w:val="202122"/>
          <w:sz w:val="21"/>
          <w:szCs w:val="21"/>
        </w:rPr>
        <w:t> As of November 2010, the trading floor in </w:t>
      </w:r>
      <w:hyperlink r:id="rId10" w:tooltip="Addis Ababa" w:history="1">
        <w:r>
          <w:rPr>
            <w:rStyle w:val="Hyperlink"/>
            <w:rFonts w:ascii="Arial" w:hAnsi="Arial" w:cs="Arial"/>
            <w:color w:val="0645AD"/>
            <w:sz w:val="21"/>
            <w:szCs w:val="21"/>
          </w:rPr>
          <w:t>Addis Ababa</w:t>
        </w:r>
      </w:hyperlink>
      <w:r>
        <w:rPr>
          <w:rFonts w:ascii="Arial" w:hAnsi="Arial" w:cs="Arial"/>
          <w:color w:val="202122"/>
          <w:sz w:val="21"/>
          <w:szCs w:val="21"/>
        </w:rPr>
        <w:t> handled 200 </w:t>
      </w:r>
      <w:hyperlink r:id="rId11" w:tooltip="Spot contract" w:history="1">
        <w:r>
          <w:rPr>
            <w:rStyle w:val="Hyperlink"/>
            <w:rFonts w:ascii="Arial" w:hAnsi="Arial" w:cs="Arial"/>
            <w:color w:val="0645AD"/>
            <w:sz w:val="21"/>
            <w:szCs w:val="21"/>
          </w:rPr>
          <w:t>spot contracts</w:t>
        </w:r>
      </w:hyperlink>
      <w:r>
        <w:rPr>
          <w:rFonts w:ascii="Arial" w:hAnsi="Arial" w:cs="Arial"/>
          <w:color w:val="202122"/>
          <w:sz w:val="21"/>
          <w:szCs w:val="21"/>
        </w:rPr>
        <w:t> in commodities such as </w:t>
      </w:r>
      <w:hyperlink r:id="rId12" w:tooltip="Coffee production in Ethiopia" w:history="1">
        <w:r>
          <w:rPr>
            <w:rStyle w:val="Hyperlink"/>
            <w:rFonts w:ascii="Arial" w:hAnsi="Arial" w:cs="Arial"/>
            <w:color w:val="0645AD"/>
            <w:sz w:val="21"/>
            <w:szCs w:val="21"/>
          </w:rPr>
          <w:t>coffee</w:t>
        </w:r>
      </w:hyperlink>
      <w:r>
        <w:rPr>
          <w:rFonts w:ascii="Arial" w:hAnsi="Arial" w:cs="Arial"/>
          <w:color w:val="202122"/>
          <w:sz w:val="21"/>
          <w:szCs w:val="21"/>
        </w:rPr>
        <w:t>, </w:t>
      </w:r>
      <w:hyperlink r:id="rId13" w:tooltip="Sesame" w:history="1">
        <w:r>
          <w:rPr>
            <w:rStyle w:val="Hyperlink"/>
            <w:rFonts w:ascii="Arial" w:hAnsi="Arial" w:cs="Arial"/>
            <w:color w:val="0645AD"/>
            <w:sz w:val="21"/>
            <w:szCs w:val="21"/>
          </w:rPr>
          <w:t>sesame</w:t>
        </w:r>
      </w:hyperlink>
      <w:r>
        <w:rPr>
          <w:rFonts w:ascii="Arial" w:hAnsi="Arial" w:cs="Arial"/>
          <w:color w:val="202122"/>
          <w:sz w:val="21"/>
          <w:szCs w:val="21"/>
        </w:rPr>
        <w:t>, </w:t>
      </w:r>
      <w:hyperlink r:id="rId14" w:tooltip="Navy bean" w:history="1">
        <w:r>
          <w:rPr>
            <w:rStyle w:val="Hyperlink"/>
            <w:rFonts w:ascii="Arial" w:hAnsi="Arial" w:cs="Arial"/>
            <w:color w:val="0645AD"/>
            <w:sz w:val="21"/>
            <w:szCs w:val="21"/>
          </w:rPr>
          <w:t>navy beans</w:t>
        </w:r>
      </w:hyperlink>
      <w:r>
        <w:rPr>
          <w:rFonts w:ascii="Arial" w:hAnsi="Arial" w:cs="Arial"/>
          <w:color w:val="202122"/>
          <w:sz w:val="21"/>
          <w:szCs w:val="21"/>
        </w:rPr>
        <w:t>, </w:t>
      </w:r>
      <w:hyperlink r:id="rId15" w:tooltip="Maize" w:history="1">
        <w:r>
          <w:rPr>
            <w:rStyle w:val="Hyperlink"/>
            <w:rFonts w:ascii="Arial" w:hAnsi="Arial" w:cs="Arial"/>
            <w:color w:val="0645AD"/>
            <w:sz w:val="21"/>
            <w:szCs w:val="21"/>
          </w:rPr>
          <w:t>maize</w:t>
        </w:r>
      </w:hyperlink>
      <w:r>
        <w:rPr>
          <w:rFonts w:ascii="Arial" w:hAnsi="Arial" w:cs="Arial"/>
          <w:color w:val="202122"/>
          <w:sz w:val="21"/>
          <w:szCs w:val="21"/>
        </w:rPr>
        <w:t> and </w:t>
      </w:r>
      <w:hyperlink r:id="rId16" w:tooltip="Wheat" w:history="1">
        <w:r>
          <w:rPr>
            <w:rStyle w:val="Hyperlink"/>
            <w:rFonts w:ascii="Arial" w:hAnsi="Arial" w:cs="Arial"/>
            <w:color w:val="0645AD"/>
            <w:sz w:val="21"/>
            <w:szCs w:val="21"/>
          </w:rPr>
          <w:t>wheat</w:t>
        </w:r>
      </w:hyperlink>
      <w:r>
        <w:rPr>
          <w:rFonts w:ascii="Arial" w:hAnsi="Arial" w:cs="Arial"/>
          <w:color w:val="202122"/>
          <w:sz w:val="21"/>
          <w:szCs w:val="21"/>
        </w:rPr>
        <w:t>.</w:t>
      </w:r>
      <w:hyperlink r:id="rId17" w:anchor="cite_note-3" w:history="1">
        <w:r>
          <w:rPr>
            <w:rStyle w:val="Hyperlink"/>
            <w:rFonts w:ascii="Arial" w:hAnsi="Arial" w:cs="Arial"/>
            <w:color w:val="0645AD"/>
            <w:sz w:val="17"/>
            <w:szCs w:val="17"/>
            <w:vertAlign w:val="superscript"/>
          </w:rPr>
          <w:t>[3]</w:t>
        </w:r>
      </w:hyperlink>
      <w:r>
        <w:rPr>
          <w:rFonts w:ascii="Arial" w:hAnsi="Arial" w:cs="Arial"/>
          <w:color w:val="202122"/>
          <w:sz w:val="21"/>
          <w:szCs w:val="21"/>
        </w:rPr>
        <w:t> It was assessed in July 2011 that membership equaled 243 with clients, who trade through members, about 7,800. Farmer cooperatives represented 2.4 million </w:t>
      </w:r>
      <w:hyperlink r:id="rId18" w:tooltip="Smallholding" w:history="1">
        <w:r>
          <w:rPr>
            <w:rStyle w:val="Hyperlink"/>
            <w:rFonts w:ascii="Arial" w:hAnsi="Arial" w:cs="Arial"/>
            <w:color w:val="0645AD"/>
            <w:sz w:val="21"/>
            <w:szCs w:val="21"/>
          </w:rPr>
          <w:t>smallholder</w:t>
        </w:r>
      </w:hyperlink>
      <w:r>
        <w:rPr>
          <w:rFonts w:ascii="Arial" w:hAnsi="Arial" w:cs="Arial"/>
          <w:color w:val="202122"/>
          <w:sz w:val="21"/>
          <w:szCs w:val="21"/>
        </w:rPr>
        <w:t> farmers, which make up 12% of the membership.</w:t>
      </w:r>
      <w:hyperlink r:id="rId19" w:anchor="cite_note-4" w:history="1">
        <w:r>
          <w:rPr>
            <w:rStyle w:val="Hyperlink"/>
            <w:rFonts w:ascii="Arial" w:hAnsi="Arial" w:cs="Arial"/>
            <w:color w:val="0645AD"/>
            <w:sz w:val="17"/>
            <w:szCs w:val="17"/>
            <w:vertAlign w:val="superscript"/>
          </w:rPr>
          <w:t>[4]</w:t>
        </w:r>
      </w:hyperlink>
    </w:p>
    <w:p w:rsidR="001A19A2" w:rsidRDefault="001A19A2" w:rsidP="001A19A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Currently, the ECX is the only stock or commodity exchange in Africa to have streamlined payment transfers down to "</w:t>
      </w:r>
      <w:hyperlink r:id="rId20" w:tooltip="T+2" w:history="1">
        <w:r>
          <w:rPr>
            <w:rStyle w:val="Hyperlink"/>
            <w:rFonts w:ascii="Arial" w:hAnsi="Arial" w:cs="Arial"/>
            <w:color w:val="0645AD"/>
            <w:sz w:val="21"/>
            <w:szCs w:val="21"/>
          </w:rPr>
          <w:t>T+1</w:t>
        </w:r>
      </w:hyperlink>
      <w:r>
        <w:rPr>
          <w:rFonts w:ascii="Arial" w:hAnsi="Arial" w:cs="Arial"/>
          <w:color w:val="202122"/>
          <w:sz w:val="21"/>
          <w:szCs w:val="21"/>
        </w:rPr>
        <w:t>" (</w:t>
      </w:r>
      <w:proofErr w:type="spellStart"/>
      <w:r>
        <w:rPr>
          <w:rFonts w:ascii="Arial" w:hAnsi="Arial" w:cs="Arial"/>
          <w:color w:val="202122"/>
          <w:sz w:val="21"/>
          <w:szCs w:val="21"/>
        </w:rPr>
        <w:t>ext</w:t>
      </w:r>
      <w:proofErr w:type="spellEnd"/>
      <w:r>
        <w:rPr>
          <w:rFonts w:ascii="Arial" w:hAnsi="Arial" w:cs="Arial"/>
          <w:color w:val="202122"/>
          <w:sz w:val="21"/>
          <w:szCs w:val="21"/>
        </w:rPr>
        <w:t xml:space="preserve"> day payment after a trade) from its clearinghouse to its partner commercial banks. Market data reach is expansive. "Push" price date is transmitted in real time to outdoor electronic ticker boards in 32 rural sites, the ECX website, 256,000 mobile subscribers via instant messaging, the radio, TV and print media. "Pull" market data is available through a toll-free phone-in service. The service received more than 1 million calls in September 2011, 70% coming from rural callers.</w:t>
      </w:r>
      <w:hyperlink r:id="rId21" w:anchor="cite_note-5" w:history="1">
        <w:r>
          <w:rPr>
            <w:rStyle w:val="Hyperlink"/>
            <w:rFonts w:ascii="Arial" w:hAnsi="Arial" w:cs="Arial"/>
            <w:color w:val="0645AD"/>
            <w:sz w:val="17"/>
            <w:szCs w:val="17"/>
            <w:vertAlign w:val="superscript"/>
          </w:rPr>
          <w:t>[5]</w:t>
        </w:r>
      </w:hyperlink>
    </w:p>
    <w:p w:rsidR="003F235A" w:rsidRDefault="003F235A"/>
    <w:sectPr w:rsidR="003F2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9A2"/>
    <w:rsid w:val="001305E8"/>
    <w:rsid w:val="001A19A2"/>
    <w:rsid w:val="003F235A"/>
    <w:rsid w:val="0068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0704"/>
  <w15:chartTrackingRefBased/>
  <w15:docId w15:val="{8A5E12B2-D7FA-4458-8D6E-8A91C46E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9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19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487492">
      <w:bodyDiv w:val="1"/>
      <w:marLeft w:val="0"/>
      <w:marRight w:val="0"/>
      <w:marTop w:val="0"/>
      <w:marBottom w:val="0"/>
      <w:divBdr>
        <w:top w:val="none" w:sz="0" w:space="0" w:color="auto"/>
        <w:left w:val="none" w:sz="0" w:space="0" w:color="auto"/>
        <w:bottom w:val="none" w:sz="0" w:space="0" w:color="auto"/>
        <w:right w:val="none" w:sz="0" w:space="0" w:color="auto"/>
      </w:divBdr>
    </w:div>
    <w:div w:id="978995188">
      <w:bodyDiv w:val="1"/>
      <w:marLeft w:val="0"/>
      <w:marRight w:val="0"/>
      <w:marTop w:val="0"/>
      <w:marBottom w:val="0"/>
      <w:divBdr>
        <w:top w:val="none" w:sz="0" w:space="0" w:color="auto"/>
        <w:left w:val="none" w:sz="0" w:space="0" w:color="auto"/>
        <w:bottom w:val="none" w:sz="0" w:space="0" w:color="auto"/>
        <w:right w:val="none" w:sz="0" w:space="0" w:color="auto"/>
      </w:divBdr>
    </w:div>
    <w:div w:id="176529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ld_Bank" TargetMode="External"/><Relationship Id="rId13" Type="http://schemas.openxmlformats.org/officeDocument/2006/relationships/hyperlink" Target="https://en.wikipedia.org/wiki/Sesame" TargetMode="External"/><Relationship Id="rId18" Type="http://schemas.openxmlformats.org/officeDocument/2006/relationships/hyperlink" Target="https://en.wikipedia.org/wiki/Smallholding" TargetMode="External"/><Relationship Id="rId3" Type="http://schemas.openxmlformats.org/officeDocument/2006/relationships/webSettings" Target="webSettings.xml"/><Relationship Id="rId21" Type="http://schemas.openxmlformats.org/officeDocument/2006/relationships/hyperlink" Target="https://en.wikipedia.org/wiki/Ethiopia_Commodity_Exchange" TargetMode="External"/><Relationship Id="rId7" Type="http://schemas.openxmlformats.org/officeDocument/2006/relationships/hyperlink" Target="https://en.wikipedia.org/wiki/International_Food_Policy_Research_Institute" TargetMode="External"/><Relationship Id="rId12" Type="http://schemas.openxmlformats.org/officeDocument/2006/relationships/hyperlink" Target="https://en.wikipedia.org/wiki/Coffee_production_in_Ethiopia" TargetMode="External"/><Relationship Id="rId17" Type="http://schemas.openxmlformats.org/officeDocument/2006/relationships/hyperlink" Target="https://en.wikipedia.org/wiki/Ethiopia_Commodity_Exchange" TargetMode="External"/><Relationship Id="rId2" Type="http://schemas.openxmlformats.org/officeDocument/2006/relationships/settings" Target="settings.xml"/><Relationship Id="rId16" Type="http://schemas.openxmlformats.org/officeDocument/2006/relationships/hyperlink" Target="https://en.wikipedia.org/wiki/Wheat" TargetMode="External"/><Relationship Id="rId20" Type="http://schemas.openxmlformats.org/officeDocument/2006/relationships/hyperlink" Target="https://en.wikipedia.org/wiki/T%2B2" TargetMode="External"/><Relationship Id="rId1" Type="http://schemas.openxmlformats.org/officeDocument/2006/relationships/styles" Target="styles.xml"/><Relationship Id="rId6" Type="http://schemas.openxmlformats.org/officeDocument/2006/relationships/hyperlink" Target="https://en.wikipedia.org/wiki/Ethiopia_Commodity_Exchange" TargetMode="External"/><Relationship Id="rId11" Type="http://schemas.openxmlformats.org/officeDocument/2006/relationships/hyperlink" Target="https://en.wikipedia.org/wiki/Spot_contract" TargetMode="External"/><Relationship Id="rId5" Type="http://schemas.openxmlformats.org/officeDocument/2006/relationships/hyperlink" Target="https://en.wikipedia.org/wiki/Ethiopia" TargetMode="External"/><Relationship Id="rId15" Type="http://schemas.openxmlformats.org/officeDocument/2006/relationships/hyperlink" Target="https://en.wikipedia.org/wiki/Maize" TargetMode="External"/><Relationship Id="rId23" Type="http://schemas.openxmlformats.org/officeDocument/2006/relationships/theme" Target="theme/theme1.xml"/><Relationship Id="rId10" Type="http://schemas.openxmlformats.org/officeDocument/2006/relationships/hyperlink" Target="https://en.wikipedia.org/wiki/Addis_Ababa" TargetMode="External"/><Relationship Id="rId19" Type="http://schemas.openxmlformats.org/officeDocument/2006/relationships/hyperlink" Target="https://en.wikipedia.org/wiki/Ethiopia_Commodity_Exchange" TargetMode="External"/><Relationship Id="rId4" Type="http://schemas.openxmlformats.org/officeDocument/2006/relationships/hyperlink" Target="https://en.wikipedia.org/wiki/Commodities_exchange" TargetMode="External"/><Relationship Id="rId9" Type="http://schemas.openxmlformats.org/officeDocument/2006/relationships/hyperlink" Target="https://en.wikipedia.org/wiki/Ethiopia_Commodity_Exchange" TargetMode="External"/><Relationship Id="rId14" Type="http://schemas.openxmlformats.org/officeDocument/2006/relationships/hyperlink" Target="https://en.wikipedia.org/wiki/Navy_bea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2021-12-13T22:05:00Z</dcterms:created>
  <dcterms:modified xsi:type="dcterms:W3CDTF">2021-12-14T17:19:00Z</dcterms:modified>
</cp:coreProperties>
</file>