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Referring uncertain answers by decision-model confidence: Jev, OpenAI Decisions and Clef on Korean and US medical licensing examination questions</w:t>
      </w:r>
    </w:p>
    <w:p>
      <w:r>
        <w:rPr>
          <w:rFonts w:ascii="Times New Roman" w:hAnsi="Times New Roman" w:eastAsia="Batang"/>
          <w:b w:val="0"/>
          <w:color w:val="000000"/>
        </w:rPr>
      </w:r>
      <w:r>
        <w:rPr>
          <w:rFonts w:ascii="Times New Roman" w:hAnsi="Times New Roman" w:eastAsia="Batang"/>
          <w:b/>
          <w:color w:val="000000"/>
        </w:rPr>
        <w:t>Sangzin Ahn, MD, PhD</w:t>
      </w:r>
      <w:r>
        <w:rPr>
          <w:rFonts w:ascii="Times New Roman" w:hAnsi="Times New Roman" w:eastAsia="Batang"/>
          <w:b w:val="0"/>
          <w:color w:val="000000"/>
        </w:rPr>
        <w:t xml:space="preserve"> (ORCID 0000-0003-2749-0014)</w:t>
      </w:r>
    </w:p>
    <w:p>
      <w:r>
        <w:rPr>
          <w:rFonts w:ascii="Times New Roman" w:hAnsi="Times New Roman" w:eastAsia="Batang"/>
          <w:b w:val="0"/>
          <w:color w:val="000000"/>
        </w:rPr>
        <w:t>Department of Pharmacology and Institute of Pharmacogenomics and Precision Medicine, Inje University College of Medicine, Busan, Korea</w:t>
      </w:r>
    </w:p>
    <w:p>
      <w:r>
        <w:rPr>
          <w:rFonts w:ascii="Times New Roman" w:hAnsi="Times New Roman" w:eastAsia="Batang"/>
          <w:b w:val="0"/>
          <w:color w:val="000000"/>
        </w:rPr>
        <w:t>Cardiovascular and Metabolic Diseases Medical Research Center, Inje University College of Medicine, Busan, Korea</w:t>
      </w:r>
    </w:p>
    <w:p>
      <w:r>
        <w:rPr>
          <w:rFonts w:ascii="Times New Roman" w:hAnsi="Times New Roman" w:eastAsia="Batang"/>
          <w:b w:val="0"/>
          <w:color w:val="000000"/>
        </w:rPr>
        <w:t>Correspondence: Sangzin Ahn, sangzinahn@inje.ac.kr</w:t>
      </w:r>
    </w:p>
    <w:p>
      <w:pPr>
        <w:pStyle w:val="Heading1"/>
      </w:pPr>
      <w:r>
        <w:t>Abstract</w:t>
      </w:r>
    </w:p>
    <w:p>
      <w:r>
        <w:rPr>
          <w:rFonts w:ascii="Times New Roman" w:hAnsi="Times New Roman" w:eastAsia="Batang"/>
          <w:b w:val="0"/>
          <w:color w:val="000000"/>
        </w:rPr>
      </w:r>
      <w:r>
        <w:rPr>
          <w:rFonts w:ascii="Times New Roman" w:hAnsi="Times New Roman" w:eastAsia="Batang"/>
          <w:b/>
          <w:color w:val="000000"/>
        </w:rPr>
        <w:t>Background</w:t>
      </w:r>
      <w:r>
        <w:rPr>
          <w:rFonts w:ascii="Times New Roman" w:hAnsi="Times New Roman" w:eastAsia="Batang"/>
          <w:b w:val="0"/>
          <w:color w:val="000000"/>
        </w:rPr>
        <w:t xml:space="preserve"> Decision models return a probability for each predefined answer option instead of generating text. If these probabilities identify unreliable answers, those answers could be referred to a clinician or a stronger model while the rest are accepted.</w:t>
      </w:r>
    </w:p>
    <w:p>
      <w:r>
        <w:rPr>
          <w:rFonts w:ascii="Times New Roman" w:hAnsi="Times New Roman" w:eastAsia="Batang"/>
          <w:b w:val="0"/>
          <w:color w:val="000000"/>
        </w:rPr>
      </w:r>
      <w:r>
        <w:rPr>
          <w:rFonts w:ascii="Times New Roman" w:hAnsi="Times New Roman" w:eastAsia="Batang"/>
          <w:b/>
          <w:color w:val="000000"/>
        </w:rPr>
        <w:t>Objective</w:t>
      </w:r>
      <w:r>
        <w:rPr>
          <w:rFonts w:ascii="Times New Roman" w:hAnsi="Times New Roman" w:eastAsia="Batang"/>
          <w:b w:val="0"/>
          <w:color w:val="000000"/>
        </w:rPr>
        <w:t xml:space="preserve"> To evaluate whether the probabilities of three decision models identify their errors on medical licensing questions and what referral of the least confident answers achieves.</w:t>
      </w:r>
    </w:p>
    <w:p>
      <w:r>
        <w:rPr>
          <w:rFonts w:ascii="Times New Roman" w:hAnsi="Times New Roman" w:eastAsia="Batang"/>
          <w:b w:val="0"/>
          <w:color w:val="000000"/>
        </w:rPr>
      </w:r>
      <w:r>
        <w:rPr>
          <w:rFonts w:ascii="Times New Roman" w:hAnsi="Times New Roman" w:eastAsia="Batang"/>
          <w:b/>
          <w:color w:val="000000"/>
        </w:rPr>
        <w:t>Methods</w:t>
      </w:r>
      <w:r>
        <w:rPr>
          <w:rFonts w:ascii="Times New Roman" w:hAnsi="Times New Roman" w:eastAsia="Batang"/>
          <w:b w:val="0"/>
          <w:color w:val="000000"/>
        </w:rPr>
        <w:t xml:space="preserve"> This exploratory in silico study used all 435 KorMedMCQA doctor test questions and all 1,273 MedQA test questions. Jev, OpenAI Decisions and Clef were compared with answer-letter probabilities from GPT-6 Luna, the generative model on which OpenAI Decisions is built. Each model's least confident 20% of answers were referred to GPT-6.1 Sol, and the result was compared with random referral and with an oracle that knows which answers are wrong. Rotation of the answer options tested the stability of referral decisions.</w:t>
      </w:r>
    </w:p>
    <w:p>
      <w:r>
        <w:rPr>
          <w:rFonts w:ascii="Times New Roman" w:hAnsi="Times New Roman" w:eastAsia="Batang"/>
          <w:b w:val="0"/>
          <w:color w:val="000000"/>
        </w:rPr>
      </w:r>
      <w:r>
        <w:rPr>
          <w:rFonts w:ascii="Times New Roman" w:hAnsi="Times New Roman" w:eastAsia="Batang"/>
          <w:b/>
          <w:color w:val="000000"/>
        </w:rPr>
        <w:t>Results</w:t>
      </w:r>
      <w:r>
        <w:rPr>
          <w:rFonts w:ascii="Times New Roman" w:hAnsi="Times New Roman" w:eastAsia="Batang"/>
          <w:b w:val="0"/>
          <w:color w:val="000000"/>
        </w:rPr>
        <w:t xml:space="preserve"> The decision models answered 83.4% to 92.0% of Korean and 84.8% to 87.7% of English questions correctly, with error-detection areas under the receiver operating characteristic curve (AUROCs) of 0.856 to 0.935 and 0.864 to 0.903. Luna letter probabilities were exactly one for most answers, and OpenAI Decisions ranked errors better than the letter probabilities of its base model, by 0.091 (95% CI 0.007 to 0.180) in Korean and 0.104 (0.062 to 0.147) in English. The least confident 20% of answers held 56% to 91% of Korean and 62% to 72% of English errors. Referring them to GPT-6.1 Sol raised accuracy by 6 to 9 percentage points, achieving 49% to 91% of the gain available to an oracle, at a quarter to a third of Sol's cost. Rotating options changed 7% to 16% of referral decisions. In English, errors made with high confidence were stable under rotation and often shared by other models.</w:t>
      </w:r>
    </w:p>
    <w:p>
      <w:r>
        <w:rPr>
          <w:rFonts w:ascii="Times New Roman" w:hAnsi="Times New Roman" w:eastAsia="Batang"/>
          <w:b w:val="0"/>
          <w:color w:val="000000"/>
        </w:rPr>
      </w:r>
      <w:r>
        <w:rPr>
          <w:rFonts w:ascii="Times New Roman" w:hAnsi="Times New Roman" w:eastAsia="Batang"/>
          <w:b/>
          <w:color w:val="000000"/>
        </w:rPr>
        <w:t>Conclusions</w:t>
      </w:r>
      <w:r>
        <w:rPr>
          <w:rFonts w:ascii="Times New Roman" w:hAnsi="Times New Roman" w:eastAsia="Batang"/>
          <w:b w:val="0"/>
          <w:color w:val="000000"/>
        </w:rPr>
        <w:t xml:space="preserve"> Decision-model probabilities identified most errors and allowed a fixed share of answers to be referred to a stronger model at a fraction of its cost, whereas a generative model's letter probabilities were mostly saturated. Confident errors and order-dependent referral remained, and prospective evaluation with clinicians is needed.</w:t>
      </w:r>
    </w:p>
    <w:p>
      <w:pPr>
        <w:pStyle w:val="Heading1"/>
      </w:pPr>
      <w:r>
        <w:t>Introduction</w:t>
      </w:r>
    </w:p>
    <w:p>
      <w:r>
        <w:rPr>
          <w:rFonts w:ascii="Times New Roman" w:hAnsi="Times New Roman" w:eastAsia="Batang"/>
          <w:b w:val="0"/>
          <w:color w:val="000000"/>
        </w:rPr>
        <w:t>A new class of models, called decision models, returns a probability distribution over options defined by the caller instead of generating text [1,2]. TypeSafe AI released Jev in September 2026 [1]. Within weeks, OpenAI announced a decision endpoint built on its GPT-6 Luna model in limited preview [3,4], and Cloudflare released open-weight decision models [5]. An early evidence audit counted 28 papers posted within nine days of Jev's release, a sign of rapid interest [6]. Decision models revisit an older idea, scoring candidate labels supplied at inference time, as in entailment-based zero-shot classifiers [7] and the GLiNER entity recognizers [8], including a biomedical version [9]. They pair this fixed-answer design with the broad knowledge of large language models, whose versatility comes with the latency and cost of generating text. For clinical use, the relevant question is whether their probabilities are useful.</w:t>
      </w:r>
    </w:p>
    <w:p>
      <w:r>
        <w:rPr>
          <w:rFonts w:ascii="Times New Roman" w:hAnsi="Times New Roman" w:eastAsia="Batang"/>
          <w:b w:val="0"/>
          <w:color w:val="000000"/>
        </w:rPr>
        <w:t>One proposed use is referral. A less expensive model answers first and refers uncertain answers to a clinician or a stronger model. Uncertainty estimates that allow abstention have been proposed as a condition for safe clinical deployment [10], and learned deferral to clinicians improved accuracy with lower estimated clinician workload in retrospective screening evaluations [11]. Outside medicine, cascades that call expensive models only for uncertain queries have reduced cost [12]. Such designs work only if a model gives lower confidence to its errors than to its correct answers. In medical question answering, token probabilities discriminated errors better than stated confidence, although calibration remained imperfect [13]. These probabilities are practical only when the answer is a single token, such as an option letter, because the probability of a longer generated answer is spread over many alternative token sequences. Whether the native probabilities of decision models offer more than these answer-letter probabilities remains unsettled [6].</w:t>
      </w:r>
    </w:p>
    <w:p>
      <w:r>
        <w:rPr>
          <w:rFonts w:ascii="Times New Roman" w:hAnsi="Times New Roman" w:eastAsia="Batang"/>
          <w:b w:val="0"/>
          <w:color w:val="000000"/>
        </w:rPr>
        <w:t>Two further issues affect referral. Reordering the answer options can change multiple-choice predictions [14,15], and therefore referral decisions, even when the content is unchanged. Some errors also reflect the questions themselves. Physicians reviewing MedQA found missing information, questionable keys or several acceptable answers [16], and many errors on KorMedMCQA involved Korean healthcare regulations [17].</w:t>
      </w:r>
    </w:p>
    <w:p>
      <w:r>
        <w:rPr>
          <w:rFonts w:ascii="Times New Roman" w:hAnsi="Times New Roman" w:eastAsia="Batang"/>
          <w:b w:val="0"/>
          <w:color w:val="000000"/>
        </w:rPr>
        <w:t>Earlier evaluations of Jev covered automated judging with confidence-guided escalation [18], classification tasks [19], English medical questions [20] and radiology reports [21]. This study evaluated three decision models from different vendors, Jev, OpenAI Decisions and Clef, on medical licensing questions in two languages, and compared a decision model with the letter probabilities of its base model. It asked whether their probabilities identify their errors and what referral of the least confident answers achieves, and it examined the stability of referral decisions and the errors that remain.</w:t>
      </w:r>
    </w:p>
    <w:p>
      <w:pPr>
        <w:pStyle w:val="Heading1"/>
      </w:pPr>
      <w:r>
        <w:t>Methods</w:t>
      </w:r>
    </w:p>
    <w:p>
      <w:pPr>
        <w:pStyle w:val="Heading2"/>
      </w:pPr>
      <w:r>
        <w:t>Study design and datasets</w:t>
      </w:r>
    </w:p>
    <w:p>
      <w:r>
        <w:rPr>
          <w:rFonts w:ascii="Times New Roman" w:hAnsi="Times New Roman" w:eastAsia="Batang"/>
          <w:b w:val="0"/>
          <w:color w:val="000000"/>
        </w:rPr>
        <w:t>This exploratory in silico study used public examination datasets, and all model requests were made between 17 September and 7 October 2026. The 20% referral share, the oracle comparison and the error analyses were defined after initial results were available. Reporting follows the TRIPOD-LLM guideline [22], and the completed checklist is provided as a supplementary file.</w:t>
      </w:r>
    </w:p>
    <w:p>
      <w:r>
        <w:rPr>
          <w:rFonts w:ascii="Times New Roman" w:hAnsi="Times New Roman" w:eastAsia="Batang"/>
          <w:b w:val="0"/>
          <w:color w:val="000000"/>
        </w:rPr>
        <w:t>The Korean cohort comprised all 435 doctor test questions from the 2022 to 2024 KorMedMCQA examinations [17], each with five options. The English cohort comprised all 1,273 MedQA test questions [23], each with four options. Questions, options and historical answer keys were used as released, including a few English questions that refer to figures absent from the text. Inputs were text only, and the two cohorts were analyzed separately.</w:t>
      </w:r>
    </w:p>
    <w:p>
      <w:pPr>
        <w:pStyle w:val="Heading2"/>
      </w:pPr>
      <w:r>
        <w:t>Decision models</w:t>
      </w:r>
    </w:p>
    <w:p>
      <w:r>
        <w:rPr>
          <w:rFonts w:ascii="Times New Roman" w:hAnsi="Times New Roman" w:eastAsia="Batang"/>
          <w:b w:val="0"/>
          <w:color w:val="000000"/>
        </w:rPr>
        <w:t>Jev received each question and its options through its Choice interface [2], OpenAI Decisions through its decision endpoint [3] and Clef through Cloudflare Workers AI [5]. Each model received the same question, the same instruction to select one answer and the same options in the published order, without translation, retrieval or prompt tuning. The probability of the selected option served as the model's confidence. Each model also returned a separate confidence field, examined in a secondary comparison. For Jev, this field is derived from the option probabilities [24]. Model identifiers and versions are listed in Supplementary Table 1.</w:t>
      </w:r>
    </w:p>
    <w:p>
      <w:pPr>
        <w:pStyle w:val="Heading2"/>
      </w:pPr>
      <w:r>
        <w:t>Generative comparisons</w:t>
      </w:r>
    </w:p>
    <w:p>
      <w:r>
        <w:rPr>
          <w:rFonts w:ascii="Times New Roman" w:hAnsi="Times New Roman" w:eastAsia="Batang"/>
          <w:b w:val="0"/>
          <w:color w:val="000000"/>
        </w:rPr>
        <w:t>For the letter-probability baseline, GPT-6 Luna without reasoning was constrained to answer with a single option letter, and the probability it assigned to that letter served as its confidence. Because OpenAI describes its decision endpoint as built on GPT-6 Luna [4], this baseline shows what the base generative model's own probabilities offer. Six configurations of five large language models from three providers served as reference models for accuracy and cost (Supplementary Table 1). GPT-6.1 Sol at low reasoning effort, among the most accurate of these at a moderate cost, served as the referral destination.</w:t>
      </w:r>
    </w:p>
    <w:p>
      <w:pPr>
        <w:pStyle w:val="Heading2"/>
      </w:pPr>
      <w:r>
        <w:t>Outcomes and statistical analysis</w:t>
      </w:r>
    </w:p>
    <w:p>
      <w:r>
        <w:rPr>
          <w:rFonts w:ascii="Times New Roman" w:hAnsi="Times New Roman" w:eastAsia="Batang"/>
          <w:b w:val="0"/>
          <w:color w:val="000000"/>
        </w:rPr>
        <w:t>Accuracy was agreement with the official key over all questions, with refusals and malformed outputs counted as incorrect, and was reported with Wilson 95% confidence intervals. Error-detection AUROC measured how well one minus the selected-option probability identified wrong answers. Calibration was summarized by expected calibration error, and saturation by the share of answers with a probability of exactly one. Other confidence intervals used 4,000 bootstrap resamples of questions. AUROC differences between models are descriptive, because each model is scored on its own errors, and comparisons were not adjusted for multiplicity.</w:t>
      </w:r>
    </w:p>
    <w:p>
      <w:pPr>
        <w:pStyle w:val="Heading2"/>
      </w:pPr>
      <w:r>
        <w:t>Referral</w:t>
      </w:r>
    </w:p>
    <w:p>
      <w:r>
        <w:rPr>
          <w:rFonts w:ascii="Times New Roman" w:hAnsi="Times New Roman" w:eastAsia="Batang"/>
          <w:b w:val="0"/>
          <w:color w:val="000000"/>
        </w:rPr>
        <w:t>Referral was simulated after data collection. Each model's least confident 20% of answers were replaced with the answers that GPT-6.1 Sol had given to the same questions, as if those questions had been passed to the stronger model. Errors caught was the share of the model's errors that fell within the referred answers. Each result was compared with random referral of the same number of answers and with an oracle, a hypothetical rule that refers the same number of answers knowing which are wrong. The gain achieved was the improvement over random referral as a share of the oracle's improvement. Errors caught and accuracy were also computed for every referral share. Costs were token-price estimates at list prices, counting the decision model on every question and Sol on referred questions (Supplementary methods).</w:t>
      </w:r>
    </w:p>
    <w:p>
      <w:pPr>
        <w:pStyle w:val="Heading2"/>
      </w:pPr>
      <w:r>
        <w:t>Answer-order experiment</w:t>
      </w:r>
    </w:p>
    <w:p>
      <w:r>
        <w:rPr>
          <w:rFonts w:ascii="Times New Roman" w:hAnsi="Times New Roman" w:eastAsia="Batang"/>
          <w:b w:val="0"/>
          <w:color w:val="000000"/>
        </w:rPr>
        <w:t>Each decision model also answered every question with its options rotated cyclically across the answer letters, together with an unchanged-order request and an identical repeat of it. Answers were mapped back to the original option texts, and the share of rotations that changed the answer or the referral decision was compared with the change on identical repetition.</w:t>
      </w:r>
    </w:p>
    <w:p>
      <w:pPr>
        <w:pStyle w:val="Heading2"/>
      </w:pPr>
      <w:r>
        <w:t>Error analysis</w:t>
      </w:r>
    </w:p>
    <w:p>
      <w:r>
        <w:rPr>
          <w:rFonts w:ascii="Times New Roman" w:hAnsi="Times New Roman" w:eastAsia="Batang"/>
          <w:b w:val="0"/>
          <w:color w:val="000000"/>
        </w:rPr>
        <w:t>Errors within each model's least confident 20% were termed cautious and the remainder confident. The two groups were compared on stability under rotation, correction by GPT-6.1 Sol, the accuracy of the reference models on the same questions and agreement of GPT-6 Luna without reasoning with the model's wrong answer. Korean questions were labeled by GPT-6.1 Sol for whether the answer depends on Korean law or administration, without access to keys or model answers, and the labels were checked against a blinded review by the author (Supplementary methods). For MedQA, published ratings from three or four US physicians per question were matched to every question [16]. Questions that most raters judged to lack information, to have no acceptable official answer or to have several acceptable answers were termed physician-flagged, and a sensitivity analysis repeated the main analyses without them. Official keys were used throughout.</w:t>
      </w:r>
    </w:p>
    <w:p>
      <w:pPr>
        <w:pStyle w:val="Heading1"/>
      </w:pPr>
      <w:r>
        <w:t>Results</w:t>
      </w:r>
    </w:p>
    <w:p>
      <w:pPr>
        <w:pStyle w:val="Heading2"/>
      </w:pPr>
      <w:r>
        <w:t>Accuracy and confidence</w:t>
      </w:r>
    </w:p>
    <w:p>
      <w:r>
        <w:rPr>
          <w:rFonts w:ascii="Times New Roman" w:hAnsi="Times New Roman" w:eastAsia="Batang"/>
          <w:b w:val="0"/>
          <w:color w:val="000000"/>
        </w:rPr>
        <w:t>The decision models answered 83.4% to 92.0% of Korean and 84.8% to 87.7% of English questions correctly, with error-detection AUROCs of 0.856 to 0.935 and 0.864 to 0.903 (Table 1 and Supplementary Table 2). OpenAI Decisions refused a few questions, which counted as errors. Clef never assigned a probability of exactly one, whereas Jev and OpenAI Decisions did for 17% to 43% of answers. The reference models were more accurate, at 89.4% to 98.9%, but apart from GPT-6 Luna without reasoning they cost 0.22 to 3.52 US dollars per 1,000 questions against 0.02 to 0.10 for the decision models (Table 2).</w:t>
      </w:r>
    </w:p>
    <w:p>
      <w:pPr>
        <w:keepNext/>
        <w:spacing w:line="240" w:lineRule="auto" w:after="120" w:before="160"/>
      </w:pPr>
      <w:r>
        <w:rPr>
          <w:rFonts w:ascii="Times New Roman" w:hAnsi="Times New Roman" w:eastAsia="Batang"/>
          <w:b w:val="0"/>
          <w:color w:val="000000"/>
          <w:sz w:val="20"/>
        </w:rPr>
      </w:r>
      <w:r>
        <w:rPr>
          <w:rFonts w:ascii="Times New Roman" w:hAnsi="Times New Roman" w:eastAsia="Batang"/>
          <w:b/>
          <w:color w:val="000000"/>
          <w:sz w:val="20"/>
        </w:rPr>
        <w:t>Table 1. Accuracy and error ranking of the decision models and of GPT-6 Luna letter probabilities.</w:t>
      </w:r>
      <w:r>
        <w:rPr>
          <w:rFonts w:ascii="Times New Roman" w:hAnsi="Times New Roman" w:eastAsia="Batang"/>
          <w:b w:val="0"/>
          <w:color w:val="000000"/>
          <w:sz w:val="20"/>
        </w:rPr>
        <w:t xml:space="preserve"> Accuracy counts invalid and refused answers as incorrect, over 435 Korean and 1,273 English questions. Error AUROC measures how well a low selected-option probability identifies a wrong answer. ECE, expected calibration error. GPT-6 Luna letter probabilities come from a separate collection with token log probabilities.</w:t>
      </w:r>
    </w:p>
    <w:tbl>
      <w:tblPr>
        <w:tblW w:type="auto" w:w="0"/>
        <w:tblLayout w:type="fixed"/>
        <w:tblLook w:firstColumn="1" w:firstRow="1" w:lastColumn="0" w:lastRow="0" w:noHBand="0" w:noVBand="1" w:val="04A0"/>
        <w:tblBorders>
          <w:top w:val="single" w:sz="8" w:color="000000" w:space="0"/>
          <w:left w:val="nil"/>
          <w:bottom w:val="single" w:sz="8" w:color="000000" w:space="0"/>
          <w:right w:val="nil"/>
          <w:insideH w:val="nil"/>
          <w:insideV w:val="nil"/>
        </w:tblBorders>
      </w:tblPr>
      <w:tblGrid>
        <w:gridCol w:w="840"/>
        <w:gridCol w:w="2729"/>
        <w:gridCol w:w="1889"/>
        <w:gridCol w:w="1889"/>
        <w:gridCol w:w="700"/>
        <w:gridCol w:w="1050"/>
        <w:gridCol w:w="840"/>
      </w:tblGrid>
      <w:tr>
        <w:trPr>
          <w:cantSplit/>
          <w:tblHeader w:val="true"/>
        </w:trPr>
        <w:tc>
          <w:tcPr>
            <w:tcW w:type="dxa" w:w="840"/>
            <w:vAlign w:val="bottom"/>
            <w:tcMar>
              <w:top w:w="30" w:type="dxa"/>
              <w:left w:w="70" w:type="dxa"/>
              <w:bottom w:w="30" w:type="dxa"/>
              <w:right w:w="70" w:type="dxa"/>
            </w:tcMar>
            <w:tcBorders>
              <w:bottom w:val="single" w:sz="6" w:color="000000" w:space="0"/>
            </w:tcBorders>
          </w:tcPr>
          <w:p>
            <w:pPr>
              <w:keepNext/>
              <w:spacing w:after="0" w:line="240" w:lineRule="auto"/>
              <w:rPr>
                <w:sz w:val="18"/>
              </w:rPr>
            </w:pPr>
            <w:r>
              <w:rPr>
                <w:rFonts w:ascii="Times New Roman" w:hAnsi="Times New Roman" w:eastAsia="Batang"/>
                <w:b/>
                <w:color w:val="000000"/>
                <w:sz w:val="18"/>
              </w:rPr>
              <w:t>Cohort</w:t>
            </w:r>
          </w:p>
        </w:tc>
        <w:tc>
          <w:tcPr>
            <w:tcW w:type="dxa" w:w="2729"/>
            <w:vAlign w:val="bottom"/>
            <w:tcMar>
              <w:top w:w="30" w:type="dxa"/>
              <w:left w:w="70" w:type="dxa"/>
              <w:bottom w:w="30" w:type="dxa"/>
              <w:right w:w="70" w:type="dxa"/>
            </w:tcMar>
            <w:tcBorders>
              <w:bottom w:val="single" w:sz="6" w:color="000000" w:space="0"/>
            </w:tcBorders>
          </w:tcPr>
          <w:p>
            <w:pPr>
              <w:keepNext/>
              <w:spacing w:after="0" w:line="240" w:lineRule="auto"/>
              <w:rPr>
                <w:sz w:val="18"/>
              </w:rPr>
            </w:pPr>
            <w:r>
              <w:rPr>
                <w:rFonts w:ascii="Times New Roman" w:hAnsi="Times New Roman" w:eastAsia="Batang"/>
                <w:b/>
                <w:color w:val="000000"/>
                <w:sz w:val="18"/>
              </w:rPr>
              <w:t>Model</w:t>
            </w:r>
          </w:p>
        </w:tc>
        <w:tc>
          <w:tcPr>
            <w:tcW w:type="dxa" w:w="1889"/>
            <w:vAlign w:val="bottom"/>
            <w:tcMar>
              <w:top w:w="30" w:type="dxa"/>
              <w:left w:w="70" w:type="dxa"/>
              <w:bottom w:w="30" w:type="dxa"/>
              <w:right w:w="70" w:type="dxa"/>
            </w:tcMar>
            <w:tcBorders>
              <w:bottom w:val="single" w:sz="6" w:color="000000" w:space="0"/>
            </w:tcBorders>
          </w:tcPr>
          <w:p>
            <w:pPr>
              <w:keepNext/>
              <w:spacing w:after="0" w:line="240" w:lineRule="auto"/>
              <w:rPr>
                <w:sz w:val="18"/>
              </w:rPr>
            </w:pPr>
            <w:r>
              <w:rPr>
                <w:rFonts w:ascii="Times New Roman" w:hAnsi="Times New Roman" w:eastAsia="Batang"/>
                <w:b/>
                <w:color w:val="000000"/>
                <w:sz w:val="18"/>
              </w:rPr>
              <w:t>Accuracy, % (95% CI)</w:t>
            </w:r>
          </w:p>
        </w:tc>
        <w:tc>
          <w:tcPr>
            <w:tcW w:type="dxa" w:w="1889"/>
            <w:vAlign w:val="bottom"/>
            <w:tcMar>
              <w:top w:w="30" w:type="dxa"/>
              <w:left w:w="70" w:type="dxa"/>
              <w:bottom w:w="30" w:type="dxa"/>
              <w:right w:w="70" w:type="dxa"/>
            </w:tcMar>
            <w:tcBorders>
              <w:bottom w:val="single" w:sz="6" w:color="000000" w:space="0"/>
            </w:tcBorders>
          </w:tcPr>
          <w:p>
            <w:pPr>
              <w:keepNext/>
              <w:spacing w:after="0" w:line="240" w:lineRule="auto"/>
              <w:rPr>
                <w:sz w:val="18"/>
              </w:rPr>
            </w:pPr>
            <w:r>
              <w:rPr>
                <w:rFonts w:ascii="Times New Roman" w:hAnsi="Times New Roman" w:eastAsia="Batang"/>
                <w:b/>
                <w:color w:val="000000"/>
                <w:sz w:val="18"/>
              </w:rPr>
              <w:t>Error AUROC (95% CI)</w:t>
            </w:r>
          </w:p>
        </w:tc>
        <w:tc>
          <w:tcPr>
            <w:tcW w:type="dxa" w:w="700"/>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ECE</w:t>
            </w:r>
          </w:p>
        </w:tc>
        <w:tc>
          <w:tcPr>
            <w:tcW w:type="dxa" w:w="1050"/>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Answers at probability 1, %</w:t>
            </w:r>
          </w:p>
        </w:tc>
        <w:tc>
          <w:tcPr>
            <w:tcW w:type="dxa" w:w="840"/>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Cost, US$ per 1,000</w:t>
            </w:r>
          </w:p>
        </w:tc>
      </w:tr>
      <w:tr>
        <w:trPr>
          <w:cantSplit/>
        </w:trPr>
        <w:tc>
          <w:tcPr>
            <w:tcW w:type="dxa" w:w="84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Korean</w:t>
            </w:r>
          </w:p>
        </w:tc>
        <w:tc>
          <w:tcPr>
            <w:tcW w:type="dxa" w:w="272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Jev 1.13.0</w:t>
            </w:r>
          </w:p>
        </w:tc>
        <w:tc>
          <w:tcPr>
            <w:tcW w:type="dxa" w:w="188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86.9 (83.4 to 89.7)</w:t>
            </w:r>
          </w:p>
        </w:tc>
        <w:tc>
          <w:tcPr>
            <w:tcW w:type="dxa" w:w="188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0.861 (0.816 to 0.902)</w:t>
            </w:r>
          </w:p>
        </w:tc>
        <w:tc>
          <w:tcPr>
            <w:tcW w:type="dxa" w:w="70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0.043</w:t>
            </w:r>
          </w:p>
        </w:tc>
        <w:tc>
          <w:tcPr>
            <w:tcW w:type="dxa" w:w="105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16.6</w:t>
            </w:r>
          </w:p>
        </w:tc>
        <w:tc>
          <w:tcPr>
            <w:tcW w:type="dxa" w:w="84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0.0266</w:t>
            </w:r>
          </w:p>
        </w:tc>
      </w:tr>
      <w:tr>
        <w:trPr>
          <w:cantSplit/>
        </w:trPr>
        <w:tc>
          <w:tcPr>
            <w:tcW w:type="dxa" w:w="84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r>
          </w:p>
        </w:tc>
        <w:tc>
          <w:tcPr>
            <w:tcW w:type="dxa" w:w="272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OpenAI Decisions</w:t>
            </w:r>
          </w:p>
        </w:tc>
        <w:tc>
          <w:tcPr>
            <w:tcW w:type="dxa" w:w="188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92.0 (89.0 to 94.2)</w:t>
            </w:r>
          </w:p>
        </w:tc>
        <w:tc>
          <w:tcPr>
            <w:tcW w:type="dxa" w:w="188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0.935 (0.904 to 0.962)</w:t>
            </w:r>
          </w:p>
        </w:tc>
        <w:tc>
          <w:tcPr>
            <w:tcW w:type="dxa" w:w="70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0.044</w:t>
            </w:r>
          </w:p>
        </w:tc>
        <w:tc>
          <w:tcPr>
            <w:tcW w:type="dxa" w:w="105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25.8</w:t>
            </w:r>
          </w:p>
        </w:tc>
        <w:tc>
          <w:tcPr>
            <w:tcW w:type="dxa" w:w="84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0.0372</w:t>
            </w:r>
          </w:p>
        </w:tc>
      </w:tr>
      <w:tr>
        <w:trPr>
          <w:cantSplit/>
        </w:trPr>
        <w:tc>
          <w:tcPr>
            <w:tcW w:type="dxa" w:w="84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r>
          </w:p>
        </w:tc>
        <w:tc>
          <w:tcPr>
            <w:tcW w:type="dxa" w:w="272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Clef</w:t>
            </w:r>
          </w:p>
        </w:tc>
        <w:tc>
          <w:tcPr>
            <w:tcW w:type="dxa" w:w="188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83.4 (79.7 to 86.6)</w:t>
            </w:r>
          </w:p>
        </w:tc>
        <w:tc>
          <w:tcPr>
            <w:tcW w:type="dxa" w:w="188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0.856 (0.808 to 0.898)</w:t>
            </w:r>
          </w:p>
        </w:tc>
        <w:tc>
          <w:tcPr>
            <w:tcW w:type="dxa" w:w="70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0.061</w:t>
            </w:r>
          </w:p>
        </w:tc>
        <w:tc>
          <w:tcPr>
            <w:tcW w:type="dxa" w:w="105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w:t>
            </w:r>
          </w:p>
        </w:tc>
        <w:tc>
          <w:tcPr>
            <w:tcW w:type="dxa" w:w="84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0.0967</w:t>
            </w:r>
          </w:p>
        </w:tc>
      </w:tr>
      <w:tr>
        <w:trPr>
          <w:cantSplit/>
        </w:trPr>
        <w:tc>
          <w:tcPr>
            <w:tcW w:type="dxa" w:w="84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r>
          </w:p>
        </w:tc>
        <w:tc>
          <w:tcPr>
            <w:tcW w:type="dxa" w:w="272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GPT-6 Luna letter probabilities</w:t>
            </w:r>
          </w:p>
        </w:tc>
        <w:tc>
          <w:tcPr>
            <w:tcW w:type="dxa" w:w="188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93.8 (91.1 to 95.7)</w:t>
            </w:r>
          </w:p>
        </w:tc>
        <w:tc>
          <w:tcPr>
            <w:tcW w:type="dxa" w:w="188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0.844 (0.750 to 0.927)</w:t>
            </w:r>
          </w:p>
        </w:tc>
        <w:tc>
          <w:tcPr>
            <w:tcW w:type="dxa" w:w="70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0.043</w:t>
            </w:r>
          </w:p>
        </w:tc>
        <w:tc>
          <w:tcPr>
            <w:tcW w:type="dxa" w:w="105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88.7</w:t>
            </w:r>
          </w:p>
        </w:tc>
        <w:tc>
          <w:tcPr>
            <w:tcW w:type="dxa" w:w="84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0.0375</w:t>
            </w:r>
          </w:p>
        </w:tc>
      </w:tr>
      <w:tr>
        <w:trPr>
          <w:cantSplit/>
        </w:trPr>
        <w:tc>
          <w:tcPr>
            <w:tcW w:type="dxa" w:w="84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English</w:t>
            </w:r>
          </w:p>
        </w:tc>
        <w:tc>
          <w:tcPr>
            <w:tcW w:type="dxa" w:w="272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Jev 1.13.0</w:t>
            </w:r>
          </w:p>
        </w:tc>
        <w:tc>
          <w:tcPr>
            <w:tcW w:type="dxa" w:w="188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87.7 (85.8 to 89.4)</w:t>
            </w:r>
          </w:p>
        </w:tc>
        <w:tc>
          <w:tcPr>
            <w:tcW w:type="dxa" w:w="188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0.899 (0.878 to 0.919)</w:t>
            </w:r>
          </w:p>
        </w:tc>
        <w:tc>
          <w:tcPr>
            <w:tcW w:type="dxa" w:w="70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0.009</w:t>
            </w:r>
          </w:p>
        </w:tc>
        <w:tc>
          <w:tcPr>
            <w:tcW w:type="dxa" w:w="105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33.4</w:t>
            </w:r>
          </w:p>
        </w:tc>
        <w:tc>
          <w:tcPr>
            <w:tcW w:type="dxa" w:w="84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0.0238</w:t>
            </w:r>
          </w:p>
        </w:tc>
      </w:tr>
      <w:tr>
        <w:trPr>
          <w:cantSplit/>
        </w:trPr>
        <w:tc>
          <w:tcPr>
            <w:tcW w:type="dxa" w:w="84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r>
          </w:p>
        </w:tc>
        <w:tc>
          <w:tcPr>
            <w:tcW w:type="dxa" w:w="272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OpenAI Decisions</w:t>
            </w:r>
          </w:p>
        </w:tc>
        <w:tc>
          <w:tcPr>
            <w:tcW w:type="dxa" w:w="188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87.3 (85.3 to 89.0)</w:t>
            </w:r>
          </w:p>
        </w:tc>
        <w:tc>
          <w:tcPr>
            <w:tcW w:type="dxa" w:w="188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0.903 (0.882 to 0.923)</w:t>
            </w:r>
          </w:p>
        </w:tc>
        <w:tc>
          <w:tcPr>
            <w:tcW w:type="dxa" w:w="70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0.028</w:t>
            </w:r>
          </w:p>
        </w:tc>
        <w:tc>
          <w:tcPr>
            <w:tcW w:type="dxa" w:w="105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43.0</w:t>
            </w:r>
          </w:p>
        </w:tc>
        <w:tc>
          <w:tcPr>
            <w:tcW w:type="dxa" w:w="84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0.0338</w:t>
            </w:r>
          </w:p>
        </w:tc>
      </w:tr>
      <w:tr>
        <w:trPr>
          <w:cantSplit/>
        </w:trPr>
        <w:tc>
          <w:tcPr>
            <w:tcW w:type="dxa" w:w="84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r>
          </w:p>
        </w:tc>
        <w:tc>
          <w:tcPr>
            <w:tcW w:type="dxa" w:w="272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Clef</w:t>
            </w:r>
          </w:p>
        </w:tc>
        <w:tc>
          <w:tcPr>
            <w:tcW w:type="dxa" w:w="188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84.8 (82.7 to 86.6)</w:t>
            </w:r>
          </w:p>
        </w:tc>
        <w:tc>
          <w:tcPr>
            <w:tcW w:type="dxa" w:w="188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0.864 (0.835 to 0.890)</w:t>
            </w:r>
          </w:p>
        </w:tc>
        <w:tc>
          <w:tcPr>
            <w:tcW w:type="dxa" w:w="70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0.020</w:t>
            </w:r>
          </w:p>
        </w:tc>
        <w:tc>
          <w:tcPr>
            <w:tcW w:type="dxa" w:w="105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w:t>
            </w:r>
          </w:p>
        </w:tc>
        <w:tc>
          <w:tcPr>
            <w:tcW w:type="dxa" w:w="84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0.0918</w:t>
            </w:r>
          </w:p>
        </w:tc>
      </w:tr>
      <w:tr>
        <w:trPr>
          <w:cantSplit/>
        </w:trPr>
        <w:tc>
          <w:tcPr>
            <w:tcW w:type="dxa" w:w="840"/>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729"/>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t>GPT-6 Luna letter probabilities</w:t>
            </w:r>
          </w:p>
        </w:tc>
        <w:tc>
          <w:tcPr>
            <w:tcW w:type="dxa" w:w="1889"/>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t>88.6 (86.7 to 90.2)</w:t>
            </w:r>
          </w:p>
        </w:tc>
        <w:tc>
          <w:tcPr>
            <w:tcW w:type="dxa" w:w="1889"/>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t>0.799 (0.758 to 0.839)</w:t>
            </w:r>
          </w:p>
        </w:tc>
        <w:tc>
          <w:tcPr>
            <w:tcW w:type="dxa" w:w="70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0.077</w:t>
            </w:r>
          </w:p>
        </w:tc>
        <w:tc>
          <w:tcPr>
            <w:tcW w:type="dxa" w:w="105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86.2</w:t>
            </w:r>
          </w:p>
        </w:tc>
        <w:tc>
          <w:tcPr>
            <w:tcW w:type="dxa" w:w="84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0.0342</w:t>
            </w:r>
          </w:p>
        </w:tc>
      </w:tr>
    </w:tbl>
    <w:p>
      <w:pPr>
        <w:spacing w:after="80"/>
      </w:pPr>
    </w:p>
    <w:p>
      <w:pPr>
        <w:keepNext/>
        <w:spacing w:line="240" w:lineRule="auto" w:after="120" w:before="160"/>
      </w:pPr>
      <w:r>
        <w:rPr>
          <w:rFonts w:ascii="Times New Roman" w:hAnsi="Times New Roman" w:eastAsia="Batang"/>
          <w:b w:val="0"/>
          <w:color w:val="000000"/>
          <w:sz w:val="20"/>
        </w:rPr>
      </w:r>
      <w:r>
        <w:rPr>
          <w:rFonts w:ascii="Times New Roman" w:hAnsi="Times New Roman" w:eastAsia="Batang"/>
          <w:b/>
          <w:color w:val="000000"/>
          <w:sz w:val="20"/>
        </w:rPr>
        <w:t>Table 2. Accuracy and cost of the reference models.</w:t>
      </w:r>
      <w:r>
        <w:rPr>
          <w:rFonts w:ascii="Times New Roman" w:hAnsi="Times New Roman" w:eastAsia="Batang"/>
          <w:b w:val="0"/>
          <w:color w:val="000000"/>
          <w:sz w:val="20"/>
        </w:rPr>
        <w:t xml:space="preserve"> Each generative model answered every question once, with invalid, refused or incomplete answers counted as incorrect. Cost includes reasoning or thinking tokens. Settings are listed in Supplementary Table 1.</w:t>
      </w:r>
    </w:p>
    <w:tbl>
      <w:tblPr>
        <w:tblW w:type="auto" w:w="0"/>
        <w:tblLayout w:type="fixed"/>
        <w:tblLook w:firstColumn="1" w:firstRow="1" w:lastColumn="0" w:lastRow="0" w:noHBand="0" w:noVBand="1" w:val="04A0"/>
        <w:tblBorders>
          <w:top w:val="single" w:sz="8" w:color="000000" w:space="0"/>
          <w:left w:val="nil"/>
          <w:bottom w:val="single" w:sz="8" w:color="000000" w:space="0"/>
          <w:right w:val="nil"/>
          <w:insideH w:val="nil"/>
          <w:insideV w:val="nil"/>
        </w:tblBorders>
      </w:tblPr>
      <w:tblGrid>
        <w:gridCol w:w="2681"/>
        <w:gridCol w:w="2287"/>
        <w:gridCol w:w="1341"/>
        <w:gridCol w:w="2287"/>
        <w:gridCol w:w="1341"/>
      </w:tblGrid>
      <w:tr>
        <w:trPr>
          <w:cantSplit/>
          <w:tblHeader w:val="true"/>
        </w:trPr>
        <w:tc>
          <w:tcPr>
            <w:tcW w:type="dxa" w:w="2681"/>
            <w:vAlign w:val="bottom"/>
            <w:tcMar>
              <w:top w:w="30" w:type="dxa"/>
              <w:left w:w="70" w:type="dxa"/>
              <w:bottom w:w="30" w:type="dxa"/>
              <w:right w:w="70" w:type="dxa"/>
            </w:tcMar>
            <w:tcBorders>
              <w:bottom w:val="single" w:sz="6" w:color="000000" w:space="0"/>
            </w:tcBorders>
          </w:tcPr>
          <w:p>
            <w:pPr>
              <w:keepNext/>
              <w:spacing w:after="0" w:line="240" w:lineRule="auto"/>
              <w:rPr>
                <w:sz w:val="19"/>
              </w:rPr>
            </w:pPr>
            <w:r>
              <w:rPr>
                <w:rFonts w:ascii="Times New Roman" w:hAnsi="Times New Roman" w:eastAsia="Batang"/>
                <w:b/>
                <w:color w:val="000000"/>
                <w:sz w:val="19"/>
              </w:rPr>
              <w:t>Model</w:t>
            </w:r>
          </w:p>
        </w:tc>
        <w:tc>
          <w:tcPr>
            <w:tcW w:type="dxa" w:w="2287"/>
            <w:vAlign w:val="bottom"/>
            <w:tcMar>
              <w:top w:w="30" w:type="dxa"/>
              <w:left w:w="70" w:type="dxa"/>
              <w:bottom w:w="30" w:type="dxa"/>
              <w:right w:w="70" w:type="dxa"/>
            </w:tcMar>
            <w:tcBorders>
              <w:bottom w:val="single" w:sz="6" w:color="000000" w:space="0"/>
            </w:tcBorders>
          </w:tcPr>
          <w:p>
            <w:pPr>
              <w:keepNext/>
              <w:spacing w:after="0" w:line="240" w:lineRule="auto"/>
              <w:rPr>
                <w:sz w:val="19"/>
              </w:rPr>
            </w:pPr>
            <w:r>
              <w:rPr>
                <w:rFonts w:ascii="Times New Roman" w:hAnsi="Times New Roman" w:eastAsia="Batang"/>
                <w:b/>
                <w:color w:val="000000"/>
                <w:sz w:val="19"/>
              </w:rPr>
              <w:t>Korean accuracy, % (95% CI)</w:t>
            </w:r>
          </w:p>
        </w:tc>
        <w:tc>
          <w:tcPr>
            <w:tcW w:type="dxa" w:w="1341"/>
            <w:vAlign w:val="bottom"/>
            <w:tcMar>
              <w:top w:w="30" w:type="dxa"/>
              <w:left w:w="70" w:type="dxa"/>
              <w:bottom w:w="30" w:type="dxa"/>
              <w:right w:w="70" w:type="dxa"/>
            </w:tcMar>
            <w:tcBorders>
              <w:bottom w:val="single" w:sz="6" w:color="000000" w:space="0"/>
            </w:tcBorders>
          </w:tcPr>
          <w:p>
            <w:pPr>
              <w:keepNext/>
              <w:spacing w:after="0" w:line="240" w:lineRule="auto"/>
              <w:jc w:val="right"/>
              <w:rPr>
                <w:sz w:val="19"/>
              </w:rPr>
            </w:pPr>
            <w:r>
              <w:rPr>
                <w:rFonts w:ascii="Times New Roman" w:hAnsi="Times New Roman" w:eastAsia="Batang"/>
                <w:b/>
                <w:color w:val="000000"/>
                <w:sz w:val="19"/>
              </w:rPr>
              <w:t>Korean cost, US$ per 1,000</w:t>
            </w:r>
          </w:p>
        </w:tc>
        <w:tc>
          <w:tcPr>
            <w:tcW w:type="dxa" w:w="2287"/>
            <w:vAlign w:val="bottom"/>
            <w:tcMar>
              <w:top w:w="30" w:type="dxa"/>
              <w:left w:w="70" w:type="dxa"/>
              <w:bottom w:w="30" w:type="dxa"/>
              <w:right w:w="70" w:type="dxa"/>
            </w:tcMar>
            <w:tcBorders>
              <w:bottom w:val="single" w:sz="6" w:color="000000" w:space="0"/>
            </w:tcBorders>
          </w:tcPr>
          <w:p>
            <w:pPr>
              <w:keepNext/>
              <w:spacing w:after="0" w:line="240" w:lineRule="auto"/>
              <w:rPr>
                <w:sz w:val="19"/>
              </w:rPr>
            </w:pPr>
            <w:r>
              <w:rPr>
                <w:rFonts w:ascii="Times New Roman" w:hAnsi="Times New Roman" w:eastAsia="Batang"/>
                <w:b/>
                <w:color w:val="000000"/>
                <w:sz w:val="19"/>
              </w:rPr>
              <w:t>English accuracy, % (95% CI)</w:t>
            </w:r>
          </w:p>
        </w:tc>
        <w:tc>
          <w:tcPr>
            <w:tcW w:type="dxa" w:w="1341"/>
            <w:vAlign w:val="bottom"/>
            <w:tcMar>
              <w:top w:w="30" w:type="dxa"/>
              <w:left w:w="70" w:type="dxa"/>
              <w:bottom w:w="30" w:type="dxa"/>
              <w:right w:w="70" w:type="dxa"/>
            </w:tcMar>
            <w:tcBorders>
              <w:bottom w:val="single" w:sz="6" w:color="000000" w:space="0"/>
            </w:tcBorders>
          </w:tcPr>
          <w:p>
            <w:pPr>
              <w:keepNext/>
              <w:spacing w:after="0" w:line="240" w:lineRule="auto"/>
              <w:jc w:val="right"/>
              <w:rPr>
                <w:sz w:val="19"/>
              </w:rPr>
            </w:pPr>
            <w:r>
              <w:rPr>
                <w:rFonts w:ascii="Times New Roman" w:hAnsi="Times New Roman" w:eastAsia="Batang"/>
                <w:b/>
                <w:color w:val="000000"/>
                <w:sz w:val="19"/>
              </w:rPr>
              <w:t>English cost, US$ per 1,000</w:t>
            </w:r>
          </w:p>
        </w:tc>
      </w:tr>
      <w:tr>
        <w:trPr>
          <w:cantSplit/>
        </w:trPr>
        <w:tc>
          <w:tcPr>
            <w:tcW w:type="dxa" w:w="2681"/>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GPT-6.1 Sol low</w:t>
            </w:r>
          </w:p>
        </w:tc>
        <w:tc>
          <w:tcPr>
            <w:tcW w:type="dxa" w:w="2287"/>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98.6 (97.0 to 99.4)</w:t>
            </w:r>
          </w:p>
        </w:tc>
        <w:tc>
          <w:tcPr>
            <w:tcW w:type="dxa" w:w="1341"/>
            <w:vAlign w:val="top"/>
            <w:tcMar>
              <w:top w:w="30" w:type="dxa"/>
              <w:left w:w="70" w:type="dxa"/>
              <w:bottom w:w="30" w:type="dxa"/>
              <w:right w:w="70" w:type="dxa"/>
            </w:tcMar>
          </w:tcPr>
          <w:p>
            <w:pPr>
              <w:keepNext/>
              <w:spacing w:after="0" w:line="240" w:lineRule="auto"/>
              <w:jc w:val="right"/>
              <w:rPr>
                <w:sz w:val="19"/>
              </w:rPr>
            </w:pPr>
            <w:r>
              <w:rPr>
                <w:rFonts w:ascii="Times New Roman" w:hAnsi="Times New Roman" w:eastAsia="Batang"/>
                <w:b w:val="0"/>
                <w:color w:val="000000"/>
                <w:sz w:val="19"/>
              </w:rPr>
              <w:t>0.9056</w:t>
            </w:r>
          </w:p>
        </w:tc>
        <w:tc>
          <w:tcPr>
            <w:tcW w:type="dxa" w:w="2287"/>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96.8 (95.7 to 97.6)</w:t>
            </w:r>
          </w:p>
        </w:tc>
        <w:tc>
          <w:tcPr>
            <w:tcW w:type="dxa" w:w="1341"/>
            <w:vAlign w:val="top"/>
            <w:tcMar>
              <w:top w:w="30" w:type="dxa"/>
              <w:left w:w="70" w:type="dxa"/>
              <w:bottom w:w="30" w:type="dxa"/>
              <w:right w:w="70" w:type="dxa"/>
            </w:tcMar>
          </w:tcPr>
          <w:p>
            <w:pPr>
              <w:keepNext/>
              <w:spacing w:after="0" w:line="240" w:lineRule="auto"/>
              <w:jc w:val="right"/>
              <w:rPr>
                <w:sz w:val="19"/>
              </w:rPr>
            </w:pPr>
            <w:r>
              <w:rPr>
                <w:rFonts w:ascii="Times New Roman" w:hAnsi="Times New Roman" w:eastAsia="Batang"/>
                <w:b w:val="0"/>
                <w:color w:val="000000"/>
                <w:sz w:val="19"/>
              </w:rPr>
              <w:t>0.8302</w:t>
            </w:r>
          </w:p>
        </w:tc>
      </w:tr>
      <w:tr>
        <w:trPr>
          <w:cantSplit/>
        </w:trPr>
        <w:tc>
          <w:tcPr>
            <w:tcW w:type="dxa" w:w="2681"/>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Claude Opus 5.5 low</w:t>
            </w:r>
          </w:p>
        </w:tc>
        <w:tc>
          <w:tcPr>
            <w:tcW w:type="dxa" w:w="2287"/>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98.9 (97.3 to 99.5)</w:t>
            </w:r>
          </w:p>
        </w:tc>
        <w:tc>
          <w:tcPr>
            <w:tcW w:type="dxa" w:w="1341"/>
            <w:vAlign w:val="top"/>
            <w:tcMar>
              <w:top w:w="30" w:type="dxa"/>
              <w:left w:w="70" w:type="dxa"/>
              <w:bottom w:w="30" w:type="dxa"/>
              <w:right w:w="70" w:type="dxa"/>
            </w:tcMar>
          </w:tcPr>
          <w:p>
            <w:pPr>
              <w:keepNext/>
              <w:spacing w:after="0" w:line="240" w:lineRule="auto"/>
              <w:jc w:val="right"/>
              <w:rPr>
                <w:sz w:val="19"/>
              </w:rPr>
            </w:pPr>
            <w:r>
              <w:rPr>
                <w:rFonts w:ascii="Times New Roman" w:hAnsi="Times New Roman" w:eastAsia="Batang"/>
                <w:b w:val="0"/>
                <w:color w:val="000000"/>
                <w:sz w:val="19"/>
              </w:rPr>
              <w:t>3.3039</w:t>
            </w:r>
          </w:p>
        </w:tc>
        <w:tc>
          <w:tcPr>
            <w:tcW w:type="dxa" w:w="2287"/>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96.6 (95.5 to 97.5)</w:t>
            </w:r>
          </w:p>
        </w:tc>
        <w:tc>
          <w:tcPr>
            <w:tcW w:type="dxa" w:w="1341"/>
            <w:vAlign w:val="top"/>
            <w:tcMar>
              <w:top w:w="30" w:type="dxa"/>
              <w:left w:w="70" w:type="dxa"/>
              <w:bottom w:w="30" w:type="dxa"/>
              <w:right w:w="70" w:type="dxa"/>
            </w:tcMar>
          </w:tcPr>
          <w:p>
            <w:pPr>
              <w:keepNext/>
              <w:spacing w:after="0" w:line="240" w:lineRule="auto"/>
              <w:jc w:val="right"/>
              <w:rPr>
                <w:sz w:val="19"/>
              </w:rPr>
            </w:pPr>
            <w:r>
              <w:rPr>
                <w:rFonts w:ascii="Times New Roman" w:hAnsi="Times New Roman" w:eastAsia="Batang"/>
                <w:b w:val="0"/>
                <w:color w:val="000000"/>
                <w:sz w:val="19"/>
              </w:rPr>
              <w:t>3.5188</w:t>
            </w:r>
          </w:p>
        </w:tc>
      </w:tr>
      <w:tr>
        <w:trPr>
          <w:cantSplit/>
        </w:trPr>
        <w:tc>
          <w:tcPr>
            <w:tcW w:type="dxa" w:w="2681"/>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Gemini 3.8 Flash low</w:t>
            </w:r>
          </w:p>
        </w:tc>
        <w:tc>
          <w:tcPr>
            <w:tcW w:type="dxa" w:w="2287"/>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98.4 (96.7 to 99.2)</w:t>
            </w:r>
          </w:p>
        </w:tc>
        <w:tc>
          <w:tcPr>
            <w:tcW w:type="dxa" w:w="1341"/>
            <w:vAlign w:val="top"/>
            <w:tcMar>
              <w:top w:w="30" w:type="dxa"/>
              <w:left w:w="70" w:type="dxa"/>
              <w:bottom w:w="30" w:type="dxa"/>
              <w:right w:w="70" w:type="dxa"/>
            </w:tcMar>
          </w:tcPr>
          <w:p>
            <w:pPr>
              <w:keepNext/>
              <w:spacing w:after="0" w:line="240" w:lineRule="auto"/>
              <w:jc w:val="right"/>
              <w:rPr>
                <w:sz w:val="19"/>
              </w:rPr>
            </w:pPr>
            <w:r>
              <w:rPr>
                <w:rFonts w:ascii="Times New Roman" w:hAnsi="Times New Roman" w:eastAsia="Batang"/>
                <w:b w:val="0"/>
                <w:color w:val="000000"/>
                <w:sz w:val="19"/>
              </w:rPr>
              <w:t>0.8430</w:t>
            </w:r>
          </w:p>
        </w:tc>
        <w:tc>
          <w:tcPr>
            <w:tcW w:type="dxa" w:w="2287"/>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96.9 (95.7 to 97.7)</w:t>
            </w:r>
          </w:p>
        </w:tc>
        <w:tc>
          <w:tcPr>
            <w:tcW w:type="dxa" w:w="1341"/>
            <w:vAlign w:val="top"/>
            <w:tcMar>
              <w:top w:w="30" w:type="dxa"/>
              <w:left w:w="70" w:type="dxa"/>
              <w:bottom w:w="30" w:type="dxa"/>
              <w:right w:w="70" w:type="dxa"/>
            </w:tcMar>
          </w:tcPr>
          <w:p>
            <w:pPr>
              <w:keepNext/>
              <w:spacing w:after="0" w:line="240" w:lineRule="auto"/>
              <w:jc w:val="right"/>
              <w:rPr>
                <w:sz w:val="19"/>
              </w:rPr>
            </w:pPr>
            <w:r>
              <w:rPr>
                <w:rFonts w:ascii="Times New Roman" w:hAnsi="Times New Roman" w:eastAsia="Batang"/>
                <w:b w:val="0"/>
                <w:color w:val="000000"/>
                <w:sz w:val="19"/>
              </w:rPr>
              <w:t>0.8728</w:t>
            </w:r>
          </w:p>
        </w:tc>
      </w:tr>
      <w:tr>
        <w:trPr>
          <w:cantSplit/>
        </w:trPr>
        <w:tc>
          <w:tcPr>
            <w:tcW w:type="dxa" w:w="2681"/>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GPT-6 Luna max</w:t>
            </w:r>
          </w:p>
        </w:tc>
        <w:tc>
          <w:tcPr>
            <w:tcW w:type="dxa" w:w="2287"/>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98.2 (96.4 to 99.1)</w:t>
            </w:r>
          </w:p>
        </w:tc>
        <w:tc>
          <w:tcPr>
            <w:tcW w:type="dxa" w:w="1341"/>
            <w:vAlign w:val="top"/>
            <w:tcMar>
              <w:top w:w="30" w:type="dxa"/>
              <w:left w:w="70" w:type="dxa"/>
              <w:bottom w:w="30" w:type="dxa"/>
              <w:right w:w="70" w:type="dxa"/>
            </w:tcMar>
          </w:tcPr>
          <w:p>
            <w:pPr>
              <w:keepNext/>
              <w:spacing w:after="0" w:line="240" w:lineRule="auto"/>
              <w:jc w:val="right"/>
              <w:rPr>
                <w:sz w:val="19"/>
              </w:rPr>
            </w:pPr>
            <w:r>
              <w:rPr>
                <w:rFonts w:ascii="Times New Roman" w:hAnsi="Times New Roman" w:eastAsia="Batang"/>
                <w:b w:val="0"/>
                <w:color w:val="000000"/>
                <w:sz w:val="19"/>
              </w:rPr>
              <w:t>0.3433</w:t>
            </w:r>
          </w:p>
        </w:tc>
        <w:tc>
          <w:tcPr>
            <w:tcW w:type="dxa" w:w="2287"/>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95.6 (94.3 to 96.6)</w:t>
            </w:r>
          </w:p>
        </w:tc>
        <w:tc>
          <w:tcPr>
            <w:tcW w:type="dxa" w:w="1341"/>
            <w:vAlign w:val="top"/>
            <w:tcMar>
              <w:top w:w="30" w:type="dxa"/>
              <w:left w:w="70" w:type="dxa"/>
              <w:bottom w:w="30" w:type="dxa"/>
              <w:right w:w="70" w:type="dxa"/>
            </w:tcMar>
          </w:tcPr>
          <w:p>
            <w:pPr>
              <w:keepNext/>
              <w:spacing w:after="0" w:line="240" w:lineRule="auto"/>
              <w:jc w:val="right"/>
              <w:rPr>
                <w:sz w:val="19"/>
              </w:rPr>
            </w:pPr>
            <w:r>
              <w:rPr>
                <w:rFonts w:ascii="Times New Roman" w:hAnsi="Times New Roman" w:eastAsia="Batang"/>
                <w:b w:val="0"/>
                <w:color w:val="000000"/>
                <w:sz w:val="19"/>
              </w:rPr>
              <w:t>0.2240</w:t>
            </w:r>
          </w:p>
        </w:tc>
      </w:tr>
      <w:tr>
        <w:trPr>
          <w:cantSplit/>
        </w:trPr>
        <w:tc>
          <w:tcPr>
            <w:tcW w:type="dxa" w:w="2681"/>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Claude Sonnet 5.5 low</w:t>
            </w:r>
          </w:p>
        </w:tc>
        <w:tc>
          <w:tcPr>
            <w:tcW w:type="dxa" w:w="2287"/>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94.7 (92.2 to 96.5)</w:t>
            </w:r>
          </w:p>
        </w:tc>
        <w:tc>
          <w:tcPr>
            <w:tcW w:type="dxa" w:w="1341"/>
            <w:vAlign w:val="top"/>
            <w:tcMar>
              <w:top w:w="30" w:type="dxa"/>
              <w:left w:w="70" w:type="dxa"/>
              <w:bottom w:w="30" w:type="dxa"/>
              <w:right w:w="70" w:type="dxa"/>
            </w:tcMar>
          </w:tcPr>
          <w:p>
            <w:pPr>
              <w:keepNext/>
              <w:spacing w:after="0" w:line="240" w:lineRule="auto"/>
              <w:jc w:val="right"/>
              <w:rPr>
                <w:sz w:val="19"/>
              </w:rPr>
            </w:pPr>
            <w:r>
              <w:rPr>
                <w:rFonts w:ascii="Times New Roman" w:hAnsi="Times New Roman" w:eastAsia="Batang"/>
                <w:b w:val="0"/>
                <w:color w:val="000000"/>
                <w:sz w:val="19"/>
              </w:rPr>
              <w:t>1.3764</w:t>
            </w:r>
          </w:p>
        </w:tc>
        <w:tc>
          <w:tcPr>
            <w:tcW w:type="dxa" w:w="2287"/>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94.5 (93.1 to 95.6)</w:t>
            </w:r>
          </w:p>
        </w:tc>
        <w:tc>
          <w:tcPr>
            <w:tcW w:type="dxa" w:w="1341"/>
            <w:vAlign w:val="top"/>
            <w:tcMar>
              <w:top w:w="30" w:type="dxa"/>
              <w:left w:w="70" w:type="dxa"/>
              <w:bottom w:w="30" w:type="dxa"/>
              <w:right w:w="70" w:type="dxa"/>
            </w:tcMar>
          </w:tcPr>
          <w:p>
            <w:pPr>
              <w:keepNext/>
              <w:spacing w:after="0" w:line="240" w:lineRule="auto"/>
              <w:jc w:val="right"/>
              <w:rPr>
                <w:sz w:val="19"/>
              </w:rPr>
            </w:pPr>
            <w:r>
              <w:rPr>
                <w:rFonts w:ascii="Times New Roman" w:hAnsi="Times New Roman" w:eastAsia="Batang"/>
                <w:b w:val="0"/>
                <w:color w:val="000000"/>
                <w:sz w:val="19"/>
              </w:rPr>
              <w:t>1.3122</w:t>
            </w:r>
          </w:p>
        </w:tc>
      </w:tr>
      <w:tr>
        <w:trPr>
          <w:cantSplit/>
        </w:trPr>
        <w:tc>
          <w:tcPr>
            <w:tcW w:type="dxa" w:w="2681"/>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t>GPT-6 Luna none</w:t>
            </w:r>
          </w:p>
        </w:tc>
        <w:tc>
          <w:tcPr>
            <w:tcW w:type="dxa" w:w="2287"/>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t>93.1 (90.3 to 95.1)</w:t>
            </w:r>
          </w:p>
        </w:tc>
        <w:tc>
          <w:tcPr>
            <w:tcW w:type="dxa" w:w="1341"/>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0.0375</w:t>
            </w:r>
          </w:p>
        </w:tc>
        <w:tc>
          <w:tcPr>
            <w:tcW w:type="dxa" w:w="2287"/>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t>89.4 (87.6 to 91.0)</w:t>
            </w:r>
          </w:p>
        </w:tc>
        <w:tc>
          <w:tcPr>
            <w:tcW w:type="dxa" w:w="1341"/>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0.0342</w:t>
            </w:r>
          </w:p>
        </w:tc>
      </w:tr>
    </w:tbl>
    <w:p>
      <w:pPr>
        <w:spacing w:after="80"/>
      </w:pPr>
    </w:p>
    <w:p>
      <w:r>
        <w:rPr>
          <w:rFonts w:ascii="Times New Roman" w:hAnsi="Times New Roman" w:eastAsia="Batang"/>
          <w:b w:val="0"/>
          <w:color w:val="000000"/>
        </w:rPr>
        <w:t>Each model's separately reported confidence field ranked errors almost identically but was systematically lower than the selected probability and generally less well calibrated (Supplementary Table 3).</w:t>
      </w:r>
    </w:p>
    <w:p>
      <w:r>
        <w:rPr>
          <w:rFonts w:ascii="Times New Roman" w:hAnsi="Times New Roman" w:eastAsia="Batang"/>
          <w:b w:val="0"/>
          <w:color w:val="000000"/>
        </w:rPr>
        <w:t>GPT-6 Luna letter probabilities had similar accuracy but were exactly one for 88.7% of Korean and 86.2% of English answers. OpenAI Decisions ranked its errors better than the letter probabilities of its base model, with an AUROC higher by 0.091 (95% CI 0.007 to 0.180) in Korean and 0.104 (0.062 to 0.147) in English. Pairwise differences among the decision models are listed in Supplementary Table 4.</w:t>
      </w:r>
    </w:p>
    <w:p>
      <w:pPr>
        <w:pStyle w:val="Heading2"/>
      </w:pPr>
      <w:r>
        <w:t>Referring the least confident fifth</w:t>
      </w:r>
    </w:p>
    <w:p>
      <w:r>
        <w:rPr>
          <w:rFonts w:ascii="Times New Roman" w:hAnsi="Times New Roman" w:eastAsia="Batang"/>
          <w:b w:val="0"/>
          <w:color w:val="000000"/>
        </w:rPr>
        <w:t>The least confident 20% of answers held 56% to 91% of Korean and 62% to 72% of English errors (Table 3 and Figure 1). Referring them to GPT-6.1 Sol raised accuracy by 6.2 to 9.4 percentage points, more than random referral of the same number of answers for every model, and achieved 49% to 91% of the oracle's gain in Korean and 54% to 65% in English. The least confident half of answers held over 90% of each model's errors (Supplementary Table 5).</w:t>
      </w:r>
    </w:p>
    <w:p>
      <w:pPr>
        <w:keepNext/>
        <w:spacing w:line="240" w:lineRule="auto" w:after="120" w:before="160"/>
      </w:pPr>
      <w:r>
        <w:rPr>
          <w:rFonts w:ascii="Times New Roman" w:hAnsi="Times New Roman" w:eastAsia="Batang"/>
          <w:b w:val="0"/>
          <w:color w:val="000000"/>
          <w:sz w:val="20"/>
        </w:rPr>
      </w:r>
      <w:r>
        <w:rPr>
          <w:rFonts w:ascii="Times New Roman" w:hAnsi="Times New Roman" w:eastAsia="Batang"/>
          <w:b/>
          <w:color w:val="000000"/>
          <w:sz w:val="20"/>
        </w:rPr>
        <w:t>Table 3. Referral of each model's least confident 20% of answers to GPT-6.1 Sol.</w:t>
      </w:r>
      <w:r>
        <w:rPr>
          <w:rFonts w:ascii="Times New Roman" w:hAnsi="Times New Roman" w:eastAsia="Batang"/>
          <w:b w:val="0"/>
          <w:color w:val="000000"/>
          <w:sz w:val="20"/>
        </w:rPr>
        <w:t xml:space="preserve"> Each model referred 87 Korean and 255 English answers. Errors caught is the share of the model's errors among the referred answers. Accuracy after referral replaces the referred answers with GPT-6.1 Sol answers and is compared with random referral and with an oracle that refers known errors first. Gain achieved is the improvement over random referral as a share of the oracle's improvement. GPT-6.1 Sol alone answered 98.6% of Korean and 96.8% of English questions correctly at US$0.906 and US$0.830 per 1,000 questions.</w:t>
      </w:r>
    </w:p>
    <w:tbl>
      <w:tblPr>
        <w:tblW w:type="auto" w:w="0"/>
        <w:tblLayout w:type="fixed"/>
        <w:tblLook w:firstColumn="1" w:firstRow="1" w:lastColumn="0" w:lastRow="0" w:noHBand="0" w:noVBand="1" w:val="04A0"/>
        <w:tblBorders>
          <w:top w:val="single" w:sz="8" w:color="000000" w:space="0"/>
          <w:left w:val="nil"/>
          <w:bottom w:val="single" w:sz="8" w:color="000000" w:space="0"/>
          <w:right w:val="nil"/>
          <w:insideH w:val="nil"/>
          <w:insideV w:val="nil"/>
        </w:tblBorders>
      </w:tblPr>
      <w:tblGrid>
        <w:gridCol w:w="841"/>
        <w:gridCol w:w="2523"/>
        <w:gridCol w:w="1682"/>
        <w:gridCol w:w="1752"/>
        <w:gridCol w:w="869"/>
        <w:gridCol w:w="729"/>
        <w:gridCol w:w="841"/>
        <w:gridCol w:w="701"/>
      </w:tblGrid>
      <w:tr>
        <w:trPr>
          <w:cantSplit/>
          <w:tblHeader w:val="true"/>
        </w:trPr>
        <w:tc>
          <w:tcPr>
            <w:tcW w:type="dxa" w:w="841"/>
            <w:vAlign w:val="bottom"/>
            <w:tcMar>
              <w:top w:w="30" w:type="dxa"/>
              <w:left w:w="70" w:type="dxa"/>
              <w:bottom w:w="30" w:type="dxa"/>
              <w:right w:w="70" w:type="dxa"/>
            </w:tcMar>
            <w:tcBorders>
              <w:bottom w:val="single" w:sz="6" w:color="000000" w:space="0"/>
            </w:tcBorders>
          </w:tcPr>
          <w:p>
            <w:pPr>
              <w:keepNext/>
              <w:spacing w:after="0" w:line="240" w:lineRule="auto"/>
              <w:rPr>
                <w:sz w:val="18"/>
              </w:rPr>
            </w:pPr>
            <w:r>
              <w:rPr>
                <w:rFonts w:ascii="Times New Roman" w:hAnsi="Times New Roman" w:eastAsia="Batang"/>
                <w:b/>
                <w:color w:val="000000"/>
                <w:sz w:val="18"/>
              </w:rPr>
              <w:t>Cohort</w:t>
            </w:r>
          </w:p>
        </w:tc>
        <w:tc>
          <w:tcPr>
            <w:tcW w:type="dxa" w:w="2523"/>
            <w:vAlign w:val="bottom"/>
            <w:tcMar>
              <w:top w:w="30" w:type="dxa"/>
              <w:left w:w="70" w:type="dxa"/>
              <w:bottom w:w="30" w:type="dxa"/>
              <w:right w:w="70" w:type="dxa"/>
            </w:tcMar>
            <w:tcBorders>
              <w:bottom w:val="single" w:sz="6" w:color="000000" w:space="0"/>
            </w:tcBorders>
          </w:tcPr>
          <w:p>
            <w:pPr>
              <w:keepNext/>
              <w:spacing w:after="0" w:line="240" w:lineRule="auto"/>
              <w:rPr>
                <w:sz w:val="18"/>
              </w:rPr>
            </w:pPr>
            <w:r>
              <w:rPr>
                <w:rFonts w:ascii="Times New Roman" w:hAnsi="Times New Roman" w:eastAsia="Batang"/>
                <w:b/>
                <w:color w:val="000000"/>
                <w:sz w:val="18"/>
              </w:rPr>
              <w:t>Model</w:t>
            </w:r>
          </w:p>
        </w:tc>
        <w:tc>
          <w:tcPr>
            <w:tcW w:type="dxa" w:w="1682"/>
            <w:vAlign w:val="bottom"/>
            <w:tcMar>
              <w:top w:w="30" w:type="dxa"/>
              <w:left w:w="70" w:type="dxa"/>
              <w:bottom w:w="30" w:type="dxa"/>
              <w:right w:w="70" w:type="dxa"/>
            </w:tcMar>
            <w:tcBorders>
              <w:bottom w:val="single" w:sz="6" w:color="000000" w:space="0"/>
            </w:tcBorders>
          </w:tcPr>
          <w:p>
            <w:pPr>
              <w:keepNext/>
              <w:spacing w:after="0" w:line="240" w:lineRule="auto"/>
              <w:rPr>
                <w:sz w:val="18"/>
              </w:rPr>
            </w:pPr>
            <w:r>
              <w:rPr>
                <w:rFonts w:ascii="Times New Roman" w:hAnsi="Times New Roman" w:eastAsia="Batang"/>
                <w:b/>
                <w:color w:val="000000"/>
                <w:sz w:val="18"/>
              </w:rPr>
              <w:t>Errors caught, % (95% CI)</w:t>
            </w:r>
          </w:p>
        </w:tc>
        <w:tc>
          <w:tcPr>
            <w:tcW w:type="dxa" w:w="1752"/>
            <w:vAlign w:val="bottom"/>
            <w:tcMar>
              <w:top w:w="30" w:type="dxa"/>
              <w:left w:w="70" w:type="dxa"/>
              <w:bottom w:w="30" w:type="dxa"/>
              <w:right w:w="70" w:type="dxa"/>
            </w:tcMar>
            <w:tcBorders>
              <w:bottom w:val="single" w:sz="6" w:color="000000" w:space="0"/>
            </w:tcBorders>
          </w:tcPr>
          <w:p>
            <w:pPr>
              <w:keepNext/>
              <w:spacing w:after="0" w:line="240" w:lineRule="auto"/>
              <w:rPr>
                <w:sz w:val="18"/>
              </w:rPr>
            </w:pPr>
            <w:r>
              <w:rPr>
                <w:rFonts w:ascii="Times New Roman" w:hAnsi="Times New Roman" w:eastAsia="Batang"/>
                <w:b/>
                <w:color w:val="000000"/>
                <w:sz w:val="18"/>
              </w:rPr>
              <w:t>Accuracy after referral, % (95% CI)</w:t>
            </w:r>
          </w:p>
        </w:tc>
        <w:tc>
          <w:tcPr>
            <w:tcW w:type="dxa" w:w="869"/>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Random referral, %</w:t>
            </w:r>
          </w:p>
        </w:tc>
        <w:tc>
          <w:tcPr>
            <w:tcW w:type="dxa" w:w="729"/>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Oracle, %</w:t>
            </w:r>
          </w:p>
        </w:tc>
        <w:tc>
          <w:tcPr>
            <w:tcW w:type="dxa" w:w="841"/>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Gain achieved, %</w:t>
            </w:r>
          </w:p>
        </w:tc>
        <w:tc>
          <w:tcPr>
            <w:tcW w:type="dxa" w:w="701"/>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Cost, US$ per 1,000</w:t>
            </w:r>
          </w:p>
        </w:tc>
      </w:tr>
      <w:tr>
        <w:trPr>
          <w:cantSplit/>
        </w:trPr>
        <w:tc>
          <w:tcPr>
            <w:tcW w:type="dxa" w:w="841"/>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Korean</w:t>
            </w:r>
          </w:p>
        </w:tc>
        <w:tc>
          <w:tcPr>
            <w:tcW w:type="dxa" w:w="2523"/>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Jev 1.13.0</w:t>
            </w:r>
          </w:p>
        </w:tc>
        <w:tc>
          <w:tcPr>
            <w:tcW w:type="dxa" w:w="1682"/>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56.1 (45.9 to 71.4)</w:t>
            </w:r>
          </w:p>
        </w:tc>
        <w:tc>
          <w:tcPr>
            <w:tcW w:type="dxa" w:w="1752"/>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94.0 (91.7 to 96.6)</w:t>
            </w:r>
          </w:p>
        </w:tc>
        <w:tc>
          <w:tcPr>
            <w:tcW w:type="dxa" w:w="86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89.2</w:t>
            </w:r>
          </w:p>
        </w:tc>
        <w:tc>
          <w:tcPr>
            <w:tcW w:type="dxa" w:w="72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99.1</w:t>
            </w:r>
          </w:p>
        </w:tc>
        <w:tc>
          <w:tcPr>
            <w:tcW w:type="dxa" w:w="841"/>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49</w:t>
            </w:r>
          </w:p>
        </w:tc>
        <w:tc>
          <w:tcPr>
            <w:tcW w:type="dxa" w:w="701"/>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0.237</w:t>
            </w:r>
          </w:p>
        </w:tc>
      </w:tr>
      <w:tr>
        <w:trPr>
          <w:cantSplit/>
        </w:trPr>
        <w:tc>
          <w:tcPr>
            <w:tcW w:type="dxa" w:w="841"/>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r>
          </w:p>
        </w:tc>
        <w:tc>
          <w:tcPr>
            <w:tcW w:type="dxa" w:w="2523"/>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OpenAI Decisions</w:t>
            </w:r>
          </w:p>
        </w:tc>
        <w:tc>
          <w:tcPr>
            <w:tcW w:type="dxa" w:w="1682"/>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91.2 (76.9 to 100.0)</w:t>
            </w:r>
          </w:p>
        </w:tc>
        <w:tc>
          <w:tcPr>
            <w:tcW w:type="dxa" w:w="1752"/>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98.2 (96.4 to 99.3)</w:t>
            </w:r>
          </w:p>
        </w:tc>
        <w:tc>
          <w:tcPr>
            <w:tcW w:type="dxa" w:w="86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93.2</w:t>
            </w:r>
          </w:p>
        </w:tc>
        <w:tc>
          <w:tcPr>
            <w:tcW w:type="dxa" w:w="72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98.6</w:t>
            </w:r>
          </w:p>
        </w:tc>
        <w:tc>
          <w:tcPr>
            <w:tcW w:type="dxa" w:w="841"/>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91</w:t>
            </w:r>
          </w:p>
        </w:tc>
        <w:tc>
          <w:tcPr>
            <w:tcW w:type="dxa" w:w="701"/>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0.266</w:t>
            </w:r>
          </w:p>
        </w:tc>
      </w:tr>
      <w:tr>
        <w:trPr>
          <w:cantSplit/>
        </w:trPr>
        <w:tc>
          <w:tcPr>
            <w:tcW w:type="dxa" w:w="841"/>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r>
          </w:p>
        </w:tc>
        <w:tc>
          <w:tcPr>
            <w:tcW w:type="dxa" w:w="2523"/>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Clef</w:t>
            </w:r>
          </w:p>
        </w:tc>
        <w:tc>
          <w:tcPr>
            <w:tcW w:type="dxa" w:w="1682"/>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59.7 (50.7 to 73.6)</w:t>
            </w:r>
          </w:p>
        </w:tc>
        <w:tc>
          <w:tcPr>
            <w:tcW w:type="dxa" w:w="1752"/>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92.9 (90.1 to 95.9)</w:t>
            </w:r>
          </w:p>
        </w:tc>
        <w:tc>
          <w:tcPr>
            <w:tcW w:type="dxa" w:w="86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86.5</w:t>
            </w:r>
          </w:p>
        </w:tc>
        <w:tc>
          <w:tcPr>
            <w:tcW w:type="dxa" w:w="72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99.5</w:t>
            </w:r>
          </w:p>
        </w:tc>
        <w:tc>
          <w:tcPr>
            <w:tcW w:type="dxa" w:w="841"/>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49</w:t>
            </w:r>
          </w:p>
        </w:tc>
        <w:tc>
          <w:tcPr>
            <w:tcW w:type="dxa" w:w="701"/>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0.313</w:t>
            </w:r>
          </w:p>
        </w:tc>
      </w:tr>
      <w:tr>
        <w:trPr>
          <w:cantSplit/>
        </w:trPr>
        <w:tc>
          <w:tcPr>
            <w:tcW w:type="dxa" w:w="841"/>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r>
          </w:p>
        </w:tc>
        <w:tc>
          <w:tcPr>
            <w:tcW w:type="dxa" w:w="2523"/>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GPT-6 Luna letter probabilities</w:t>
            </w:r>
          </w:p>
        </w:tc>
        <w:tc>
          <w:tcPr>
            <w:tcW w:type="dxa" w:w="1682"/>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76.6 (61.0 to 90.9)</w:t>
            </w:r>
          </w:p>
        </w:tc>
        <w:tc>
          <w:tcPr>
            <w:tcW w:type="dxa" w:w="1752"/>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98.0 (96.6 to 99.1)</w:t>
            </w:r>
          </w:p>
        </w:tc>
        <w:tc>
          <w:tcPr>
            <w:tcW w:type="dxa" w:w="86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94.8</w:t>
            </w:r>
          </w:p>
        </w:tc>
        <w:tc>
          <w:tcPr>
            <w:tcW w:type="dxa" w:w="72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99.1</w:t>
            </w:r>
          </w:p>
        </w:tc>
        <w:tc>
          <w:tcPr>
            <w:tcW w:type="dxa" w:w="841"/>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75</w:t>
            </w:r>
          </w:p>
        </w:tc>
        <w:tc>
          <w:tcPr>
            <w:tcW w:type="dxa" w:w="701"/>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0.246</w:t>
            </w:r>
          </w:p>
        </w:tc>
      </w:tr>
      <w:tr>
        <w:trPr>
          <w:cantSplit/>
        </w:trPr>
        <w:tc>
          <w:tcPr>
            <w:tcW w:type="dxa" w:w="841"/>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English</w:t>
            </w:r>
          </w:p>
        </w:tc>
        <w:tc>
          <w:tcPr>
            <w:tcW w:type="dxa" w:w="2523"/>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Jev 1.13.0</w:t>
            </w:r>
          </w:p>
        </w:tc>
        <w:tc>
          <w:tcPr>
            <w:tcW w:type="dxa" w:w="1682"/>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71.6 (65.3 to 78.8)</w:t>
            </w:r>
          </w:p>
        </w:tc>
        <w:tc>
          <w:tcPr>
            <w:tcW w:type="dxa" w:w="1752"/>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94.7 (93.5 to 96.0)</w:t>
            </w:r>
          </w:p>
        </w:tc>
        <w:tc>
          <w:tcPr>
            <w:tcW w:type="dxa" w:w="86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89.5</w:t>
            </w:r>
          </w:p>
        </w:tc>
        <w:tc>
          <w:tcPr>
            <w:tcW w:type="dxa" w:w="72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97.6</w:t>
            </w:r>
          </w:p>
        </w:tc>
        <w:tc>
          <w:tcPr>
            <w:tcW w:type="dxa" w:w="841"/>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65</w:t>
            </w:r>
          </w:p>
        </w:tc>
        <w:tc>
          <w:tcPr>
            <w:tcW w:type="dxa" w:w="701"/>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0.234</w:t>
            </w:r>
          </w:p>
        </w:tc>
      </w:tr>
      <w:tr>
        <w:trPr>
          <w:cantSplit/>
        </w:trPr>
        <w:tc>
          <w:tcPr>
            <w:tcW w:type="dxa" w:w="841"/>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r>
          </w:p>
        </w:tc>
        <w:tc>
          <w:tcPr>
            <w:tcW w:type="dxa" w:w="2523"/>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OpenAI Decisions</w:t>
            </w:r>
          </w:p>
        </w:tc>
        <w:tc>
          <w:tcPr>
            <w:tcW w:type="dxa" w:w="1682"/>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71.4 (65.4 to 79.3)</w:t>
            </w:r>
          </w:p>
        </w:tc>
        <w:tc>
          <w:tcPr>
            <w:tcW w:type="dxa" w:w="1752"/>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94.1 (92.8 to 95.6)</w:t>
            </w:r>
          </w:p>
        </w:tc>
        <w:tc>
          <w:tcPr>
            <w:tcW w:type="dxa" w:w="86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89.1</w:t>
            </w:r>
          </w:p>
        </w:tc>
        <w:tc>
          <w:tcPr>
            <w:tcW w:type="dxa" w:w="72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97.3</w:t>
            </w:r>
          </w:p>
        </w:tc>
        <w:tc>
          <w:tcPr>
            <w:tcW w:type="dxa" w:w="841"/>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61</w:t>
            </w:r>
          </w:p>
        </w:tc>
        <w:tc>
          <w:tcPr>
            <w:tcW w:type="dxa" w:w="701"/>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0.240</w:t>
            </w:r>
          </w:p>
        </w:tc>
      </w:tr>
      <w:tr>
        <w:trPr>
          <w:cantSplit/>
        </w:trPr>
        <w:tc>
          <w:tcPr>
            <w:tcW w:type="dxa" w:w="841"/>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r>
          </w:p>
        </w:tc>
        <w:tc>
          <w:tcPr>
            <w:tcW w:type="dxa" w:w="2523"/>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Clef</w:t>
            </w:r>
          </w:p>
        </w:tc>
        <w:tc>
          <w:tcPr>
            <w:tcW w:type="dxa" w:w="1682"/>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62.4 (56.7 to 69.3)</w:t>
            </w:r>
          </w:p>
        </w:tc>
        <w:tc>
          <w:tcPr>
            <w:tcW w:type="dxa" w:w="1752"/>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93.0 (91.6 to 94.5)</w:t>
            </w:r>
          </w:p>
        </w:tc>
        <w:tc>
          <w:tcPr>
            <w:tcW w:type="dxa" w:w="86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87.2</w:t>
            </w:r>
          </w:p>
        </w:tc>
        <w:tc>
          <w:tcPr>
            <w:tcW w:type="dxa" w:w="72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98.0</w:t>
            </w:r>
          </w:p>
        </w:tc>
        <w:tc>
          <w:tcPr>
            <w:tcW w:type="dxa" w:w="841"/>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54</w:t>
            </w:r>
          </w:p>
        </w:tc>
        <w:tc>
          <w:tcPr>
            <w:tcW w:type="dxa" w:w="701"/>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0.294</w:t>
            </w:r>
          </w:p>
        </w:tc>
      </w:tr>
      <w:tr>
        <w:trPr>
          <w:cantSplit/>
        </w:trPr>
        <w:tc>
          <w:tcPr>
            <w:tcW w:type="dxa" w:w="84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523"/>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t>GPT-6 Luna letter probabilities</w:t>
            </w:r>
          </w:p>
        </w:tc>
        <w:tc>
          <w:tcPr>
            <w:tcW w:type="dxa" w:w="1682"/>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t>68.0 (61.0 to 75.1)</w:t>
            </w:r>
          </w:p>
        </w:tc>
        <w:tc>
          <w:tcPr>
            <w:tcW w:type="dxa" w:w="1752"/>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t>94.7 (93.4 to 95.8)</w:t>
            </w:r>
          </w:p>
        </w:tc>
        <w:tc>
          <w:tcPr>
            <w:tcW w:type="dxa" w:w="869"/>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90.2</w:t>
            </w:r>
          </w:p>
        </w:tc>
        <w:tc>
          <w:tcPr>
            <w:tcW w:type="dxa" w:w="729"/>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97.5</w:t>
            </w:r>
          </w:p>
        </w:tc>
        <w:tc>
          <w:tcPr>
            <w:tcW w:type="dxa" w:w="84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61</w:t>
            </w:r>
          </w:p>
        </w:tc>
        <w:tc>
          <w:tcPr>
            <w:tcW w:type="dxa" w:w="70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0.234</w:t>
            </w:r>
          </w:p>
        </w:tc>
      </w:tr>
    </w:tbl>
    <w:p>
      <w:pPr>
        <w:spacing w:after="80"/>
      </w:pPr>
    </w:p>
    <w:p>
      <w:pPr>
        <w:keepNext/>
        <w:spacing w:before="160"/>
        <w:jc w:val="center"/>
      </w:pPr>
      <w:r>
        <w:drawing>
          <wp:inline xmlns:a="http://schemas.openxmlformats.org/drawingml/2006/main" xmlns:pic="http://schemas.openxmlformats.org/drawingml/2006/picture">
            <wp:extent cx="6309360" cy="3520440"/>
            <wp:docPr id="1" name="Picture 1" descr="Error-capture curves for Jev, OpenAI Decisions, Clef and GPT-6 Luna letter probabilities, with random and oracle references"/>
            <wp:cNvGraphicFramePr>
              <a:graphicFrameLocks noChangeAspect="1"/>
            </wp:cNvGraphicFramePr>
            <a:graphic>
              <a:graphicData uri="http://schemas.openxmlformats.org/drawingml/2006/picture">
                <pic:pic>
                  <pic:nvPicPr>
                    <pic:cNvPr id="0" name="figure-1-error-capture.png"/>
                    <pic:cNvPicPr/>
                  </pic:nvPicPr>
                  <pic:blipFill>
                    <a:blip r:embed="rId10"/>
                    <a:stretch>
                      <a:fillRect/>
                    </a:stretch>
                  </pic:blipFill>
                  <pic:spPr>
                    <a:xfrm>
                      <a:off x="0" y="0"/>
                      <a:ext cx="6309360" cy="3520440"/>
                    </a:xfrm>
                    <a:prstGeom prst="rect"/>
                  </pic:spPr>
                </pic:pic>
              </a:graphicData>
            </a:graphic>
          </wp:inline>
        </w:drawing>
      </w:r>
    </w:p>
    <w:p>
      <w:pPr>
        <w:spacing w:line="240" w:lineRule="auto" w:after="200"/>
      </w:pPr>
      <w:r>
        <w:rPr>
          <w:rFonts w:ascii="Times New Roman" w:hAnsi="Times New Roman" w:eastAsia="Batang"/>
          <w:b w:val="0"/>
          <w:color w:val="000000"/>
          <w:sz w:val="20"/>
        </w:rPr>
      </w:r>
      <w:r>
        <w:rPr>
          <w:rFonts w:ascii="Times New Roman" w:hAnsi="Times New Roman" w:eastAsia="Batang"/>
          <w:b/>
          <w:color w:val="000000"/>
          <w:sz w:val="20"/>
        </w:rPr>
        <w:t>Figure 1. Errors caught when each model refers its least confident answers.</w:t>
      </w:r>
      <w:r>
        <w:rPr>
          <w:rFonts w:ascii="Times New Roman" w:hAnsi="Times New Roman" w:eastAsia="Batang"/>
          <w:b w:val="0"/>
          <w:color w:val="000000"/>
          <w:sz w:val="20"/>
        </w:rPr>
        <w:t xml:space="preserve"> Each panel ranks one model's valid answers from least to most confident and plots the share of its errors among the referred answers against the share of answers referred. (A) Korean questions. (B) English questions. The grey line is an oracle that refers errors first, the dashed line is random referral and open circles mark 20% referred. For GPT-6 Luna letter probabilities the curve becomes straight once only answers at probability 1 remain, because their order is then random.</w:t>
      </w:r>
    </w:p>
    <w:p>
      <w:r>
        <w:rPr>
          <w:rFonts w:ascii="Times New Roman" w:hAnsi="Times New Roman" w:eastAsia="Batang"/>
          <w:b w:val="0"/>
          <w:color w:val="000000"/>
        </w:rPr>
        <w:t>This referral cost about a quarter to a third as much as using GPT-6.1 Sol alone (Figure 2). GPT-6 Luna at maximum effort alone reached similar or higher accuracy at a similar cost (Table 2).</w:t>
      </w:r>
    </w:p>
    <w:p>
      <w:pPr>
        <w:keepNext/>
        <w:spacing w:before="160"/>
        <w:jc w:val="center"/>
      </w:pPr>
      <w:r>
        <w:drawing>
          <wp:inline xmlns:a="http://schemas.openxmlformats.org/drawingml/2006/main" xmlns:pic="http://schemas.openxmlformats.org/drawingml/2006/picture">
            <wp:extent cx="6309360" cy="3154680"/>
            <wp:docPr id="2" name="Picture 2" descr="Accuracy and cost when referring the least confident answers to GPT-6.1 Sol, with reference models"/>
            <wp:cNvGraphicFramePr>
              <a:graphicFrameLocks noChangeAspect="1"/>
            </wp:cNvGraphicFramePr>
            <a:graphic>
              <a:graphicData uri="http://schemas.openxmlformats.org/drawingml/2006/picture">
                <pic:pic>
                  <pic:nvPicPr>
                    <pic:cNvPr id="0" name="figure-2-escalation.png"/>
                    <pic:cNvPicPr/>
                  </pic:nvPicPr>
                  <pic:blipFill>
                    <a:blip r:embed="rId11"/>
                    <a:stretch>
                      <a:fillRect/>
                    </a:stretch>
                  </pic:blipFill>
                  <pic:spPr>
                    <a:xfrm>
                      <a:off x="0" y="0"/>
                      <a:ext cx="6309360" cy="3154680"/>
                    </a:xfrm>
                    <a:prstGeom prst="rect"/>
                  </pic:spPr>
                </pic:pic>
              </a:graphicData>
            </a:graphic>
          </wp:inline>
        </w:drawing>
      </w:r>
    </w:p>
    <w:p>
      <w:pPr>
        <w:spacing w:line="240" w:lineRule="auto" w:after="200"/>
      </w:pPr>
      <w:r>
        <w:rPr>
          <w:rFonts w:ascii="Times New Roman" w:hAnsi="Times New Roman" w:eastAsia="Batang"/>
          <w:b w:val="0"/>
          <w:color w:val="000000"/>
          <w:sz w:val="20"/>
        </w:rPr>
      </w:r>
      <w:r>
        <w:rPr>
          <w:rFonts w:ascii="Times New Roman" w:hAnsi="Times New Roman" w:eastAsia="Batang"/>
          <w:b/>
          <w:color w:val="000000"/>
          <w:sz w:val="20"/>
        </w:rPr>
        <w:t>Figure 2. Accuracy and cost of referring the least confident answers to GPT-6.1 Sol.</w:t>
      </w:r>
      <w:r>
        <w:rPr>
          <w:rFonts w:ascii="Times New Roman" w:hAnsi="Times New Roman" w:eastAsia="Batang"/>
          <w:b w:val="0"/>
          <w:color w:val="000000"/>
          <w:sz w:val="20"/>
        </w:rPr>
        <w:t xml:space="preserve"> (A) Korean questions. (B) English questions. Each curve starts at a model alone (filled circle) and replaces its answers with GPT-6.1 Sol answers in order of increasing confidence until every valid answer is replaced. Open circles mark 20% referred, and grey diamonds are the reference models in Table 2. Claude Opus 5.5 and Claude Sonnet 5.5 cost more than US$1 per 1,000 questions and are shown as arrows at the right edge, labelled with their cost. Cost includes the model on every question and Sol on referred questions.</w:t>
      </w:r>
    </w:p>
    <w:p>
      <w:r>
        <w:rPr>
          <w:rFonts w:ascii="Times New Roman" w:hAnsi="Times New Roman" w:eastAsia="Batang"/>
          <w:b w:val="0"/>
          <w:color w:val="000000"/>
        </w:rPr>
        <w:t>Letter probabilities performed comparably at this share, catching 77% of Korean and 68% of English errors, because the 11% to 14% of Luna answers below one held many errors. Beyond that point their ranking reduced to random choice among tied answers (Figure 1).</w:t>
      </w:r>
    </w:p>
    <w:p>
      <w:pPr>
        <w:pStyle w:val="Heading2"/>
      </w:pPr>
      <w:r>
        <w:t>Stability of referral decisions</w:t>
      </w:r>
    </w:p>
    <w:p>
      <w:r>
        <w:rPr>
          <w:rFonts w:ascii="Times New Roman" w:hAnsi="Times New Roman" w:eastAsia="Batang"/>
          <w:b w:val="0"/>
          <w:color w:val="000000"/>
        </w:rPr>
        <w:t>OpenAI Decisions and Clef returned identical outputs on every identical repeat, whereas Jev's answer changed on about 2% of repeats. Rotating the options changed answers on 4.8% to 10.1% of rotations and referral decisions on 7.1% to 16.4% (Figure 3 and Supplementary Table 6). For referral decisions this exceeded identical repetition by 5.0 to 16.4 percentage points, with every 95% confidence interval above zero. Mean accuracy across rotations stayed within 1.5 percentage points of unchanged-order accuracy.</w:t>
      </w:r>
    </w:p>
    <w:p>
      <w:pPr>
        <w:keepNext/>
        <w:spacing w:before="160"/>
        <w:jc w:val="center"/>
      </w:pPr>
      <w:r>
        <w:drawing>
          <wp:inline xmlns:a="http://schemas.openxmlformats.org/drawingml/2006/main" xmlns:pic="http://schemas.openxmlformats.org/drawingml/2006/picture">
            <wp:extent cx="6309360" cy="3749039"/>
            <wp:docPr id="3" name="Picture 3" descr="Answer and referral changes under rotation and identical repetition for the three decision models"/>
            <wp:cNvGraphicFramePr>
              <a:graphicFrameLocks noChangeAspect="1"/>
            </wp:cNvGraphicFramePr>
            <a:graphic>
              <a:graphicData uri="http://schemas.openxmlformats.org/drawingml/2006/picture">
                <pic:pic>
                  <pic:nvPicPr>
                    <pic:cNvPr id="0" name="figure-3-option-order.png"/>
                    <pic:cNvPicPr/>
                  </pic:nvPicPr>
                  <pic:blipFill>
                    <a:blip r:embed="rId12"/>
                    <a:stretch>
                      <a:fillRect/>
                    </a:stretch>
                  </pic:blipFill>
                  <pic:spPr>
                    <a:xfrm>
                      <a:off x="0" y="0"/>
                      <a:ext cx="6309360" cy="3749039"/>
                    </a:xfrm>
                    <a:prstGeom prst="rect"/>
                  </pic:spPr>
                </pic:pic>
              </a:graphicData>
            </a:graphic>
          </wp:inline>
        </w:drawing>
      </w:r>
    </w:p>
    <w:p>
      <w:pPr>
        <w:spacing w:line="240" w:lineRule="auto" w:after="200"/>
      </w:pPr>
      <w:r>
        <w:rPr>
          <w:rFonts w:ascii="Times New Roman" w:hAnsi="Times New Roman" w:eastAsia="Batang"/>
          <w:b w:val="0"/>
          <w:color w:val="000000"/>
          <w:sz w:val="20"/>
        </w:rPr>
      </w:r>
      <w:r>
        <w:rPr>
          <w:rFonts w:ascii="Times New Roman" w:hAnsi="Times New Roman" w:eastAsia="Batang"/>
          <w:b/>
          <w:color w:val="000000"/>
          <w:sz w:val="20"/>
        </w:rPr>
        <w:t>Figure 3. Changes in answers and referral decisions when the answer options were reordered.</w:t>
      </w:r>
      <w:r>
        <w:rPr>
          <w:rFonts w:ascii="Times New Roman" w:hAnsi="Times New Roman" w:eastAsia="Batang"/>
          <w:b w:val="0"/>
          <w:color w:val="000000"/>
          <w:sz w:val="20"/>
        </w:rPr>
        <w:t xml:space="preserve"> Bars show the mean share of nonzero rotations (colored) or of one identical repeat (grey) in which the outcome differed from a contemporary unchanged-order request. (A, B) Selected answer in Korean and English questions. (C, D) Referral decision, at each model's threshold for its least confident 20% of answers, in Korean and English questions. Error bars are 95% bootstrap intervals. Identical repeats of OpenAI Decisions and Clef never changed.</w:t>
      </w:r>
    </w:p>
    <w:p>
      <w:pPr>
        <w:pStyle w:val="Heading2"/>
      </w:pPr>
      <w:r>
        <w:t>Where errors remained</w:t>
      </w:r>
    </w:p>
    <w:p>
      <w:r>
        <w:rPr>
          <w:rFonts w:ascii="Times New Roman" w:hAnsi="Times New Roman" w:eastAsia="Batang"/>
          <w:b w:val="0"/>
          <w:color w:val="000000"/>
        </w:rPr>
        <w:t>In English, confident errors differed from cautious errors in the same way for all three models (Table 4). They rarely changed under rotation (3% to 15% of rotations, against 33% to 49% for cautious errors), fell on questions that the reference models also found difficult and more often matched the wrong answer of GPT-6 Luna without reasoning. GPT-6.1 Sol corrected fewer of them, and a physician majority more often endorsed the model's answer. In Korean the pattern held for Jev, whereas OpenAI Decisions left only 3 confident errors and Clef's confident errors were nearly as unstable as its cautious errors (Supplementary Table 7).</w:t>
      </w:r>
    </w:p>
    <w:p>
      <w:pPr>
        <w:keepNext/>
        <w:spacing w:line="240" w:lineRule="auto" w:after="120" w:before="160"/>
      </w:pPr>
      <w:r>
        <w:rPr>
          <w:rFonts w:ascii="Times New Roman" w:hAnsi="Times New Roman" w:eastAsia="Batang"/>
          <w:b w:val="0"/>
          <w:color w:val="000000"/>
          <w:sz w:val="20"/>
        </w:rPr>
      </w:r>
      <w:r>
        <w:rPr>
          <w:rFonts w:ascii="Times New Roman" w:hAnsi="Times New Roman" w:eastAsia="Batang"/>
          <w:b/>
          <w:color w:val="000000"/>
          <w:sz w:val="20"/>
        </w:rPr>
        <w:t>Table 4. Cautious and confident errors in English.</w:t>
      </w:r>
      <w:r>
        <w:rPr>
          <w:rFonts w:ascii="Times New Roman" w:hAnsi="Times New Roman" w:eastAsia="Batang"/>
          <w:b w:val="0"/>
          <w:color w:val="000000"/>
          <w:sz w:val="20"/>
        </w:rPr>
        <w:t xml:space="preserve"> Cautious errors fall within the model's least confident 20% of answers, at a selected probability of 0.770 or less for Jev, 0.800 or less for OpenAI Decisions and 0.739 or less for Clef. Confident errors lie above these thresholds. Rotation changes come from the answer-order experiment. Reference accuracy is the mean accuracy of the six reference models on the same questions.</w:t>
      </w:r>
    </w:p>
    <w:tbl>
      <w:tblPr>
        <w:tblW w:type="auto" w:w="0"/>
        <w:tblLayout w:type="fixed"/>
        <w:tblLook w:firstColumn="1" w:firstRow="1" w:lastColumn="0" w:lastRow="0" w:noHBand="0" w:noVBand="1" w:val="04A0"/>
        <w:tblBorders>
          <w:top w:val="single" w:sz="8" w:color="000000" w:space="0"/>
          <w:left w:val="nil"/>
          <w:bottom w:val="single" w:sz="8" w:color="000000" w:space="0"/>
          <w:right w:val="nil"/>
          <w:insideH w:val="nil"/>
          <w:insideV w:val="nil"/>
        </w:tblBorders>
      </w:tblPr>
      <w:tblGrid>
        <w:gridCol w:w="2880"/>
        <w:gridCol w:w="1152"/>
        <w:gridCol w:w="1152"/>
        <w:gridCol w:w="1224"/>
        <w:gridCol w:w="1224"/>
        <w:gridCol w:w="1152"/>
        <w:gridCol w:w="1152"/>
      </w:tblGrid>
      <w:tr>
        <w:trPr>
          <w:cantSplit/>
          <w:tblHeader w:val="true"/>
        </w:trPr>
        <w:tc>
          <w:tcPr>
            <w:tcW w:type="dxa" w:w="2880"/>
            <w:vAlign w:val="bottom"/>
            <w:tcMar>
              <w:top w:w="30" w:type="dxa"/>
              <w:left w:w="70" w:type="dxa"/>
              <w:bottom w:w="30" w:type="dxa"/>
              <w:right w:w="70" w:type="dxa"/>
            </w:tcMar>
            <w:tcBorders>
              <w:bottom w:val="single" w:sz="6" w:color="000000" w:space="0"/>
            </w:tcBorders>
          </w:tcPr>
          <w:p>
            <w:pPr>
              <w:keepNext/>
              <w:spacing w:after="0" w:line="240" w:lineRule="auto"/>
              <w:rPr>
                <w:sz w:val="18"/>
              </w:rPr>
            </w:pPr>
            <w:r>
              <w:rPr>
                <w:rFonts w:ascii="Times New Roman" w:hAnsi="Times New Roman" w:eastAsia="Batang"/>
                <w:b/>
                <w:color w:val="000000"/>
                <w:sz w:val="18"/>
              </w:rPr>
              <w:t>Measure</w:t>
            </w:r>
          </w:p>
        </w:tc>
        <w:tc>
          <w:tcPr>
            <w:tcW w:type="dxa" w:w="1152"/>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Jev, cautious</w:t>
            </w:r>
          </w:p>
        </w:tc>
        <w:tc>
          <w:tcPr>
            <w:tcW w:type="dxa" w:w="1152"/>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Jev, confident</w:t>
            </w:r>
          </w:p>
        </w:tc>
        <w:tc>
          <w:tcPr>
            <w:tcW w:type="dxa" w:w="1224"/>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OpenAI Decisions, cautious</w:t>
            </w:r>
          </w:p>
        </w:tc>
        <w:tc>
          <w:tcPr>
            <w:tcW w:type="dxa" w:w="1224"/>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OpenAI Decisions, confident</w:t>
            </w:r>
          </w:p>
        </w:tc>
        <w:tc>
          <w:tcPr>
            <w:tcW w:type="dxa" w:w="1152"/>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Clef, cautious</w:t>
            </w:r>
          </w:p>
        </w:tc>
        <w:tc>
          <w:tcPr>
            <w:tcW w:type="dxa" w:w="1152"/>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Clef, confident</w:t>
            </w:r>
          </w:p>
        </w:tc>
      </w:tr>
      <w:tr>
        <w:trPr>
          <w:cantSplit/>
        </w:trPr>
        <w:tc>
          <w:tcPr>
            <w:tcW w:type="dxa" w:w="288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Errors, n</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113</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42</w:t>
            </w:r>
          </w:p>
        </w:tc>
        <w:tc>
          <w:tcPr>
            <w:tcW w:type="dxa" w:w="1224"/>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112</w:t>
            </w:r>
          </w:p>
        </w:tc>
        <w:tc>
          <w:tcPr>
            <w:tcW w:type="dxa" w:w="1224"/>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44</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121</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73</w:t>
            </w:r>
          </w:p>
        </w:tc>
      </w:tr>
      <w:tr>
        <w:trPr>
          <w:cantSplit/>
        </w:trPr>
        <w:tc>
          <w:tcPr>
            <w:tcW w:type="dxa" w:w="288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Answer changed under rotation, %</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33.3</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3.2</w:t>
            </w:r>
          </w:p>
        </w:tc>
        <w:tc>
          <w:tcPr>
            <w:tcW w:type="dxa" w:w="1224"/>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41.2</w:t>
            </w:r>
          </w:p>
        </w:tc>
        <w:tc>
          <w:tcPr>
            <w:tcW w:type="dxa" w:w="1224"/>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11.1</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49.0</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15.1</w:t>
            </w:r>
          </w:p>
        </w:tc>
      </w:tr>
      <w:tr>
        <w:trPr>
          <w:cantSplit/>
        </w:trPr>
        <w:tc>
          <w:tcPr>
            <w:tcW w:type="dxa" w:w="288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Corrected by GPT-6.1 Sol, %</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85.0</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69.0</w:t>
            </w:r>
          </w:p>
        </w:tc>
        <w:tc>
          <w:tcPr>
            <w:tcW w:type="dxa" w:w="1224"/>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83.0</w:t>
            </w:r>
          </w:p>
        </w:tc>
        <w:tc>
          <w:tcPr>
            <w:tcW w:type="dxa" w:w="1224"/>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79.5</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91.7</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78.1</w:t>
            </w:r>
          </w:p>
        </w:tc>
      </w:tr>
      <w:tr>
        <w:trPr>
          <w:cantSplit/>
        </w:trPr>
        <w:tc>
          <w:tcPr>
            <w:tcW w:type="dxa" w:w="288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Mean reference accuracy, %</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78.8</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62.3</w:t>
            </w:r>
          </w:p>
        </w:tc>
        <w:tc>
          <w:tcPr>
            <w:tcW w:type="dxa" w:w="1224"/>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72.6</w:t>
            </w:r>
          </w:p>
        </w:tc>
        <w:tc>
          <w:tcPr>
            <w:tcW w:type="dxa" w:w="1224"/>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67.0</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84.6</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68.7</w:t>
            </w:r>
          </w:p>
        </w:tc>
      </w:tr>
      <w:tr>
        <w:trPr>
          <w:cantSplit/>
        </w:trPr>
        <w:tc>
          <w:tcPr>
            <w:tcW w:type="dxa" w:w="288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GPT-6 Luna none chose the same wrong option, %</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29.2</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61.9</w:t>
            </w:r>
          </w:p>
        </w:tc>
        <w:tc>
          <w:tcPr>
            <w:tcW w:type="dxa" w:w="1224"/>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50.9</w:t>
            </w:r>
          </w:p>
        </w:tc>
        <w:tc>
          <w:tcPr>
            <w:tcW w:type="dxa" w:w="1224"/>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72.7</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28.9</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49.3</w:t>
            </w:r>
          </w:p>
        </w:tc>
      </w:tr>
      <w:tr>
        <w:trPr>
          <w:cantSplit/>
        </w:trPr>
        <w:tc>
          <w:tcPr>
            <w:tcW w:type="dxa" w:w="288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Physician-majority flagged, %</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40.7</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45.2</w:t>
            </w:r>
          </w:p>
        </w:tc>
        <w:tc>
          <w:tcPr>
            <w:tcW w:type="dxa" w:w="1224"/>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35.7</w:t>
            </w:r>
          </w:p>
        </w:tc>
        <w:tc>
          <w:tcPr>
            <w:tcW w:type="dxa" w:w="1224"/>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36.4</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28.9</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37.0</w:t>
            </w:r>
          </w:p>
        </w:tc>
      </w:tr>
      <w:tr>
        <w:trPr>
          <w:cantSplit/>
        </w:trPr>
        <w:tc>
          <w:tcPr>
            <w:tcW w:type="dxa" w:w="2880"/>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t>Physician majority chose the model's answer, %</w:t>
            </w:r>
          </w:p>
        </w:tc>
        <w:tc>
          <w:tcPr>
            <w:tcW w:type="dxa" w:w="1152"/>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10.6</w:t>
            </w:r>
          </w:p>
        </w:tc>
        <w:tc>
          <w:tcPr>
            <w:tcW w:type="dxa" w:w="1152"/>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19.0</w:t>
            </w:r>
          </w:p>
        </w:tc>
        <w:tc>
          <w:tcPr>
            <w:tcW w:type="dxa" w:w="122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7.1</w:t>
            </w:r>
          </w:p>
        </w:tc>
        <w:tc>
          <w:tcPr>
            <w:tcW w:type="dxa" w:w="122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18.2</w:t>
            </w:r>
          </w:p>
        </w:tc>
        <w:tc>
          <w:tcPr>
            <w:tcW w:type="dxa" w:w="1152"/>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6.6</w:t>
            </w:r>
          </w:p>
        </w:tc>
        <w:tc>
          <w:tcPr>
            <w:tcW w:type="dxa" w:w="1152"/>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13.7</w:t>
            </w:r>
          </w:p>
        </w:tc>
      </w:tr>
    </w:tbl>
    <w:p>
      <w:pPr>
        <w:spacing w:after="80"/>
      </w:pPr>
    </w:p>
    <w:p>
      <w:r>
        <w:rPr>
          <w:rFonts w:ascii="Times New Roman" w:hAnsi="Times New Roman" w:eastAsia="Batang"/>
          <w:b w:val="0"/>
          <w:color w:val="000000"/>
        </w:rPr>
        <w:t>Questions whose answer depends on Korean law or administration formed 16% of the Korean cohort but 33% to 54% of the decision models' errors (Supplementary Table 8), a weakness shared by most reference models. Most of these errors fell within each model's least confident 20%, and all of them for OpenAI Decisions. In one example, all three decision models chose disclosure of a soldier's HIV infection to the patient alone, whereas the key, reflecting an examination-era legal exception for military settings, also required notifying the unit commander (Supplementary Table 9).</w:t>
      </w:r>
    </w:p>
    <w:p>
      <w:r>
        <w:rPr>
          <w:rFonts w:ascii="Times New Roman" w:hAnsi="Times New Roman" w:eastAsia="Batang"/>
          <w:b w:val="0"/>
          <w:color w:val="000000"/>
        </w:rPr>
        <w:t>Physician-flagged questions formed 15% of the English cohort but held 32% to 42% of the decision models' errors. Excluding them raised every model's accuracy and error AUROC and left the comparisons unchanged (Supplementary Table 10). The three decision models were all wrong on 63 English questions, and a physician majority had flagged half of them.</w:t>
      </w:r>
    </w:p>
    <w:p>
      <w:pPr>
        <w:pStyle w:val="Heading1"/>
      </w:pPr>
      <w:r>
        <w:t>Discussion</w:t>
      </w:r>
    </w:p>
    <w:p>
      <w:r>
        <w:rPr>
          <w:rFonts w:ascii="Times New Roman" w:hAnsi="Times New Roman" w:eastAsia="Batang"/>
          <w:b w:val="0"/>
          <w:color w:val="000000"/>
        </w:rPr>
        <w:t>The native probabilities of three decision models identified most of their errors on Korean and US licensing questions. Referring the least confident fifth of answers caught 56% to 91% of errors, and referral to a stronger model raised accuracy by 6 to 9 percentage points at a quarter to a third of that model's cost. Because the referral share is set from the models' own confidence, the approach can be put in place before any outcomes are labeled. Figures 1 and 2 show the same tradeoff at other workloads.</w:t>
      </w:r>
    </w:p>
    <w:p>
      <w:r>
        <w:rPr>
          <w:rFonts w:ascii="Times New Roman" w:hAnsi="Times New Roman" w:eastAsia="Batang"/>
          <w:b w:val="0"/>
          <w:color w:val="000000"/>
        </w:rPr>
        <w:t>The letter-probability comparison contrasts a decision model with the probabilities of its base generative model. OpenAI Decisions ranked errors clearly better than the answer-letter probabilities of GPT-6 Luna, which were nearly always exactly one. Letter probabilities nonetheless matched the decision models at a 20% referral share, because the few answers they scored below one contained many errors. Beyond those answers, about one in eight, they could not rank the rest. A decision model should therefore be compared with the strongest simple alternative at the same referral share [6], and a high AUROC should not be read as an accurate chance of clinical correctness [13].</w:t>
      </w:r>
    </w:p>
    <w:p>
      <w:r>
        <w:rPr>
          <w:rFonts w:ascii="Times New Roman" w:hAnsi="Times New Roman" w:eastAsia="Batang"/>
          <w:b w:val="0"/>
          <w:color w:val="000000"/>
        </w:rPr>
        <w:t>The 20% share set a workload rather than a tolerance for error. A referral share can be matched to reviewer capacity using confidence values alone. Controlling the error rate among accepted answers instead requires labeled validation data, as in selective classification [25], and conformal risk control offers related guarantees on expected loss [26]. Neither guarantee was evaluated here.</w:t>
      </w:r>
    </w:p>
    <w:p>
      <w:r>
        <w:rPr>
          <w:rFonts w:ascii="Times New Roman" w:hAnsi="Times New Roman" w:eastAsia="Batang"/>
          <w:b w:val="0"/>
          <w:color w:val="000000"/>
        </w:rPr>
        <w:t>Referral changed the kind of errors that remained. Cautious errors were unstable under option rotation and usually corrected, as expected when probability is split between close options. In English, confident errors of all three models were stable under rotation and often matched the wrong choice of other models. A salient pattern may outweigh the detail that changes the answer, or the key itself may be disputed, since physicians more often endorsed the model's answer for confident errors. Consistent with reports that models answer confidently when no correct option exists [27], such errors escape confidence thresholds and consistency checks, and their frequency needs auditing, for example by reviewing a random sample of confident answers.</w:t>
      </w:r>
    </w:p>
    <w:p>
      <w:r>
        <w:rPr>
          <w:rFonts w:ascii="Times New Roman" w:hAnsi="Times New Roman" w:eastAsia="Batang"/>
          <w:b w:val="0"/>
          <w:color w:val="000000"/>
        </w:rPr>
        <w:t>The cohorts showed different persistent errors. In Korean, national law and administration remained a weak point for nearly every model, consistent with the KorMedMCQA authors' attribution of 34% of errors in a selected multiprofession sample to Korean healthcare law and regulations [17]. Low confidence flagged most of these errors. Even so, decisions that depend on local law or regulation should be validated in each jurisdiction where a decision model is used. In English, questions that all decision models missed were often questions that physicians themselves disputed, consistent with an independent physician review of MedQA [16], so accuracy near the benchmark ceiling partly reflects agreement with historical keys.</w:t>
      </w:r>
    </w:p>
    <w:p>
      <w:r>
        <w:rPr>
          <w:rFonts w:ascii="Times New Roman" w:hAnsi="Times New Roman" w:eastAsia="Batang"/>
          <w:b w:val="0"/>
          <w:color w:val="000000"/>
        </w:rPr>
        <w:t>Option order affected referral for every model. Previous studies found that option order can change multiple-choice predictions [14,15]. Here, OpenAI Decisions and Clef were fully repeatable, yet rotating fixed answer texts changed about one in ten of their referral decisions while aggregate accuracy barely changed. Evaluations should therefore report the stability of individual decisions, not only aggregate accuracy.</w:t>
      </w:r>
    </w:p>
    <w:p>
      <w:r>
        <w:rPr>
          <w:rFonts w:ascii="Times New Roman" w:hAnsi="Times New Roman" w:eastAsia="Batang"/>
          <w:b w:val="0"/>
          <w:color w:val="000000"/>
        </w:rPr>
        <w:t>This exploratory study has four main limitations. First, several analyses, including the referral share and the oracle comparison, were chosen after earlier results were known. Second, examination questions differ from clinical decisions. The models may have seen these public questions during training, the keys reflect historical examinations rather than current practice, and the Korean and English cohorts differ in more than language. Third, the models were accessed through commercial services at different times, without disclosed implementation details, and costs are list-price estimates. Fourth, referral was simulated with another model's answers, so the benefit of referring to clinicians, and the explanations proposed for confident errors, remain to be tested. The next step is evaluation in real clinical workflows, where a decision model triages actual cases and clinicians review the referred share.</w:t>
      </w:r>
    </w:p>
    <w:p>
      <w:pPr>
        <w:pStyle w:val="Heading1"/>
      </w:pPr>
      <w:r>
        <w:t>Conclusions</w:t>
      </w:r>
    </w:p>
    <w:p>
      <w:r>
        <w:rPr>
          <w:rFonts w:ascii="Times New Roman" w:hAnsi="Times New Roman" w:eastAsia="Batang"/>
          <w:b w:val="0"/>
          <w:color w:val="000000"/>
        </w:rPr>
        <w:t>Decision models return option probabilities that can be used directly to decide which answers need a second look. On Korean and US licensing questions, referring each model's least confident fifth of answers caught most of its errors and recovered most of a stronger model's accuracy at a fraction of its cost, and the referral share can be set without knowing which answers are correct. Licensing questions only approximate clinical decisions. Even so, decision models could act as a first reader in well-bounded clinical tasks, with a clinician reviewing a fixed share of the least confident answers. Such use would need local validation and periodic audits of confident answers, since confident errors and order-dependent referral remained.</w:t>
      </w:r>
    </w:p>
    <w:p>
      <w:pPr>
        <w:pStyle w:val="Heading1"/>
      </w:pPr>
      <w:r>
        <w:t>Declarations</w:t>
      </w:r>
    </w:p>
    <w:p>
      <w:r>
        <w:rPr>
          <w:rFonts w:ascii="Times New Roman" w:hAnsi="Times New Roman" w:eastAsia="Batang"/>
          <w:b w:val="0"/>
          <w:color w:val="000000"/>
        </w:rPr>
      </w:r>
      <w:r>
        <w:rPr>
          <w:rFonts w:ascii="Times New Roman" w:hAnsi="Times New Roman" w:eastAsia="Batang"/>
          <w:b/>
          <w:color w:val="000000"/>
        </w:rPr>
        <w:t>Ethics statement</w:t>
      </w:r>
      <w:r>
        <w:rPr>
          <w:rFonts w:ascii="Times New Roman" w:hAnsi="Times New Roman" w:eastAsia="Batang"/>
          <w:b w:val="0"/>
          <w:color w:val="000000"/>
        </w:rPr>
        <w:t xml:space="preserve"> This study analysed publicly released examination questions and model outputs. It involved no human participants, patient data or identifiable personal information, and institutional review board review was therefore not required.</w:t>
      </w:r>
    </w:p>
    <w:p>
      <w:r>
        <w:rPr>
          <w:rFonts w:ascii="Times New Roman" w:hAnsi="Times New Roman" w:eastAsia="Batang"/>
          <w:b w:val="0"/>
          <w:color w:val="000000"/>
        </w:rPr>
      </w:r>
      <w:r>
        <w:rPr>
          <w:rFonts w:ascii="Times New Roman" w:hAnsi="Times New Roman" w:eastAsia="Batang"/>
          <w:b/>
          <w:color w:val="000000"/>
        </w:rPr>
        <w:t>Registration and patient involvement</w:t>
      </w:r>
      <w:r>
        <w:rPr>
          <w:rFonts w:ascii="Times New Roman" w:hAnsi="Times New Roman" w:eastAsia="Batang"/>
          <w:b w:val="0"/>
          <w:color w:val="000000"/>
        </w:rPr>
        <w:t xml:space="preserve"> Study protocols and analysis code are available in the code repository. The study was not registered. No patients or members of the public were involved in the design, conduct or reporting of this research.</w:t>
      </w:r>
    </w:p>
    <w:p>
      <w:r>
        <w:rPr>
          <w:rFonts w:ascii="Times New Roman" w:hAnsi="Times New Roman" w:eastAsia="Batang"/>
          <w:b w:val="0"/>
          <w:color w:val="000000"/>
        </w:rPr>
      </w:r>
      <w:r>
        <w:rPr>
          <w:rFonts w:ascii="Times New Roman" w:hAnsi="Times New Roman" w:eastAsia="Batang"/>
          <w:b/>
          <w:color w:val="000000"/>
        </w:rPr>
        <w:t>Funding</w:t>
      </w:r>
      <w:r>
        <w:rPr>
          <w:rFonts w:ascii="Times New Roman" w:hAnsi="Times New Roman" w:eastAsia="Batang"/>
          <w:b w:val="0"/>
          <w:color w:val="000000"/>
        </w:rPr>
        <w:t xml:space="preserve"> This research was supported by the National Research Foundation of Korea (NRF), funded by the Korean government (MSIT) (RS-2025-02214129). The funder had no role in study design, data collection, analysis, interpretation or writing of the manuscript.</w:t>
      </w:r>
    </w:p>
    <w:p>
      <w:r>
        <w:rPr>
          <w:rFonts w:ascii="Times New Roman" w:hAnsi="Times New Roman" w:eastAsia="Batang"/>
          <w:b w:val="0"/>
          <w:color w:val="000000"/>
        </w:rPr>
      </w:r>
      <w:r>
        <w:rPr>
          <w:rFonts w:ascii="Times New Roman" w:hAnsi="Times New Roman" w:eastAsia="Batang"/>
          <w:b/>
          <w:color w:val="000000"/>
        </w:rPr>
        <w:t>Competing interests</w:t>
      </w:r>
      <w:r>
        <w:rPr>
          <w:rFonts w:ascii="Times New Roman" w:hAnsi="Times New Roman" w:eastAsia="Batang"/>
          <w:b w:val="0"/>
          <w:color w:val="000000"/>
        </w:rPr>
        <w:t xml:space="preserve"> The author declares no competing interests. Jev, OpenAI Decisions and Clef were used through standard accounts on the same terms as other users. TypeSafe AI, OpenAI and Cloudflare had no role in study design, data collection, analysis, interpretation or writing.</w:t>
      </w:r>
    </w:p>
    <w:p>
      <w:r>
        <w:rPr>
          <w:rFonts w:ascii="Times New Roman" w:hAnsi="Times New Roman" w:eastAsia="Batang"/>
          <w:b w:val="0"/>
          <w:color w:val="000000"/>
        </w:rPr>
      </w:r>
      <w:r>
        <w:rPr>
          <w:rFonts w:ascii="Times New Roman" w:hAnsi="Times New Roman" w:eastAsia="Batang"/>
          <w:b/>
          <w:color w:val="000000"/>
        </w:rPr>
        <w:t>Data and code availability</w:t>
      </w:r>
      <w:r>
        <w:rPr>
          <w:rFonts w:ascii="Times New Roman" w:hAnsi="Times New Roman" w:eastAsia="Batang"/>
          <w:b w:val="0"/>
          <w:color w:val="000000"/>
        </w:rPr>
        <w:t xml:space="preserve"> Code, protocols, model outputs and analysis summaries are available at https://github.com/mahlernim/jev-korean-benchmark. Examination question text is not redistributed. It is available from the public KorMedMCQA (CC BY-NC 2.0) and MedQA (MIT licence) releases at the revisions recorded in the repository. The physician ratings of MedQA are available from their original release [16] at https://github.com/google-health/med-gemini-medqa-relabelling.</w:t>
      </w:r>
    </w:p>
    <w:p>
      <w:r>
        <w:rPr>
          <w:rFonts w:ascii="Times New Roman" w:hAnsi="Times New Roman" w:eastAsia="Batang"/>
          <w:b w:val="0"/>
          <w:color w:val="000000"/>
        </w:rPr>
      </w:r>
      <w:r>
        <w:rPr>
          <w:rFonts w:ascii="Times New Roman" w:hAnsi="Times New Roman" w:eastAsia="Batang"/>
          <w:b/>
          <w:color w:val="000000"/>
        </w:rPr>
        <w:t>Use of AI tools</w:t>
      </w:r>
      <w:r>
        <w:rPr>
          <w:rFonts w:ascii="Times New Roman" w:hAnsi="Times New Roman" w:eastAsia="Batang"/>
          <w:b w:val="0"/>
          <w:color w:val="000000"/>
        </w:rPr>
        <w:t xml:space="preserve"> OpenAI Codex and Anthropic Claude Code assisted with analysis code. Korean content labels and draft characterizations of selected errors were produced with GPT-6.1 Sol. The author reviewed all code, outputs and text and takes full responsibility for the content.</w:t>
      </w:r>
    </w:p>
    <w:p>
      <w:r>
        <w:rPr>
          <w:rFonts w:ascii="Times New Roman" w:hAnsi="Times New Roman" w:eastAsia="Batang"/>
          <w:b w:val="0"/>
          <w:color w:val="000000"/>
        </w:rPr>
      </w:r>
      <w:r>
        <w:rPr>
          <w:rFonts w:ascii="Times New Roman" w:hAnsi="Times New Roman" w:eastAsia="Batang"/>
          <w:b/>
          <w:color w:val="000000"/>
        </w:rPr>
        <w:t>Author contributions</w:t>
      </w:r>
      <w:r>
        <w:rPr>
          <w:rFonts w:ascii="Times New Roman" w:hAnsi="Times New Roman" w:eastAsia="Batang"/>
          <w:b w:val="0"/>
          <w:color w:val="000000"/>
        </w:rPr>
        <w:t xml:space="preserve"> SA conceived and designed the study, conducted the experiments and analyses, interpreted the results and wrote the manuscript.</w:t>
      </w:r>
    </w:p>
    <w:p>
      <w:pPr>
        <w:pStyle w:val="Heading1"/>
      </w:pPr>
      <w:r>
        <w:t>References</w:t>
      </w:r>
    </w:p>
    <w:p>
      <w:pPr>
        <w:spacing w:after="120"/>
      </w:pPr>
      <w:r>
        <w:rPr>
          <w:rFonts w:ascii="Times New Roman" w:hAnsi="Times New Roman" w:eastAsia="Batang"/>
          <w:b w:val="0"/>
          <w:color w:val="000000"/>
        </w:rPr>
        <w:t>1. Almeida D. Introducing System One Models &amp; Jev. TypeSafe AI blog. 15 September 2026. https://typesafe.ai/blog/introducing-system-one-models-and-jev</w:t>
      </w:r>
    </w:p>
    <w:p>
      <w:pPr>
        <w:spacing w:after="120"/>
      </w:pPr>
      <w:r>
        <w:rPr>
          <w:rFonts w:ascii="Times New Roman" w:hAnsi="Times New Roman" w:eastAsia="Batang"/>
          <w:b w:val="0"/>
          <w:color w:val="000000"/>
        </w:rPr>
        <w:t>2. TypeSafe AI. Choice. TypeSafe AI documentation. Accessed 22 September 2026. https://docs.typesafe.ai/primitives/choice</w:t>
      </w:r>
    </w:p>
    <w:p>
      <w:pPr>
        <w:spacing w:after="120"/>
      </w:pPr>
      <w:r>
        <w:rPr>
          <w:rFonts w:ascii="Times New Roman" w:hAnsi="Times New Roman" w:eastAsia="Batang"/>
          <w:b w:val="0"/>
          <w:color w:val="000000"/>
        </w:rPr>
        <w:t>3. OpenAI. Decisions. OpenAI API documentation. Accessed 7 October 2026. https://developers.openai.com/api/docs/guides/decisions</w:t>
      </w:r>
    </w:p>
    <w:p>
      <w:pPr>
        <w:spacing w:after="120"/>
      </w:pPr>
      <w:r>
        <w:rPr>
          <w:rFonts w:ascii="Times New Roman" w:hAnsi="Times New Roman" w:eastAsia="Batang"/>
          <w:b w:val="0"/>
          <w:color w:val="000000"/>
        </w:rPr>
        <w:t>4. OpenAI. DevDay 2026 Recap. 29 September 2026. https://openai.com/index/devday-2026-recap/</w:t>
      </w:r>
    </w:p>
    <w:p>
      <w:pPr>
        <w:spacing w:after="120"/>
      </w:pPr>
      <w:r>
        <w:rPr>
          <w:rFonts w:ascii="Times New Roman" w:hAnsi="Times New Roman" w:eastAsia="Batang"/>
          <w:b w:val="0"/>
          <w:color w:val="000000"/>
        </w:rPr>
        <w:t>5. Chen M, Reneau A, Flansburg K. Introducing Clef: our open-source decision models, and new RL fine-tuning platform. Cloudflare blog. 1 October 2026. https://blog.cloudflare.com/clef-decision-models/</w:t>
      </w:r>
    </w:p>
    <w:p>
      <w:pPr>
        <w:spacing w:after="120"/>
      </w:pPr>
      <w:r>
        <w:rPr>
          <w:rFonts w:ascii="Times New Roman" w:hAnsi="Times New Roman" w:eastAsia="Batang"/>
          <w:b w:val="0"/>
          <w:color w:val="000000"/>
        </w:rPr>
        <w:t>6. Tang L, Zheng Y. Typed Decision Models: An Early Evidence Audit and Evaluation Checklist. arXiv. 2026. https://arxiv.org/abs/2609.32160</w:t>
      </w:r>
    </w:p>
    <w:p>
      <w:pPr>
        <w:spacing w:after="120"/>
      </w:pPr>
      <w:r>
        <w:rPr>
          <w:rFonts w:ascii="Times New Roman" w:hAnsi="Times New Roman" w:eastAsia="Batang"/>
          <w:b w:val="0"/>
          <w:color w:val="000000"/>
        </w:rPr>
        <w:t>7. Yin W, Hay J, Roth D. Benchmarking Zero-shot Text Classification: Datasets, Evaluation and Entailment Approach. Proceedings of EMNLP-IJCNLP 2019. 2019. p. 3914-3923. https://doi.org/10.18653/v1/D19-1404</w:t>
      </w:r>
    </w:p>
    <w:p>
      <w:pPr>
        <w:spacing w:after="120"/>
      </w:pPr>
      <w:r>
        <w:rPr>
          <w:rFonts w:ascii="Times New Roman" w:hAnsi="Times New Roman" w:eastAsia="Batang"/>
          <w:b w:val="0"/>
          <w:color w:val="000000"/>
        </w:rPr>
        <w:t>8. Zaratiana U, Tomeh N, Holat P, Charnois T. GLiNER: Generalist Model for Named Entity Recognition using Bidirectional Transformer. Proceedings of the 2024 Conference of the North American Chapter of the Association for Computational Linguistics: Human Language Technologies (Volume 1: Long Papers). 2024. p. 5364-5376. https://doi.org/10.18653/v1/2024.naacl-long.300</w:t>
      </w:r>
    </w:p>
    <w:p>
      <w:pPr>
        <w:spacing w:after="120"/>
      </w:pPr>
      <w:r>
        <w:rPr>
          <w:rFonts w:ascii="Times New Roman" w:hAnsi="Times New Roman" w:eastAsia="Batang"/>
          <w:b w:val="0"/>
          <w:color w:val="000000"/>
        </w:rPr>
        <w:t>9. Yazdani A, Stepanov I, Teodoro D. GLiNER-BioMed: A Suite of Efficient Models for Open Biomedical Named Entity Recognition. arXiv. 2025. Version 2. https://arxiv.org/abs/2504.00676v2</w:t>
      </w:r>
    </w:p>
    <w:p>
      <w:pPr>
        <w:spacing w:after="120"/>
      </w:pPr>
      <w:r>
        <w:rPr>
          <w:rFonts w:ascii="Times New Roman" w:hAnsi="Times New Roman" w:eastAsia="Batang"/>
          <w:b w:val="0"/>
          <w:color w:val="000000"/>
        </w:rPr>
        <w:t>10. Kompa B, Snoek J, Beam AL. Second opinion needed: communicating uncertainty in medical machine learning. npj Digital Medicine. 2021;4:4. https://doi.org/10.1038/s41746-020-00367-3</w:t>
      </w:r>
    </w:p>
    <w:p>
      <w:pPr>
        <w:spacing w:after="120"/>
      </w:pPr>
      <w:r>
        <w:rPr>
          <w:rFonts w:ascii="Times New Roman" w:hAnsi="Times New Roman" w:eastAsia="Batang"/>
          <w:b w:val="0"/>
          <w:color w:val="000000"/>
        </w:rPr>
        <w:t>11. Dvijotham K, Winkens J, Barsbey M, Ghaisas S, Stanforth R, Pawlowski N, et al. Enhancing the reliability and accuracy of AI-enabled diagnosis via complementarity-driven deferral to clinicians. Nature Medicine. 2023;29(7):1814-1820. https://doi.org/10.1038/s41591-023-02437-x</w:t>
      </w:r>
    </w:p>
    <w:p>
      <w:pPr>
        <w:spacing w:after="120"/>
      </w:pPr>
      <w:r>
        <w:rPr>
          <w:rFonts w:ascii="Times New Roman" w:hAnsi="Times New Roman" w:eastAsia="Batang"/>
          <w:b w:val="0"/>
          <w:color w:val="000000"/>
        </w:rPr>
        <w:t>12. Chen L, Zaharia M, Zou J. FrugalGPT: How to Use Large Language Models While Reducing Cost and Improving Performance. Transactions on Machine Learning Research. 2024. https://openreview.net/forum?id=cSimKw5p6R</w:t>
      </w:r>
    </w:p>
    <w:p>
      <w:pPr>
        <w:spacing w:after="120"/>
      </w:pPr>
      <w:r>
        <w:rPr>
          <w:rFonts w:ascii="Times New Roman" w:hAnsi="Times New Roman" w:eastAsia="Batang"/>
          <w:b w:val="0"/>
          <w:color w:val="000000"/>
        </w:rPr>
        <w:t>13. Bentegeac R, Le Guellec B, Kuchcinski G, Amouyel P, Hamroun A. Token Probabilities to Mitigate Large Language Models Overconfidence in Answering Medical Questions: Quantitative Study. Journal of Medical Internet Research. 2025;27:e64348. https://doi.org/10.2196/64348</w:t>
      </w:r>
    </w:p>
    <w:p>
      <w:pPr>
        <w:spacing w:after="120"/>
      </w:pPr>
      <w:r>
        <w:rPr>
          <w:rFonts w:ascii="Times New Roman" w:hAnsi="Times New Roman" w:eastAsia="Batang"/>
          <w:b w:val="0"/>
          <w:color w:val="000000"/>
        </w:rPr>
        <w:t>14. Pezeshkpour P, Hruschka E. Large Language Models Sensitivity to The Order of Options in Multiple-Choice Questions. Findings of the Association for Computational Linguistics: NAACL 2024. 2024. p. 2006-2017. https://doi.org/10.18653/v1/2024.findings-naacl.130</w:t>
      </w:r>
    </w:p>
    <w:p>
      <w:pPr>
        <w:spacing w:after="120"/>
      </w:pPr>
      <w:r>
        <w:rPr>
          <w:rFonts w:ascii="Times New Roman" w:hAnsi="Times New Roman" w:eastAsia="Batang"/>
          <w:b w:val="0"/>
          <w:color w:val="000000"/>
        </w:rPr>
        <w:t>15. Zheng C, Zhou H, Meng F, Zhou J, Huang M. Large Language Models Are Not Robust Multiple Choice Selectors. International Conference on Learning Representations. 2024. https://proceedings.iclr.cc/paper_files/paper/2024/hash/54dd9e0cff6d9214e20d97eb2a3bae49-Abstract-Conference.html</w:t>
      </w:r>
    </w:p>
    <w:p>
      <w:pPr>
        <w:spacing w:after="120"/>
      </w:pPr>
      <w:r>
        <w:rPr>
          <w:rFonts w:ascii="Times New Roman" w:hAnsi="Times New Roman" w:eastAsia="Batang"/>
          <w:b w:val="0"/>
          <w:color w:val="000000"/>
        </w:rPr>
        <w:t>16. Saab K, Tu T, Weng WH, Tanno R, Stutz D, Wulczyn E, et al. Capabilities of Gemini Models in Medicine. arXiv. 2024. Version 2. https://arxiv.org/abs/2404.18416v2. Physician annotations at https://github.com/google-health/med-gemini-medqa-relabelling</w:t>
      </w:r>
    </w:p>
    <w:p>
      <w:pPr>
        <w:spacing w:after="120"/>
      </w:pPr>
      <w:r>
        <w:rPr>
          <w:rFonts w:ascii="Times New Roman" w:hAnsi="Times New Roman" w:eastAsia="Batang"/>
          <w:b w:val="0"/>
          <w:color w:val="000000"/>
        </w:rPr>
        <w:t>17. Kweon S, Choi B, Chu G, Song J, Hyeon D, Gan S, et al. KorMedMCQA: Multi-Choice Question Answering Benchmark for Korean Healthcare Professional Licensing Examinations. arXiv. 2024. Version 3. https://arxiv.org/abs/2403.01469v3</w:t>
      </w:r>
    </w:p>
    <w:p>
      <w:pPr>
        <w:spacing w:after="120"/>
      </w:pPr>
      <w:r>
        <w:rPr>
          <w:rFonts w:ascii="Times New Roman" w:hAnsi="Times New Roman" w:eastAsia="Batang"/>
          <w:b w:val="0"/>
          <w:color w:val="000000"/>
        </w:rPr>
        <w:t>18. Li Y, Miao Y, Krishnan R, Padman R. JEV-as-a-Judge: Accept When Confident, Escalate When Unsure. arXiv. 2026. Version 3. https://arxiv.org/abs/2609.26550v3</w:t>
      </w:r>
    </w:p>
    <w:p>
      <w:pPr>
        <w:spacing w:after="120"/>
      </w:pPr>
      <w:r>
        <w:rPr>
          <w:rFonts w:ascii="Times New Roman" w:hAnsi="Times New Roman" w:eastAsia="Batang"/>
          <w:b w:val="0"/>
          <w:color w:val="000000"/>
        </w:rPr>
        <w:t>19. Deußer T, Sparrenberg L, Sifa R. Evaluating and Benchmarking the System One Model Jev. arXiv. 2026. https://arxiv.org/abs/2609.37647</w:t>
      </w:r>
    </w:p>
    <w:p>
      <w:pPr>
        <w:spacing w:after="120"/>
      </w:pPr>
      <w:r>
        <w:rPr>
          <w:rFonts w:ascii="Times New Roman" w:hAnsi="Times New Roman" w:eastAsia="Batang"/>
          <w:b w:val="0"/>
          <w:color w:val="000000"/>
        </w:rPr>
        <w:t>20. Madrid-García A, Merino-Barbancho B. Jev in Medicine: A Benchmark Evaluation. arXiv. 2026. Version 3. https://arxiv.org/abs/2609.34024v3</w:t>
      </w:r>
    </w:p>
    <w:p>
      <w:pPr>
        <w:spacing w:after="120"/>
      </w:pPr>
      <w:r>
        <w:rPr>
          <w:rFonts w:ascii="Times New Roman" w:hAnsi="Times New Roman" w:eastAsia="Batang"/>
          <w:b w:val="0"/>
          <w:color w:val="000000"/>
        </w:rPr>
        <w:t>21. Huang J, Yang H, Ma X, Liang X, Cai K, Ma J, et al. Can Jev Judge Radiology Reports? Evaluating a System One Model for Clinical Factuality. arXiv. 2026. https://arxiv.org/abs/2609.27607</w:t>
      </w:r>
    </w:p>
    <w:p>
      <w:pPr>
        <w:spacing w:after="120"/>
      </w:pPr>
      <w:r>
        <w:rPr>
          <w:rFonts w:ascii="Times New Roman" w:hAnsi="Times New Roman" w:eastAsia="Batang"/>
          <w:b w:val="0"/>
          <w:color w:val="000000"/>
        </w:rPr>
        <w:t>22. Gallifant J, Afshar M, Ameen S, Aphinyanaphongs Y, Chen S, Cacciamani G, et al. The TRIPOD-LLM reporting guideline for studies using large language models. Nature Medicine. 2025;31(1):60-69. https://doi.org/10.1038/s41591-024-03425-5</w:t>
      </w:r>
    </w:p>
    <w:p>
      <w:pPr>
        <w:spacing w:after="120"/>
      </w:pPr>
      <w:r>
        <w:rPr>
          <w:rFonts w:ascii="Times New Roman" w:hAnsi="Times New Roman" w:eastAsia="Batang"/>
          <w:b w:val="0"/>
          <w:color w:val="000000"/>
        </w:rPr>
        <w:t>23. Jin D, Pan E, Oufattole N, Weng WH, Fang H, Szolovits P. What Disease Does This Patient Have? A Large-Scale Open Domain Question Answering Dataset from Medical Exams. Applied Sciences. 2021;11(14):6421. https://doi.org/10.3390/app11146421</w:t>
      </w:r>
    </w:p>
    <w:p>
      <w:pPr>
        <w:spacing w:after="120"/>
      </w:pPr>
      <w:r>
        <w:rPr>
          <w:rFonts w:ascii="Times New Roman" w:hAnsi="Times New Roman" w:eastAsia="Batang"/>
          <w:b w:val="0"/>
          <w:color w:val="000000"/>
        </w:rPr>
        <w:t>24. TypeSafe AI. Confidence. TypeSafe AI documentation. Accessed 22 September 2026. https://docs.typesafe.ai/confidence</w:t>
      </w:r>
    </w:p>
    <w:p>
      <w:pPr>
        <w:spacing w:after="120"/>
      </w:pPr>
      <w:r>
        <w:rPr>
          <w:rFonts w:ascii="Times New Roman" w:hAnsi="Times New Roman" w:eastAsia="Batang"/>
          <w:b w:val="0"/>
          <w:color w:val="000000"/>
        </w:rPr>
        <w:t>25. Geifman Y, El-Yaniv R. Selective Classification for Deep Neural Networks. Advances in Neural Information Processing Systems 30. 2017. https://papers.nips.cc/paper_files/paper/2017/hash/4a8423d5e91fda00bb7e46540e2b0cf1-Abstract.html</w:t>
      </w:r>
    </w:p>
    <w:p>
      <w:pPr>
        <w:spacing w:after="120"/>
      </w:pPr>
      <w:r>
        <w:rPr>
          <w:rFonts w:ascii="Times New Roman" w:hAnsi="Times New Roman" w:eastAsia="Batang"/>
          <w:b w:val="0"/>
          <w:color w:val="000000"/>
        </w:rPr>
        <w:t>26. Angelopoulos AN, Bates S, Fisch A, Lei L, Schuster T. Conformal Risk Control. International Conference on Learning Representations. 2024. https://proceedings.iclr.cc/paper_files/paper/2024/hash/f3549ef9b5ff520a7e41ff3cc306ab2b-Abstract-Conference.html</w:t>
      </w:r>
    </w:p>
    <w:p>
      <w:pPr>
        <w:spacing w:after="120"/>
      </w:pPr>
      <w:r>
        <w:rPr>
          <w:rFonts w:ascii="Times New Roman" w:hAnsi="Times New Roman" w:eastAsia="Batang"/>
          <w:b w:val="0"/>
          <w:color w:val="000000"/>
        </w:rPr>
        <w:t>27. Griot M, Hemptinne C, Vanderdonckt J, Yuksel D. Large Language Models lack essential metacognition for reliable medical reasoning. Nature Communications. 2025;16:642. https://doi.org/10.1038/s41467-024-55628-6</w:t>
      </w:r>
    </w:p>
    <w:p>
      <w:pPr>
        <w:pStyle w:val="Heading1"/>
        <w:pageBreakBefore/>
      </w:pPr>
      <w:r>
        <w:t>Supplementary material</w:t>
      </w:r>
    </w:p>
    <w:p>
      <w:pPr>
        <w:pStyle w:val="Heading1"/>
      </w:pPr>
      <w:r>
        <w:t>Supplementary methods</w:t>
      </w:r>
    </w:p>
    <w:p>
      <w:pPr>
        <w:pStyle w:val="Heading2"/>
      </w:pPr>
      <w:r>
        <w:t>Datasets</w:t>
      </w:r>
    </w:p>
    <w:p>
      <w:r>
        <w:rPr>
          <w:rFonts w:ascii="Times New Roman" w:hAnsi="Times New Roman" w:eastAsia="Batang"/>
          <w:b w:val="0"/>
          <w:color w:val="000000"/>
        </w:rPr>
        <w:t>KorMedMCQA used the doctor development (164) and test (435) files of the sean0042 release at revision 79efd6f. MedQA used the four-option development (1,272) and test (1,273) files of the GBaker mirror at revision 17af935, checked item by item against the BigBio four-option release at revision 484a6c0. Development questions were used only for pilot and request checks.</w:t>
      </w:r>
    </w:p>
    <w:p>
      <w:pPr>
        <w:pStyle w:val="Heading2"/>
      </w:pPr>
      <w:r>
        <w:t>Answering prompts</w:t>
      </w:r>
    </w:p>
    <w:p>
      <w:r>
        <w:rPr>
          <w:rFonts w:ascii="Times New Roman" w:hAnsi="Times New Roman" w:eastAsia="Batang"/>
          <w:b w:val="0"/>
          <w:color w:val="000000"/>
        </w:rPr>
        <w:t>The exact Korean instruction was as follows.</w:t>
      </w:r>
    </w:p>
    <w:p>
      <w:pPr>
        <w:keepNext/>
        <w:spacing w:after="40" w:line="240" w:lineRule="auto"/>
      </w:pPr>
      <w:r>
        <w:rPr>
          <w:rFonts w:ascii="Consolas" w:hAnsi="Consolas" w:eastAsia="Batang"/>
          <w:sz w:val="19"/>
        </w:rPr>
        <w:t>`exam.question`에 대한 정답을 선택하세요. 문항에서 요구하는 조건에 따라 다섯 선택지 중 가장 적절한 하나를 고르세요.</w:t>
      </w:r>
    </w:p>
    <w:p>
      <w:r>
        <w:rPr>
          <w:rFonts w:ascii="Times New Roman" w:hAnsi="Times New Roman" w:eastAsia="Batang"/>
          <w:b w:val="0"/>
          <w:color w:val="000000"/>
        </w:rPr>
        <w:t>The exact English instruction was as follows.</w:t>
      </w:r>
    </w:p>
    <w:p>
      <w:pPr>
        <w:keepNext/>
        <w:spacing w:after="40" w:line="240" w:lineRule="auto"/>
      </w:pPr>
      <w:r>
        <w:rPr>
          <w:rFonts w:ascii="Consolas" w:hAnsi="Consolas" w:eastAsia="Batang"/>
          <w:sz w:val="18"/>
        </w:rPr>
        <w:t>Select the correct answer to `exam.question`. Following the conditions requested in the question, choose the single most appropriate of the four options.</w:t>
      </w:r>
    </w:p>
    <w:p>
      <w:r>
        <w:rPr>
          <w:rFonts w:ascii="Times New Roman" w:hAnsi="Times New Roman" w:eastAsia="Batang"/>
          <w:b w:val="0"/>
          <w:color w:val="000000"/>
        </w:rPr>
        <w:t>Jev and Clef received the question as structured state, the instruction as the choice instruction and the option mapping as choice criteria.</w:t>
      </w:r>
    </w:p>
    <w:p>
      <w:pPr>
        <w:keepNext/>
        <w:spacing w:after="40" w:line="240" w:lineRule="auto"/>
      </w:pPr>
      <w:r>
        <w:rPr>
          <w:rFonts w:ascii="Consolas" w:hAnsi="Consolas" w:eastAsia="Batang"/>
          <w:sz w:val="18"/>
        </w:rPr>
        <w:t>{"state":{"exam":{"question":"&lt;QUESTION&gt;"}},</w:t>
      </w:r>
    </w:p>
    <w:p>
      <w:pPr>
        <w:keepNext/>
        <w:spacing w:after="40" w:line="240" w:lineRule="auto"/>
      </w:pPr>
      <w:r>
        <w:rPr>
          <w:rFonts w:ascii="Consolas" w:hAnsi="Consolas" w:eastAsia="Batang"/>
          <w:sz w:val="18"/>
        </w:rPr>
        <w:t xml:space="preserve"> "questions":{"answer":{"type":"choice","instructions":"&lt;INSTRUCTION&gt;",</w:t>
      </w:r>
    </w:p>
    <w:p>
      <w:pPr>
        <w:keepNext/>
        <w:spacing w:after="40" w:line="240" w:lineRule="auto"/>
      </w:pPr>
      <w:r>
        <w:rPr>
          <w:rFonts w:ascii="Consolas" w:hAnsi="Consolas" w:eastAsia="Batang"/>
          <w:sz w:val="18"/>
        </w:rPr>
        <w:t xml:space="preserve">   "criteria":{"A":"&lt;OPTION A&gt;","B":"&lt;OPTION B&gt;","C":"&lt;OPTION C&gt;","D":"&lt;OPTION D&gt;","E":"&lt;OPTION E&gt;"}}}}</w:t>
      </w:r>
    </w:p>
    <w:p>
      <w:r>
        <w:rPr>
          <w:rFonts w:ascii="Times New Roman" w:hAnsi="Times New Roman" w:eastAsia="Batang"/>
          <w:b w:val="0"/>
          <w:color w:val="000000"/>
        </w:rPr>
        <w:t>OpenAI Decisions received the same state serialized as its input text and one choice question with the same instruction and the options as value and description pairs in published order.</w:t>
      </w:r>
    </w:p>
    <w:p>
      <w:pPr>
        <w:keepNext/>
        <w:spacing w:after="40" w:line="240" w:lineRule="auto"/>
      </w:pPr>
      <w:r>
        <w:rPr>
          <w:rFonts w:ascii="Consolas" w:hAnsi="Consolas" w:eastAsia="Batang"/>
          <w:sz w:val="18"/>
        </w:rPr>
        <w:t>{"model":"gpt-6-luna","input":"{\"exam\":{\"question\":\"&lt;QUESTION&gt;\"}}",</w:t>
      </w:r>
    </w:p>
    <w:p>
      <w:pPr>
        <w:keepNext/>
        <w:spacing w:after="40" w:line="240" w:lineRule="auto"/>
      </w:pPr>
      <w:r>
        <w:rPr>
          <w:rFonts w:ascii="Consolas" w:hAnsi="Consolas" w:eastAsia="Batang"/>
          <w:sz w:val="18"/>
        </w:rPr>
        <w:t xml:space="preserve"> "questions":[{"type":"choice","name":"answer","instructions":"&lt;INSTRUCTION&gt;",</w:t>
      </w:r>
    </w:p>
    <w:p>
      <w:pPr>
        <w:keepNext/>
        <w:spacing w:after="40" w:line="240" w:lineRule="auto"/>
      </w:pPr>
      <w:r>
        <w:rPr>
          <w:rFonts w:ascii="Consolas" w:hAnsi="Consolas" w:eastAsia="Batang"/>
          <w:sz w:val="18"/>
        </w:rPr>
        <w:t xml:space="preserve">   "choices":[{"value":"A","description":"&lt;OPTION A&gt;"}, ...]}]}</w:t>
      </w:r>
    </w:p>
    <w:p>
      <w:r>
        <w:rPr>
          <w:rFonts w:ascii="Times New Roman" w:hAnsi="Times New Roman" w:eastAsia="Batang"/>
          <w:b w:val="0"/>
          <w:color w:val="000000"/>
        </w:rPr>
        <w:t>For generative models, the single user message was the instruction, two newline characters, a compact question object, two newline characters and a compact option object, using UTF-8 text without ASCII escaping. No additional system or developer prompt was supplied.</w:t>
      </w:r>
    </w:p>
    <w:p>
      <w:pPr>
        <w:keepNext/>
        <w:spacing w:after="40" w:line="240" w:lineRule="auto"/>
      </w:pPr>
      <w:r>
        <w:rPr>
          <w:rFonts w:ascii="Consolas" w:hAnsi="Consolas" w:eastAsia="Batang"/>
          <w:sz w:val="18"/>
        </w:rPr>
        <w:t>&lt;INSTRUCTION&gt;</w:t>
      </w:r>
    </w:p>
    <w:p>
      <w:pPr>
        <w:keepNext/>
        <w:spacing w:after="40" w:line="240" w:lineRule="auto"/>
      </w:pPr>
      <w:r>
        <w:rPr>
          <w:rFonts w:ascii="Consolas" w:hAnsi="Consolas" w:eastAsia="Batang"/>
          <w:sz w:val="18"/>
        </w:rPr>
      </w:r>
    </w:p>
    <w:p>
      <w:pPr>
        <w:keepNext/>
        <w:spacing w:after="40" w:line="240" w:lineRule="auto"/>
      </w:pPr>
      <w:r>
        <w:rPr>
          <w:rFonts w:ascii="Consolas" w:hAnsi="Consolas" w:eastAsia="Batang"/>
          <w:sz w:val="18"/>
        </w:rPr>
        <w:t>{"exam":{"question":"&lt;QUESTION&gt;"}}</w:t>
      </w:r>
    </w:p>
    <w:p>
      <w:pPr>
        <w:keepNext/>
        <w:spacing w:after="40" w:line="240" w:lineRule="auto"/>
      </w:pPr>
      <w:r>
        <w:rPr>
          <w:rFonts w:ascii="Consolas" w:hAnsi="Consolas" w:eastAsia="Batang"/>
          <w:sz w:val="18"/>
        </w:rPr>
      </w:r>
    </w:p>
    <w:p>
      <w:pPr>
        <w:keepNext/>
        <w:spacing w:after="40" w:line="240" w:lineRule="auto"/>
      </w:pPr>
      <w:r>
        <w:rPr>
          <w:rFonts w:ascii="Consolas" w:hAnsi="Consolas" w:eastAsia="Batang"/>
          <w:sz w:val="18"/>
        </w:rPr>
        <w:t>{"A":"&lt;OPTION A&gt;","B":"&lt;OPTION B&gt;","C":"&lt;OPTION C&gt;","D":"&lt;OPTION D&gt;","E":"&lt;OPTION E&gt;"}</w:t>
      </w:r>
    </w:p>
    <w:p>
      <w:r>
        <w:rPr>
          <w:rFonts w:ascii="Times New Roman" w:hAnsi="Times New Roman" w:eastAsia="Batang"/>
          <w:b w:val="0"/>
          <w:color w:val="000000"/>
        </w:rPr>
        <w:t>English requests omit option E. Generative models returned a JSON object containing only a required answer field restricted to the item's option labels. One structured final answer was scored per question and model.</w:t>
      </w:r>
    </w:p>
    <w:p>
      <w:pPr>
        <w:pStyle w:val="Heading2"/>
      </w:pPr>
      <w:r>
        <w:t>Probability validation and calibration</w:t>
      </w:r>
    </w:p>
    <w:p>
      <w:r>
        <w:rPr>
          <w:rFonts w:ascii="Times New Roman" w:hAnsi="Times New Roman" w:eastAsia="Batang"/>
          <w:b w:val="0"/>
          <w:color w:val="000000"/>
        </w:rPr>
        <w:t>A decision-model response was valid when it contained exactly the offered options with probabilities between zero and one that summed to one within rounding, and when the selected option had the highest probability. OpenAI Decisions rounds probabilities to two decimals and Clef to four. Probabilities were renormalized to sum to one. OpenAI Decisions occasionally returned a refusal without probabilities, which was invalid. Expected calibration error used probability bins with edges at 0.50, 0.70, 0.80, 0.90 and 0.95.</w:t>
      </w:r>
    </w:p>
    <w:p>
      <w:pPr>
        <w:pStyle w:val="Heading2"/>
      </w:pPr>
      <w:r>
        <w:t>Letter-probability baseline</w:t>
      </w:r>
    </w:p>
    <w:p>
      <w:r>
        <w:rPr>
          <w:rFonts w:ascii="Times New Roman" w:hAnsi="Times New Roman" w:eastAsia="Batang"/>
          <w:b w:val="0"/>
          <w:color w:val="000000"/>
        </w:rPr>
        <w:t>GPT-6 Luna without reasoning received the same request as its reference configuration, a single structured answer, with up to 20 token log probabilities. At the answer token, the probabilities of the valid option letters were renormalized, and the probability of the generated letter served as its confidence. Responses with less than half of the probability on valid letters were invalid.</w:t>
      </w:r>
    </w:p>
    <w:p>
      <w:pPr>
        <w:pStyle w:val="Heading2"/>
      </w:pPr>
      <w:r>
        <w:t>Referral, oracle and cost</w:t>
      </w:r>
    </w:p>
    <w:p>
      <w:r>
        <w:rPr>
          <w:rFonts w:ascii="Times New Roman" w:hAnsi="Times New Roman" w:eastAsia="Batang"/>
          <w:b w:val="0"/>
          <w:color w:val="000000"/>
        </w:rPr>
        <w:t>For each model, valid answers were sorted by increasing selected probability and the first k were referred, where k was 20% of all questions (87 Korean and 255 English). Answers tied at the cut contributed their average result, which is the expected value under random order. Invalid answers were never referred and remained incorrect. Random referral selected k valid answers at random, and the oracle referred first the answers that GPT-6.1 Sol corrects, which gives the highest accuracy achievable with k referrals to Sol. Bootstrap intervals rebuilt each ranking within every resample.</w:t>
      </w:r>
    </w:p>
    <w:p>
      <w:r>
        <w:rPr>
          <w:rFonts w:ascii="Times New Roman" w:hAnsi="Times New Roman" w:eastAsia="Batang"/>
          <w:b w:val="0"/>
          <w:color w:val="000000"/>
        </w:rPr>
        <w:t>Costs used published list prices [1,3,S1-S4], with input priced as uncached and reasoning or thinking tokens as output. The decision endpoints bill input tokens only. Retries and deployment overhead were excluded.</w:t>
      </w:r>
    </w:p>
    <w:p>
      <w:pPr>
        <w:pStyle w:val="Heading2"/>
      </w:pPr>
      <w:r>
        <w:t>Answer-order experiment</w:t>
      </w:r>
    </w:p>
    <w:p>
      <w:r>
        <w:rPr>
          <w:rFonts w:ascii="Times New Roman" w:hAnsi="Times New Roman" w:eastAsia="Batang"/>
          <w:b w:val="0"/>
          <w:color w:val="000000"/>
        </w:rPr>
        <w:t>Each question received every cyclic rotation of its option texts across the fixed letters, including an unchanged-order request, plus one identical repeat of that request, giving 8,975 requests per model. Clef orders option keys alphabetically before encoding [S5], but a rotation still moves each answer text to a different letter and position. Cyclic rotation changes position and letter together and does not cover every permutation. Questions were included when every request returned a valid answer, and referral used each model's threshold for its least confident 20% of main-collection answers.</w:t>
      </w:r>
    </w:p>
    <w:p>
      <w:pPr>
        <w:pStyle w:val="Heading2"/>
      </w:pPr>
      <w:r>
        <w:t>Error analysis</w:t>
      </w:r>
    </w:p>
    <w:p>
      <w:r>
        <w:rPr>
          <w:rFonts w:ascii="Times New Roman" w:hAnsi="Times New Roman" w:eastAsia="Batang"/>
          <w:b w:val="0"/>
          <w:color w:val="000000"/>
        </w:rPr>
        <w:t>Korean content labels were assigned by GPT-6.1 Sol, instructed to characterize each question without answering it, and 71 of 435 questions were labeled as depending on Korean law or administration. The author reviewed a blinded sample of 113 questions, comprising every question flagged by an earlier model labeling and 40 random others, and agreed with the label on 95.6% of them (Cohen's kappa 0.90). In every disagreement the author judged the question to depend on Korean law and the model did not.</w:t>
      </w:r>
    </w:p>
    <w:p>
      <w:r>
        <w:rPr>
          <w:rFonts w:ascii="Times New Roman" w:hAnsi="Times New Roman" w:eastAsia="Batang"/>
          <w:b w:val="0"/>
          <w:color w:val="000000"/>
        </w:rPr>
        <w:t>MedQA physician ratings [16] were matched to all 1,273 test questions by exact question text, options and key, with three or four raters per question. A question was flagged when a strict majority reported missing important information, no acceptable official answer or several acceptable answers, and a physician majority endorsed the model's answer when more than half of the raters listed it as acceptable.</w:t>
      </w:r>
    </w:p>
    <w:p>
      <w:r>
        <w:rPr>
          <w:rFonts w:ascii="Times New Roman" w:hAnsi="Times New Roman" w:eastAsia="Batang"/>
          <w:b w:val="0"/>
          <w:color w:val="000000"/>
        </w:rPr>
        <w:t>Twenty-four English questions were missed by at least three of the four most accurate reference models. A physician majority had flagged 45.8% of them, against 14.5% of other questions, and flagged questions were missed this way 4.76 times as often (95% CI 2.17 to 10.48, Katz interval). A majority reported no acceptable official answer for 29.2% of them, against 6.6% of other questions (risk ratio 5.41, 95% CI 2.30 to 12.71). The four models chose the same wrong option on 19 of the 24, and at least one physician had selected that option on 13.</w:t>
      </w:r>
    </w:p>
    <w:p>
      <w:r>
        <w:rPr>
          <w:rFonts w:ascii="Times New Roman" w:hAnsi="Times New Roman" w:eastAsia="Batang"/>
          <w:b w:val="0"/>
          <w:color w:val="000000"/>
        </w:rPr>
        <w:t>Cautious errors had a selected probability at or below the model's twentieth percentile of main-collection probabilities. Rotation instability was the share of nonzero rotations whose answer differed from the unchanged-order response. For Jev the answer-order experiment was a separate collection, so the measure describes how stable each question was for Jev rather than the specific error. Bootstrap resamples drew valid answers with replacement.</w:t>
      </w:r>
    </w:p>
    <w:p>
      <w:pPr>
        <w:pStyle w:val="Heading1"/>
      </w:pPr>
      <w:r>
        <w:t>Supplementary references</w:t>
      </w:r>
    </w:p>
    <w:p>
      <w:pPr>
        <w:spacing w:after="120"/>
      </w:pPr>
      <w:r>
        <w:rPr>
          <w:rFonts w:ascii="Times New Roman" w:hAnsi="Times New Roman" w:eastAsia="Batang"/>
          <w:b w:val="0"/>
          <w:color w:val="000000"/>
        </w:rPr>
        <w:t>S1. OpenAI. API pricing. OpenAI API documentation. Accessed 30 September 2026. https://developers.openai.com/api/docs/pricing</w:t>
      </w:r>
    </w:p>
    <w:p>
      <w:pPr>
        <w:spacing w:after="120"/>
      </w:pPr>
      <w:r>
        <w:rPr>
          <w:rFonts w:ascii="Times New Roman" w:hAnsi="Times New Roman" w:eastAsia="Batang"/>
          <w:b w:val="0"/>
          <w:color w:val="000000"/>
        </w:rPr>
        <w:t>S2. Anthropic. Pricing. Claude documentation. Accessed 30 September 2026. https://platform.claude.com/docs/en/about-claude/pricing</w:t>
      </w:r>
    </w:p>
    <w:p>
      <w:pPr>
        <w:spacing w:after="120"/>
      </w:pPr>
      <w:r>
        <w:rPr>
          <w:rFonts w:ascii="Times New Roman" w:hAnsi="Times New Roman" w:eastAsia="Batang"/>
          <w:b w:val="0"/>
          <w:color w:val="000000"/>
        </w:rPr>
        <w:t>S3. Google. Gemini Developer API pricing. Accessed 30 September 2026. https://ai.google.dev/gemini-api/docs/pricing</w:t>
      </w:r>
    </w:p>
    <w:p>
      <w:pPr>
        <w:spacing w:after="120"/>
      </w:pPr>
      <w:r>
        <w:rPr>
          <w:rFonts w:ascii="Times New Roman" w:hAnsi="Times New Roman" w:eastAsia="Batang"/>
          <w:b w:val="0"/>
          <w:color w:val="000000"/>
        </w:rPr>
        <w:t>S4. Cloudflare. Clef. Workers AI model documentation. Accessed 6 October 2026. https://developers.cloudflare.com/workers-ai/models/clef/</w:t>
      </w:r>
    </w:p>
    <w:p>
      <w:pPr>
        <w:spacing w:after="120"/>
      </w:pPr>
      <w:r>
        <w:rPr>
          <w:rFonts w:ascii="Times New Roman" w:hAnsi="Times New Roman" w:eastAsia="Batang"/>
          <w:b w:val="0"/>
          <w:color w:val="000000"/>
        </w:rPr>
        <w:t>S5. Cloudflare. Clef model card and source code. Hugging Face. Revision 2f3de3dd85f379784083b0814d997ab627200f0c. Accessed 6 October 2026. https://huggingface.co/Cloudflare/clef/tree/2f3de3dd85f379784083b0814d997ab627200f0c</w:t>
      </w:r>
    </w:p>
    <w:p>
      <w:pPr>
        <w:spacing w:after="120"/>
      </w:pPr>
      <w:r>
        <w:rPr>
          <w:rFonts w:ascii="Times New Roman" w:hAnsi="Times New Roman" w:eastAsia="Batang"/>
          <w:b w:val="0"/>
          <w:color w:val="000000"/>
        </w:rPr>
        <w:t>S6. Republic of Korea. Act on the Prevention of Acquired Immunodeficiency Syndrome, Article 8-2, version effective 12 September 2020. National Law Information Center. Accessed 7 October 2026. https://www.law.go.kr/LSW/lsSideInfoP.do?docCls=jo&amp;joBrNo=02&amp;joNo=0008&amp;lsiSeq=220905&amp;urlMode=lsScJoRltInfoR</w:t>
      </w:r>
    </w:p>
    <w:p>
      <w:pPr>
        <w:spacing w:after="120"/>
      </w:pPr>
      <w:r>
        <w:rPr>
          <w:rFonts w:ascii="Times New Roman" w:hAnsi="Times New Roman" w:eastAsia="Batang"/>
          <w:b w:val="0"/>
          <w:color w:val="000000"/>
        </w:rPr>
        <w:t>S7. Korea Disease Control and Prevention Agency, Rural Development Administration. Tick-borne infections: scrub typhus and SFTS. Standard lecture materials for field education [in Korean]. Accessed 7 October 2026. https://www.kdca.go.kr/bbs/kdca/49/246779/download.do</w:t>
      </w:r>
    </w:p>
    <w:p>
      <w:pPr>
        <w:spacing w:after="120"/>
      </w:pPr>
      <w:r>
        <w:rPr>
          <w:rFonts w:ascii="Times New Roman" w:hAnsi="Times New Roman" w:eastAsia="Batang"/>
          <w:b w:val="0"/>
          <w:color w:val="000000"/>
        </w:rPr>
        <w:t>S8. World Health Organization. Ottawa Charter for Health Promotion. 1986. https://www.who.int/publications/i/item/WH-1987</w:t>
      </w:r>
    </w:p>
    <w:p>
      <w:pPr>
        <w:pStyle w:val="Heading1"/>
      </w:pPr>
      <w:r>
        <w:t>Supplementary tables</w:t>
      </w:r>
    </w:p>
    <w:p>
      <w:pPr>
        <w:keepNext/>
        <w:spacing w:line="240" w:lineRule="auto" w:after="120" w:before="160"/>
      </w:pPr>
      <w:r>
        <w:rPr>
          <w:rFonts w:ascii="Times New Roman" w:hAnsi="Times New Roman" w:eastAsia="Batang"/>
          <w:b w:val="0"/>
          <w:color w:val="000000"/>
          <w:sz w:val="20"/>
        </w:rPr>
      </w:r>
      <w:r>
        <w:rPr>
          <w:rFonts w:ascii="Times New Roman" w:hAnsi="Times New Roman" w:eastAsia="Batang"/>
          <w:b/>
          <w:color w:val="000000"/>
          <w:sz w:val="20"/>
        </w:rPr>
        <w:t>Supplementary Table 1. Model configurations and versions.</w:t>
      </w:r>
      <w:r>
        <w:rPr>
          <w:rFonts w:ascii="Times New Roman" w:hAnsi="Times New Roman" w:eastAsia="Batang"/>
          <w:b w:val="0"/>
          <w:color w:val="000000"/>
          <w:sz w:val="20"/>
        </w:rPr>
        <w:t xml:space="preserve"> The decision models accept no reasoning, temperature or output-length setting and return no generated text. No service returned a dated snapshot identifier. Reasoning and thinking tokens count toward the output allowances, and GPT-6.1 Sol accepts no setting below low. Claude Sonnet 5.5 used between_tools without tools, which prevents up-front thinking. Claude Opus 5.5 answers that reached the allowance were regenerated once with a larger allowance. Two Opus answers remained incomplete, and one Opus and one Sonnet answer were refused. No request contained retrieval, tools, another model's answer, a key or a requested explanation.</w:t>
      </w:r>
    </w:p>
    <w:tbl>
      <w:tblPr>
        <w:tblW w:type="auto" w:w="0"/>
        <w:tblLayout w:type="fixed"/>
        <w:tblLook w:firstColumn="1" w:firstRow="1" w:lastColumn="0" w:lastRow="0" w:noHBand="0" w:noVBand="1" w:val="04A0"/>
        <w:tblBorders>
          <w:top w:val="single" w:sz="8" w:color="000000" w:space="0"/>
          <w:left w:val="nil"/>
          <w:bottom w:val="single" w:sz="8" w:color="000000" w:space="0"/>
          <w:right w:val="nil"/>
          <w:insideH w:val="nil"/>
          <w:insideV w:val="nil"/>
        </w:tblBorders>
      </w:tblPr>
      <w:tblGrid>
        <w:gridCol w:w="1934"/>
        <w:gridCol w:w="1467"/>
        <w:gridCol w:w="1800"/>
        <w:gridCol w:w="1800"/>
        <w:gridCol w:w="1667"/>
        <w:gridCol w:w="1267"/>
      </w:tblGrid>
      <w:tr>
        <w:trPr>
          <w:cantSplit/>
          <w:tblHeader w:val="true"/>
        </w:trPr>
        <w:tc>
          <w:tcPr>
            <w:tcW w:type="dxa" w:w="1934"/>
            <w:vAlign w:val="bottom"/>
            <w:tcMar>
              <w:top w:w="30" w:type="dxa"/>
              <w:left w:w="70" w:type="dxa"/>
              <w:bottom w:w="30" w:type="dxa"/>
              <w:right w:w="70" w:type="dxa"/>
            </w:tcMar>
            <w:tcBorders>
              <w:bottom w:val="single" w:sz="6" w:color="000000" w:space="0"/>
            </w:tcBorders>
          </w:tcPr>
          <w:p>
            <w:pPr>
              <w:keepNext/>
              <w:spacing w:after="0" w:line="240" w:lineRule="auto"/>
              <w:rPr>
                <w:sz w:val="18"/>
              </w:rPr>
            </w:pPr>
            <w:r>
              <w:rPr>
                <w:rFonts w:ascii="Times New Roman" w:hAnsi="Times New Roman" w:eastAsia="Batang"/>
                <w:b/>
                <w:color w:val="000000"/>
                <w:sz w:val="18"/>
              </w:rPr>
              <w:t>Model</w:t>
            </w:r>
          </w:p>
        </w:tc>
        <w:tc>
          <w:tcPr>
            <w:tcW w:type="dxa" w:w="1467"/>
            <w:vAlign w:val="bottom"/>
            <w:tcMar>
              <w:top w:w="30" w:type="dxa"/>
              <w:left w:w="70" w:type="dxa"/>
              <w:bottom w:w="30" w:type="dxa"/>
              <w:right w:w="70" w:type="dxa"/>
            </w:tcMar>
            <w:tcBorders>
              <w:bottom w:val="single" w:sz="6" w:color="000000" w:space="0"/>
            </w:tcBorders>
          </w:tcPr>
          <w:p>
            <w:pPr>
              <w:keepNext/>
              <w:spacing w:after="0" w:line="240" w:lineRule="auto"/>
              <w:rPr>
                <w:sz w:val="18"/>
              </w:rPr>
            </w:pPr>
            <w:r>
              <w:rPr>
                <w:rFonts w:ascii="Times New Roman" w:hAnsi="Times New Roman" w:eastAsia="Batang"/>
                <w:b/>
                <w:color w:val="000000"/>
                <w:sz w:val="18"/>
              </w:rPr>
              <w:t>Identifier</w:t>
            </w:r>
          </w:p>
        </w:tc>
        <w:tc>
          <w:tcPr>
            <w:tcW w:type="dxa" w:w="1800"/>
            <w:vAlign w:val="bottom"/>
            <w:tcMar>
              <w:top w:w="30" w:type="dxa"/>
              <w:left w:w="70" w:type="dxa"/>
              <w:bottom w:w="30" w:type="dxa"/>
              <w:right w:w="70" w:type="dxa"/>
            </w:tcMar>
            <w:tcBorders>
              <w:bottom w:val="single" w:sz="6" w:color="000000" w:space="0"/>
            </w:tcBorders>
          </w:tcPr>
          <w:p>
            <w:pPr>
              <w:keepNext/>
              <w:spacing w:after="0" w:line="240" w:lineRule="auto"/>
              <w:rPr>
                <w:sz w:val="18"/>
              </w:rPr>
            </w:pPr>
            <w:r>
              <w:rPr>
                <w:rFonts w:ascii="Times New Roman" w:hAnsi="Times New Roman" w:eastAsia="Batang"/>
                <w:b/>
                <w:color w:val="000000"/>
                <w:sz w:val="18"/>
              </w:rPr>
              <w:t>Version</w:t>
            </w:r>
          </w:p>
        </w:tc>
        <w:tc>
          <w:tcPr>
            <w:tcW w:type="dxa" w:w="1800"/>
            <w:vAlign w:val="bottom"/>
            <w:tcMar>
              <w:top w:w="30" w:type="dxa"/>
              <w:left w:w="70" w:type="dxa"/>
              <w:bottom w:w="30" w:type="dxa"/>
              <w:right w:w="70" w:type="dxa"/>
            </w:tcMar>
            <w:tcBorders>
              <w:bottom w:val="single" w:sz="6" w:color="000000" w:space="0"/>
            </w:tcBorders>
          </w:tcPr>
          <w:p>
            <w:pPr>
              <w:keepNext/>
              <w:spacing w:after="0" w:line="240" w:lineRule="auto"/>
              <w:rPr>
                <w:sz w:val="18"/>
              </w:rPr>
            </w:pPr>
            <w:r>
              <w:rPr>
                <w:rFonts w:ascii="Times New Roman" w:hAnsi="Times New Roman" w:eastAsia="Batang"/>
                <w:b/>
                <w:color w:val="000000"/>
                <w:sz w:val="18"/>
              </w:rPr>
              <w:t>Reasoning or thinking setting</w:t>
            </w:r>
          </w:p>
        </w:tc>
        <w:tc>
          <w:tcPr>
            <w:tcW w:type="dxa" w:w="1667"/>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Output token allowance</w:t>
            </w:r>
          </w:p>
        </w:tc>
        <w:tc>
          <w:tcPr>
            <w:tcW w:type="dxa" w:w="1267"/>
            <w:vAlign w:val="bottom"/>
            <w:tcMar>
              <w:top w:w="30" w:type="dxa"/>
              <w:left w:w="70" w:type="dxa"/>
              <w:bottom w:w="30" w:type="dxa"/>
              <w:right w:w="70" w:type="dxa"/>
            </w:tcMar>
            <w:tcBorders>
              <w:bottom w:val="single" w:sz="6" w:color="000000" w:space="0"/>
            </w:tcBorders>
          </w:tcPr>
          <w:p>
            <w:pPr>
              <w:keepNext/>
              <w:spacing w:after="0" w:line="240" w:lineRule="auto"/>
              <w:rPr>
                <w:sz w:val="18"/>
              </w:rPr>
            </w:pPr>
            <w:r>
              <w:rPr>
                <w:rFonts w:ascii="Times New Roman" w:hAnsi="Times New Roman" w:eastAsia="Batang"/>
                <w:b/>
                <w:color w:val="000000"/>
                <w:sz w:val="18"/>
              </w:rPr>
              <w:t>Collection date, 2026</w:t>
            </w:r>
          </w:p>
        </w:tc>
      </w:tr>
      <w:tr>
        <w:trPr>
          <w:cantSplit/>
        </w:trPr>
        <w:tc>
          <w:tcPr>
            <w:tcW w:type="dxa" w:w="1934"/>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Jev</w:t>
            </w:r>
          </w:p>
        </w:tc>
        <w:tc>
          <w:tcPr>
            <w:tcW w:type="dxa" w:w="1467"/>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jev-1.13.0</w:t>
            </w:r>
          </w:p>
        </w:tc>
        <w:tc>
          <w:tcPr>
            <w:tcW w:type="dxa" w:w="180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1.13.0</w:t>
            </w:r>
          </w:p>
        </w:tc>
        <w:tc>
          <w:tcPr>
            <w:tcW w:type="dxa" w:w="180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Not applicable</w:t>
            </w:r>
          </w:p>
        </w:tc>
        <w:tc>
          <w:tcPr>
            <w:tcW w:type="dxa" w:w="1667"/>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Not applicable</w:t>
            </w:r>
          </w:p>
        </w:tc>
        <w:tc>
          <w:tcPr>
            <w:tcW w:type="dxa" w:w="1267"/>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17 September</w:t>
            </w:r>
          </w:p>
        </w:tc>
      </w:tr>
      <w:tr>
        <w:trPr>
          <w:cantSplit/>
        </w:trPr>
        <w:tc>
          <w:tcPr>
            <w:tcW w:type="dxa" w:w="1934"/>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OpenAI Decisions</w:t>
            </w:r>
          </w:p>
        </w:tc>
        <w:tc>
          <w:tcPr>
            <w:tcW w:type="dxa" w:w="1467"/>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gpt-6-luna</w:t>
            </w:r>
          </w:p>
        </w:tc>
        <w:tc>
          <w:tcPr>
            <w:tcW w:type="dxa" w:w="180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No dated snapshot</w:t>
            </w:r>
          </w:p>
        </w:tc>
        <w:tc>
          <w:tcPr>
            <w:tcW w:type="dxa" w:w="180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Not applicable</w:t>
            </w:r>
          </w:p>
        </w:tc>
        <w:tc>
          <w:tcPr>
            <w:tcW w:type="dxa" w:w="1667"/>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Not applicable</w:t>
            </w:r>
          </w:p>
        </w:tc>
        <w:tc>
          <w:tcPr>
            <w:tcW w:type="dxa" w:w="1267"/>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7 October</w:t>
            </w:r>
          </w:p>
        </w:tc>
      </w:tr>
      <w:tr>
        <w:trPr>
          <w:cantSplit/>
        </w:trPr>
        <w:tc>
          <w:tcPr>
            <w:tcW w:type="dxa" w:w="1934"/>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Clef</w:t>
            </w:r>
          </w:p>
        </w:tc>
        <w:tc>
          <w:tcPr>
            <w:tcW w:type="dxa" w:w="1467"/>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clef</w:t>
            </w:r>
          </w:p>
        </w:tc>
        <w:tc>
          <w:tcPr>
            <w:tcW w:type="dxa" w:w="180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Public weights revision 2f3de3d [S5]</w:t>
            </w:r>
          </w:p>
        </w:tc>
        <w:tc>
          <w:tcPr>
            <w:tcW w:type="dxa" w:w="180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Not applicable</w:t>
            </w:r>
          </w:p>
        </w:tc>
        <w:tc>
          <w:tcPr>
            <w:tcW w:type="dxa" w:w="1667"/>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Not applicable</w:t>
            </w:r>
          </w:p>
        </w:tc>
        <w:tc>
          <w:tcPr>
            <w:tcW w:type="dxa" w:w="1267"/>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7 October</w:t>
            </w:r>
          </w:p>
        </w:tc>
      </w:tr>
      <w:tr>
        <w:trPr>
          <w:cantSplit/>
        </w:trPr>
        <w:tc>
          <w:tcPr>
            <w:tcW w:type="dxa" w:w="1934"/>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GPT-6 Luna letter probabilities</w:t>
            </w:r>
          </w:p>
        </w:tc>
        <w:tc>
          <w:tcPr>
            <w:tcW w:type="dxa" w:w="1467"/>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gpt-6-luna</w:t>
            </w:r>
          </w:p>
        </w:tc>
        <w:tc>
          <w:tcPr>
            <w:tcW w:type="dxa" w:w="180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No dated snapshot</w:t>
            </w:r>
          </w:p>
        </w:tc>
        <w:tc>
          <w:tcPr>
            <w:tcW w:type="dxa" w:w="180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none, with token log probabilities</w:t>
            </w:r>
          </w:p>
        </w:tc>
        <w:tc>
          <w:tcPr>
            <w:tcW w:type="dxa" w:w="1667"/>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128</w:t>
            </w:r>
          </w:p>
        </w:tc>
        <w:tc>
          <w:tcPr>
            <w:tcW w:type="dxa" w:w="1267"/>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6 October</w:t>
            </w:r>
          </w:p>
        </w:tc>
      </w:tr>
      <w:tr>
        <w:trPr>
          <w:cantSplit/>
        </w:trPr>
        <w:tc>
          <w:tcPr>
            <w:tcW w:type="dxa" w:w="1934"/>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GPT-6.1 Sol</w:t>
            </w:r>
          </w:p>
        </w:tc>
        <w:tc>
          <w:tcPr>
            <w:tcW w:type="dxa" w:w="1467"/>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gpt-6.1-sol</w:t>
            </w:r>
          </w:p>
        </w:tc>
        <w:tc>
          <w:tcPr>
            <w:tcW w:type="dxa" w:w="180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No dated snapshot</w:t>
            </w:r>
          </w:p>
        </w:tc>
        <w:tc>
          <w:tcPr>
            <w:tcW w:type="dxa" w:w="180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low</w:t>
            </w:r>
          </w:p>
        </w:tc>
        <w:tc>
          <w:tcPr>
            <w:tcW w:type="dxa" w:w="1667"/>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4096</w:t>
            </w:r>
          </w:p>
        </w:tc>
        <w:tc>
          <w:tcPr>
            <w:tcW w:type="dxa" w:w="1267"/>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30 September</w:t>
            </w:r>
          </w:p>
        </w:tc>
      </w:tr>
      <w:tr>
        <w:trPr>
          <w:cantSplit/>
        </w:trPr>
        <w:tc>
          <w:tcPr>
            <w:tcW w:type="dxa" w:w="1934"/>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GPT-6 Luna none</w:t>
            </w:r>
          </w:p>
        </w:tc>
        <w:tc>
          <w:tcPr>
            <w:tcW w:type="dxa" w:w="1467"/>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gpt-6-luna</w:t>
            </w:r>
          </w:p>
        </w:tc>
        <w:tc>
          <w:tcPr>
            <w:tcW w:type="dxa" w:w="180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No dated snapshot</w:t>
            </w:r>
          </w:p>
        </w:tc>
        <w:tc>
          <w:tcPr>
            <w:tcW w:type="dxa" w:w="180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none</w:t>
            </w:r>
          </w:p>
        </w:tc>
        <w:tc>
          <w:tcPr>
            <w:tcW w:type="dxa" w:w="1667"/>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128</w:t>
            </w:r>
          </w:p>
        </w:tc>
        <w:tc>
          <w:tcPr>
            <w:tcW w:type="dxa" w:w="1267"/>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30 September</w:t>
            </w:r>
          </w:p>
        </w:tc>
      </w:tr>
      <w:tr>
        <w:trPr>
          <w:cantSplit/>
        </w:trPr>
        <w:tc>
          <w:tcPr>
            <w:tcW w:type="dxa" w:w="1934"/>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GPT-6 Luna max</w:t>
            </w:r>
          </w:p>
        </w:tc>
        <w:tc>
          <w:tcPr>
            <w:tcW w:type="dxa" w:w="1467"/>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gpt-6-luna</w:t>
            </w:r>
          </w:p>
        </w:tc>
        <w:tc>
          <w:tcPr>
            <w:tcW w:type="dxa" w:w="180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No dated snapshot</w:t>
            </w:r>
          </w:p>
        </w:tc>
        <w:tc>
          <w:tcPr>
            <w:tcW w:type="dxa" w:w="180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max</w:t>
            </w:r>
          </w:p>
        </w:tc>
        <w:tc>
          <w:tcPr>
            <w:tcW w:type="dxa" w:w="1667"/>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128000</w:t>
            </w:r>
          </w:p>
        </w:tc>
        <w:tc>
          <w:tcPr>
            <w:tcW w:type="dxa" w:w="1267"/>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30 September</w:t>
            </w:r>
          </w:p>
        </w:tc>
      </w:tr>
      <w:tr>
        <w:trPr>
          <w:cantSplit/>
        </w:trPr>
        <w:tc>
          <w:tcPr>
            <w:tcW w:type="dxa" w:w="1934"/>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Claude Sonnet 5.5</w:t>
            </w:r>
          </w:p>
        </w:tc>
        <w:tc>
          <w:tcPr>
            <w:tcW w:type="dxa" w:w="1467"/>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claude-sonnet-5-5</w:t>
            </w:r>
          </w:p>
        </w:tc>
        <w:tc>
          <w:tcPr>
            <w:tcW w:type="dxa" w:w="180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No dated snapshot</w:t>
            </w:r>
          </w:p>
        </w:tc>
        <w:tc>
          <w:tcPr>
            <w:tcW w:type="dxa" w:w="180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between_tools, effort low</w:t>
            </w:r>
          </w:p>
        </w:tc>
        <w:tc>
          <w:tcPr>
            <w:tcW w:type="dxa" w:w="1667"/>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128</w:t>
            </w:r>
          </w:p>
        </w:tc>
        <w:tc>
          <w:tcPr>
            <w:tcW w:type="dxa" w:w="1267"/>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30 September</w:t>
            </w:r>
          </w:p>
        </w:tc>
      </w:tr>
      <w:tr>
        <w:trPr>
          <w:cantSplit/>
        </w:trPr>
        <w:tc>
          <w:tcPr>
            <w:tcW w:type="dxa" w:w="1934"/>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Claude Opus 5.5</w:t>
            </w:r>
          </w:p>
        </w:tc>
        <w:tc>
          <w:tcPr>
            <w:tcW w:type="dxa" w:w="1467"/>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claude-opus-5-5</w:t>
            </w:r>
          </w:p>
        </w:tc>
        <w:tc>
          <w:tcPr>
            <w:tcW w:type="dxa" w:w="180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No dated snapshot</w:t>
            </w:r>
          </w:p>
        </w:tc>
        <w:tc>
          <w:tcPr>
            <w:tcW w:type="dxa" w:w="180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adaptive, effort low</w:t>
            </w:r>
          </w:p>
        </w:tc>
        <w:tc>
          <w:tcPr>
            <w:tcW w:type="dxa" w:w="1667"/>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16000, increased to 64000 for incomplete outputs</w:t>
            </w:r>
          </w:p>
        </w:tc>
        <w:tc>
          <w:tcPr>
            <w:tcW w:type="dxa" w:w="1267"/>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30 September</w:t>
            </w:r>
          </w:p>
        </w:tc>
      </w:tr>
      <w:tr>
        <w:trPr>
          <w:cantSplit/>
        </w:trPr>
        <w:tc>
          <w:tcPr>
            <w:tcW w:type="dxa" w:w="1934"/>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Gemini 3.8 Flash</w:t>
            </w:r>
          </w:p>
        </w:tc>
        <w:tc>
          <w:tcPr>
            <w:tcW w:type="dxa" w:w="1467"/>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gemini-3.8-flash</w:t>
            </w:r>
          </w:p>
        </w:tc>
        <w:tc>
          <w:tcPr>
            <w:tcW w:type="dxa" w:w="180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No dated snapshot</w:t>
            </w:r>
          </w:p>
        </w:tc>
        <w:tc>
          <w:tcPr>
            <w:tcW w:type="dxa" w:w="180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LOW</w:t>
            </w:r>
          </w:p>
        </w:tc>
        <w:tc>
          <w:tcPr>
            <w:tcW w:type="dxa" w:w="1667"/>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8192</w:t>
            </w:r>
          </w:p>
        </w:tc>
        <w:tc>
          <w:tcPr>
            <w:tcW w:type="dxa" w:w="1267"/>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17 September</w:t>
            </w:r>
          </w:p>
        </w:tc>
      </w:tr>
      <w:tr>
        <w:trPr>
          <w:cantSplit/>
        </w:trPr>
        <w:tc>
          <w:tcPr>
            <w:tcW w:type="dxa" w:w="193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t>GPT-6.1 Sol, Korean content labels</w:t>
            </w:r>
          </w:p>
        </w:tc>
        <w:tc>
          <w:tcPr>
            <w:tcW w:type="dxa" w:w="1467"/>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t>gpt-6.1-sol</w:t>
            </w:r>
          </w:p>
        </w:tc>
        <w:tc>
          <w:tcPr>
            <w:tcW w:type="dxa" w:w="1800"/>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t>No dated snapshot</w:t>
            </w:r>
          </w:p>
        </w:tc>
        <w:tc>
          <w:tcPr>
            <w:tcW w:type="dxa" w:w="1800"/>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t>service default, resolved as medium</w:t>
            </w:r>
          </w:p>
        </w:tc>
        <w:tc>
          <w:tcPr>
            <w:tcW w:type="dxa" w:w="166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16000</w:t>
            </w:r>
          </w:p>
        </w:tc>
        <w:tc>
          <w:tcPr>
            <w:tcW w:type="dxa" w:w="1267"/>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t>6 October</w:t>
            </w:r>
          </w:p>
        </w:tc>
      </w:tr>
    </w:tbl>
    <w:p>
      <w:pPr>
        <w:spacing w:after="80"/>
      </w:pPr>
    </w:p>
    <w:p>
      <w:pPr>
        <w:keepNext/>
        <w:pageBreakBefore/>
        <w:spacing w:line="240" w:lineRule="auto" w:after="120" w:before="160"/>
      </w:pPr>
      <w:r>
        <w:rPr>
          <w:rFonts w:ascii="Times New Roman" w:hAnsi="Times New Roman" w:eastAsia="Batang"/>
          <w:b w:val="0"/>
          <w:color w:val="000000"/>
          <w:sz w:val="20"/>
        </w:rPr>
      </w:r>
      <w:r>
        <w:rPr>
          <w:rFonts w:ascii="Times New Roman" w:hAnsi="Times New Roman" w:eastAsia="Batang"/>
          <w:b/>
          <w:color w:val="000000"/>
          <w:sz w:val="20"/>
        </w:rPr>
        <w:t>Supplementary Table 2. Standalone counts.</w:t>
      </w:r>
      <w:r>
        <w:rPr>
          <w:rFonts w:ascii="Times New Roman" w:hAnsi="Times New Roman" w:eastAsia="Batang"/>
          <w:b w:val="0"/>
          <w:color w:val="000000"/>
          <w:sz w:val="20"/>
        </w:rPr>
        <w:t xml:space="preserve"> Invalid, refused or incomplete answers count as incorrect. Every invalid OpenAI Decisions answer was a refusal, and refusals recurred on identical repeat requests.</w:t>
      </w:r>
    </w:p>
    <w:tbl>
      <w:tblPr>
        <w:tblW w:type="auto" w:w="0"/>
        <w:tblLayout w:type="fixed"/>
        <w:tblLook w:firstColumn="1" w:firstRow="1" w:lastColumn="0" w:lastRow="0" w:noHBand="0" w:noVBand="1" w:val="04A0"/>
        <w:tblBorders>
          <w:top w:val="single" w:sz="8" w:color="000000" w:space="0"/>
          <w:left w:val="nil"/>
          <w:bottom w:val="single" w:sz="8" w:color="000000" w:space="0"/>
          <w:right w:val="nil"/>
          <w:insideH w:val="nil"/>
          <w:insideV w:val="nil"/>
        </w:tblBorders>
      </w:tblPr>
      <w:tblGrid>
        <w:gridCol w:w="1325"/>
        <w:gridCol w:w="4306"/>
        <w:gridCol w:w="2318"/>
        <w:gridCol w:w="1987"/>
      </w:tblGrid>
      <w:tr>
        <w:trPr>
          <w:cantSplit/>
          <w:tblHeader w:val="true"/>
        </w:trPr>
        <w:tc>
          <w:tcPr>
            <w:tcW w:type="dxa" w:w="1325"/>
            <w:vAlign w:val="bottom"/>
            <w:tcMar>
              <w:top w:w="30" w:type="dxa"/>
              <w:left w:w="70" w:type="dxa"/>
              <w:bottom w:w="30" w:type="dxa"/>
              <w:right w:w="70" w:type="dxa"/>
            </w:tcMar>
            <w:tcBorders>
              <w:bottom w:val="single" w:sz="6" w:color="000000" w:space="0"/>
            </w:tcBorders>
          </w:tcPr>
          <w:p>
            <w:pPr>
              <w:keepNext w:val="0"/>
              <w:spacing w:after="0" w:line="240" w:lineRule="auto"/>
              <w:rPr>
                <w:sz w:val="19"/>
              </w:rPr>
            </w:pPr>
            <w:r>
              <w:rPr>
                <w:rFonts w:ascii="Times New Roman" w:hAnsi="Times New Roman" w:eastAsia="Batang"/>
                <w:b/>
                <w:color w:val="000000"/>
                <w:sz w:val="19"/>
              </w:rPr>
              <w:t>Cohort</w:t>
            </w:r>
          </w:p>
        </w:tc>
        <w:tc>
          <w:tcPr>
            <w:tcW w:type="dxa" w:w="4306"/>
            <w:vAlign w:val="bottom"/>
            <w:tcMar>
              <w:top w:w="30" w:type="dxa"/>
              <w:left w:w="70" w:type="dxa"/>
              <w:bottom w:w="30" w:type="dxa"/>
              <w:right w:w="70" w:type="dxa"/>
            </w:tcMar>
            <w:tcBorders>
              <w:bottom w:val="single" w:sz="6" w:color="000000" w:space="0"/>
            </w:tcBorders>
          </w:tcPr>
          <w:p>
            <w:pPr>
              <w:keepNext w:val="0"/>
              <w:spacing w:after="0" w:line="240" w:lineRule="auto"/>
              <w:rPr>
                <w:sz w:val="19"/>
              </w:rPr>
            </w:pPr>
            <w:r>
              <w:rPr>
                <w:rFonts w:ascii="Times New Roman" w:hAnsi="Times New Roman" w:eastAsia="Batang"/>
                <w:b/>
                <w:color w:val="000000"/>
                <w:sz w:val="19"/>
              </w:rPr>
              <w:t>Model</w:t>
            </w:r>
          </w:p>
        </w:tc>
        <w:tc>
          <w:tcPr>
            <w:tcW w:type="dxa" w:w="2318"/>
            <w:vAlign w:val="bottom"/>
            <w:tcMar>
              <w:top w:w="30" w:type="dxa"/>
              <w:left w:w="70" w:type="dxa"/>
              <w:bottom w:w="30" w:type="dxa"/>
              <w:right w:w="70" w:type="dxa"/>
            </w:tcMar>
            <w:tcBorders>
              <w:bottom w:val="single" w:sz="6" w:color="000000" w:space="0"/>
            </w:tcBorders>
          </w:tcPr>
          <w:p>
            <w:pPr>
              <w:keepNext w:val="0"/>
              <w:spacing w:after="0" w:line="240" w:lineRule="auto"/>
              <w:jc w:val="right"/>
              <w:rPr>
                <w:sz w:val="19"/>
              </w:rPr>
            </w:pPr>
            <w:r>
              <w:rPr>
                <w:rFonts w:ascii="Times New Roman" w:hAnsi="Times New Roman" w:eastAsia="Batang"/>
                <w:b/>
                <w:color w:val="000000"/>
                <w:sz w:val="19"/>
              </w:rPr>
              <w:t>Correct / planned</w:t>
            </w:r>
          </w:p>
        </w:tc>
        <w:tc>
          <w:tcPr>
            <w:tcW w:type="dxa" w:w="1987"/>
            <w:vAlign w:val="bottom"/>
            <w:tcMar>
              <w:top w:w="30" w:type="dxa"/>
              <w:left w:w="70" w:type="dxa"/>
              <w:bottom w:w="30" w:type="dxa"/>
              <w:right w:w="70" w:type="dxa"/>
            </w:tcMar>
            <w:tcBorders>
              <w:bottom w:val="single" w:sz="6" w:color="000000" w:space="0"/>
            </w:tcBorders>
          </w:tcPr>
          <w:p>
            <w:pPr>
              <w:keepNext w:val="0"/>
              <w:spacing w:after="0" w:line="240" w:lineRule="auto"/>
              <w:jc w:val="right"/>
              <w:rPr>
                <w:sz w:val="19"/>
              </w:rPr>
            </w:pPr>
            <w:r>
              <w:rPr>
                <w:rFonts w:ascii="Times New Roman" w:hAnsi="Times New Roman" w:eastAsia="Batang"/>
                <w:b/>
                <w:color w:val="000000"/>
                <w:sz w:val="19"/>
              </w:rPr>
              <w:t>Valid responses</w:t>
            </w:r>
          </w:p>
        </w:tc>
      </w:tr>
      <w:tr>
        <w:trPr>
          <w:cantSplit/>
        </w:trPr>
        <w:tc>
          <w:tcPr>
            <w:tcW w:type="dxa" w:w="1325"/>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t>Korean</w:t>
            </w:r>
          </w:p>
        </w:tc>
        <w:tc>
          <w:tcPr>
            <w:tcW w:type="dxa" w:w="4306"/>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t>Jev 1.13.0</w:t>
            </w:r>
          </w:p>
        </w:tc>
        <w:tc>
          <w:tcPr>
            <w:tcW w:type="dxa" w:w="2318"/>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378/435</w:t>
            </w:r>
          </w:p>
        </w:tc>
        <w:tc>
          <w:tcPr>
            <w:tcW w:type="dxa" w:w="1987"/>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435</w:t>
            </w:r>
          </w:p>
        </w:tc>
      </w:tr>
      <w:tr>
        <w:trPr>
          <w:cantSplit/>
        </w:trPr>
        <w:tc>
          <w:tcPr>
            <w:tcW w:type="dxa" w:w="1325"/>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r>
          </w:p>
        </w:tc>
        <w:tc>
          <w:tcPr>
            <w:tcW w:type="dxa" w:w="4306"/>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t>OpenAI Decisions</w:t>
            </w:r>
          </w:p>
        </w:tc>
        <w:tc>
          <w:tcPr>
            <w:tcW w:type="dxa" w:w="2318"/>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400/435</w:t>
            </w:r>
          </w:p>
        </w:tc>
        <w:tc>
          <w:tcPr>
            <w:tcW w:type="dxa" w:w="1987"/>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434</w:t>
            </w:r>
          </w:p>
        </w:tc>
      </w:tr>
      <w:tr>
        <w:trPr>
          <w:cantSplit/>
        </w:trPr>
        <w:tc>
          <w:tcPr>
            <w:tcW w:type="dxa" w:w="1325"/>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r>
          </w:p>
        </w:tc>
        <w:tc>
          <w:tcPr>
            <w:tcW w:type="dxa" w:w="4306"/>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t>Clef</w:t>
            </w:r>
          </w:p>
        </w:tc>
        <w:tc>
          <w:tcPr>
            <w:tcW w:type="dxa" w:w="2318"/>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363/435</w:t>
            </w:r>
          </w:p>
        </w:tc>
        <w:tc>
          <w:tcPr>
            <w:tcW w:type="dxa" w:w="1987"/>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435</w:t>
            </w:r>
          </w:p>
        </w:tc>
      </w:tr>
      <w:tr>
        <w:trPr>
          <w:cantSplit/>
        </w:trPr>
        <w:tc>
          <w:tcPr>
            <w:tcW w:type="dxa" w:w="1325"/>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r>
          </w:p>
        </w:tc>
        <w:tc>
          <w:tcPr>
            <w:tcW w:type="dxa" w:w="4306"/>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t>GPT-6 Luna letter probabilities</w:t>
            </w:r>
          </w:p>
        </w:tc>
        <w:tc>
          <w:tcPr>
            <w:tcW w:type="dxa" w:w="2318"/>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408/435</w:t>
            </w:r>
          </w:p>
        </w:tc>
        <w:tc>
          <w:tcPr>
            <w:tcW w:type="dxa" w:w="1987"/>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435</w:t>
            </w:r>
          </w:p>
        </w:tc>
      </w:tr>
      <w:tr>
        <w:trPr>
          <w:cantSplit/>
        </w:trPr>
        <w:tc>
          <w:tcPr>
            <w:tcW w:type="dxa" w:w="1325"/>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r>
          </w:p>
        </w:tc>
        <w:tc>
          <w:tcPr>
            <w:tcW w:type="dxa" w:w="4306"/>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t>GPT-6.1 Sol low</w:t>
            </w:r>
          </w:p>
        </w:tc>
        <w:tc>
          <w:tcPr>
            <w:tcW w:type="dxa" w:w="2318"/>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429/435</w:t>
            </w:r>
          </w:p>
        </w:tc>
        <w:tc>
          <w:tcPr>
            <w:tcW w:type="dxa" w:w="1987"/>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435</w:t>
            </w:r>
          </w:p>
        </w:tc>
      </w:tr>
      <w:tr>
        <w:trPr>
          <w:cantSplit/>
        </w:trPr>
        <w:tc>
          <w:tcPr>
            <w:tcW w:type="dxa" w:w="1325"/>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r>
          </w:p>
        </w:tc>
        <w:tc>
          <w:tcPr>
            <w:tcW w:type="dxa" w:w="4306"/>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t>Claude Opus 5.5 low</w:t>
            </w:r>
          </w:p>
        </w:tc>
        <w:tc>
          <w:tcPr>
            <w:tcW w:type="dxa" w:w="2318"/>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430/435</w:t>
            </w:r>
          </w:p>
        </w:tc>
        <w:tc>
          <w:tcPr>
            <w:tcW w:type="dxa" w:w="1987"/>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435</w:t>
            </w:r>
          </w:p>
        </w:tc>
      </w:tr>
      <w:tr>
        <w:trPr>
          <w:cantSplit/>
        </w:trPr>
        <w:tc>
          <w:tcPr>
            <w:tcW w:type="dxa" w:w="1325"/>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r>
          </w:p>
        </w:tc>
        <w:tc>
          <w:tcPr>
            <w:tcW w:type="dxa" w:w="4306"/>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t>Gemini 3.8 Flash low</w:t>
            </w:r>
          </w:p>
        </w:tc>
        <w:tc>
          <w:tcPr>
            <w:tcW w:type="dxa" w:w="2318"/>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428/435</w:t>
            </w:r>
          </w:p>
        </w:tc>
        <w:tc>
          <w:tcPr>
            <w:tcW w:type="dxa" w:w="1987"/>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435</w:t>
            </w:r>
          </w:p>
        </w:tc>
      </w:tr>
      <w:tr>
        <w:trPr>
          <w:cantSplit/>
        </w:trPr>
        <w:tc>
          <w:tcPr>
            <w:tcW w:type="dxa" w:w="1325"/>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r>
          </w:p>
        </w:tc>
        <w:tc>
          <w:tcPr>
            <w:tcW w:type="dxa" w:w="4306"/>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t>GPT-6 Luna max</w:t>
            </w:r>
          </w:p>
        </w:tc>
        <w:tc>
          <w:tcPr>
            <w:tcW w:type="dxa" w:w="2318"/>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427/435</w:t>
            </w:r>
          </w:p>
        </w:tc>
        <w:tc>
          <w:tcPr>
            <w:tcW w:type="dxa" w:w="1987"/>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435</w:t>
            </w:r>
          </w:p>
        </w:tc>
      </w:tr>
      <w:tr>
        <w:trPr>
          <w:cantSplit/>
        </w:trPr>
        <w:tc>
          <w:tcPr>
            <w:tcW w:type="dxa" w:w="1325"/>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r>
          </w:p>
        </w:tc>
        <w:tc>
          <w:tcPr>
            <w:tcW w:type="dxa" w:w="4306"/>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t>Claude Sonnet 5.5 low</w:t>
            </w:r>
          </w:p>
        </w:tc>
        <w:tc>
          <w:tcPr>
            <w:tcW w:type="dxa" w:w="2318"/>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412/435</w:t>
            </w:r>
          </w:p>
        </w:tc>
        <w:tc>
          <w:tcPr>
            <w:tcW w:type="dxa" w:w="1987"/>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435</w:t>
            </w:r>
          </w:p>
        </w:tc>
      </w:tr>
      <w:tr>
        <w:trPr>
          <w:cantSplit/>
        </w:trPr>
        <w:tc>
          <w:tcPr>
            <w:tcW w:type="dxa" w:w="1325"/>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r>
          </w:p>
        </w:tc>
        <w:tc>
          <w:tcPr>
            <w:tcW w:type="dxa" w:w="4306"/>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t>GPT-6 Luna none</w:t>
            </w:r>
          </w:p>
        </w:tc>
        <w:tc>
          <w:tcPr>
            <w:tcW w:type="dxa" w:w="2318"/>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405/435</w:t>
            </w:r>
          </w:p>
        </w:tc>
        <w:tc>
          <w:tcPr>
            <w:tcW w:type="dxa" w:w="1987"/>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435</w:t>
            </w:r>
          </w:p>
        </w:tc>
      </w:tr>
      <w:tr>
        <w:trPr>
          <w:cantSplit/>
        </w:trPr>
        <w:tc>
          <w:tcPr>
            <w:tcW w:type="dxa" w:w="1325"/>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t>English</w:t>
            </w:r>
          </w:p>
        </w:tc>
        <w:tc>
          <w:tcPr>
            <w:tcW w:type="dxa" w:w="4306"/>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t>Jev 1.13.0</w:t>
            </w:r>
          </w:p>
        </w:tc>
        <w:tc>
          <w:tcPr>
            <w:tcW w:type="dxa" w:w="2318"/>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1117/1273</w:t>
            </w:r>
          </w:p>
        </w:tc>
        <w:tc>
          <w:tcPr>
            <w:tcW w:type="dxa" w:w="1987"/>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1272</w:t>
            </w:r>
          </w:p>
        </w:tc>
      </w:tr>
      <w:tr>
        <w:trPr>
          <w:cantSplit/>
        </w:trPr>
        <w:tc>
          <w:tcPr>
            <w:tcW w:type="dxa" w:w="1325"/>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r>
          </w:p>
        </w:tc>
        <w:tc>
          <w:tcPr>
            <w:tcW w:type="dxa" w:w="4306"/>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t>OpenAI Decisions</w:t>
            </w:r>
          </w:p>
        </w:tc>
        <w:tc>
          <w:tcPr>
            <w:tcW w:type="dxa" w:w="2318"/>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1111/1273</w:t>
            </w:r>
          </w:p>
        </w:tc>
        <w:tc>
          <w:tcPr>
            <w:tcW w:type="dxa" w:w="1987"/>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1267</w:t>
            </w:r>
          </w:p>
        </w:tc>
      </w:tr>
      <w:tr>
        <w:trPr>
          <w:cantSplit/>
        </w:trPr>
        <w:tc>
          <w:tcPr>
            <w:tcW w:type="dxa" w:w="1325"/>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r>
          </w:p>
        </w:tc>
        <w:tc>
          <w:tcPr>
            <w:tcW w:type="dxa" w:w="4306"/>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t>Clef</w:t>
            </w:r>
          </w:p>
        </w:tc>
        <w:tc>
          <w:tcPr>
            <w:tcW w:type="dxa" w:w="2318"/>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1079/1273</w:t>
            </w:r>
          </w:p>
        </w:tc>
        <w:tc>
          <w:tcPr>
            <w:tcW w:type="dxa" w:w="1987"/>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1273</w:t>
            </w:r>
          </w:p>
        </w:tc>
      </w:tr>
      <w:tr>
        <w:trPr>
          <w:cantSplit/>
        </w:trPr>
        <w:tc>
          <w:tcPr>
            <w:tcW w:type="dxa" w:w="1325"/>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r>
          </w:p>
        </w:tc>
        <w:tc>
          <w:tcPr>
            <w:tcW w:type="dxa" w:w="4306"/>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t>GPT-6 Luna letter probabilities</w:t>
            </w:r>
          </w:p>
        </w:tc>
        <w:tc>
          <w:tcPr>
            <w:tcW w:type="dxa" w:w="2318"/>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1128/1273</w:t>
            </w:r>
          </w:p>
        </w:tc>
        <w:tc>
          <w:tcPr>
            <w:tcW w:type="dxa" w:w="1987"/>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1270</w:t>
            </w:r>
          </w:p>
        </w:tc>
      </w:tr>
      <w:tr>
        <w:trPr>
          <w:cantSplit/>
        </w:trPr>
        <w:tc>
          <w:tcPr>
            <w:tcW w:type="dxa" w:w="1325"/>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r>
          </w:p>
        </w:tc>
        <w:tc>
          <w:tcPr>
            <w:tcW w:type="dxa" w:w="4306"/>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t>GPT-6.1 Sol low</w:t>
            </w:r>
          </w:p>
        </w:tc>
        <w:tc>
          <w:tcPr>
            <w:tcW w:type="dxa" w:w="2318"/>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1232/1273</w:t>
            </w:r>
          </w:p>
        </w:tc>
        <w:tc>
          <w:tcPr>
            <w:tcW w:type="dxa" w:w="1987"/>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1273</w:t>
            </w:r>
          </w:p>
        </w:tc>
      </w:tr>
      <w:tr>
        <w:trPr>
          <w:cantSplit/>
        </w:trPr>
        <w:tc>
          <w:tcPr>
            <w:tcW w:type="dxa" w:w="1325"/>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r>
          </w:p>
        </w:tc>
        <w:tc>
          <w:tcPr>
            <w:tcW w:type="dxa" w:w="4306"/>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t>Claude Opus 5.5 low</w:t>
            </w:r>
          </w:p>
        </w:tc>
        <w:tc>
          <w:tcPr>
            <w:tcW w:type="dxa" w:w="2318"/>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1230/1273</w:t>
            </w:r>
          </w:p>
        </w:tc>
        <w:tc>
          <w:tcPr>
            <w:tcW w:type="dxa" w:w="1987"/>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1270</w:t>
            </w:r>
          </w:p>
        </w:tc>
      </w:tr>
      <w:tr>
        <w:trPr>
          <w:cantSplit/>
        </w:trPr>
        <w:tc>
          <w:tcPr>
            <w:tcW w:type="dxa" w:w="1325"/>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r>
          </w:p>
        </w:tc>
        <w:tc>
          <w:tcPr>
            <w:tcW w:type="dxa" w:w="4306"/>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t>Gemini 3.8 Flash low</w:t>
            </w:r>
          </w:p>
        </w:tc>
        <w:tc>
          <w:tcPr>
            <w:tcW w:type="dxa" w:w="2318"/>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1233/1273</w:t>
            </w:r>
          </w:p>
        </w:tc>
        <w:tc>
          <w:tcPr>
            <w:tcW w:type="dxa" w:w="1987"/>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1273</w:t>
            </w:r>
          </w:p>
        </w:tc>
      </w:tr>
      <w:tr>
        <w:trPr>
          <w:cantSplit/>
        </w:trPr>
        <w:tc>
          <w:tcPr>
            <w:tcW w:type="dxa" w:w="1325"/>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r>
          </w:p>
        </w:tc>
        <w:tc>
          <w:tcPr>
            <w:tcW w:type="dxa" w:w="4306"/>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t>GPT-6 Luna max</w:t>
            </w:r>
          </w:p>
        </w:tc>
        <w:tc>
          <w:tcPr>
            <w:tcW w:type="dxa" w:w="2318"/>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1217/1273</w:t>
            </w:r>
          </w:p>
        </w:tc>
        <w:tc>
          <w:tcPr>
            <w:tcW w:type="dxa" w:w="1987"/>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1273</w:t>
            </w:r>
          </w:p>
        </w:tc>
      </w:tr>
      <w:tr>
        <w:trPr>
          <w:cantSplit/>
        </w:trPr>
        <w:tc>
          <w:tcPr>
            <w:tcW w:type="dxa" w:w="1325"/>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r>
          </w:p>
        </w:tc>
        <w:tc>
          <w:tcPr>
            <w:tcW w:type="dxa" w:w="4306"/>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t>Claude Sonnet 5.5 low</w:t>
            </w:r>
          </w:p>
        </w:tc>
        <w:tc>
          <w:tcPr>
            <w:tcW w:type="dxa" w:w="2318"/>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1203/1273</w:t>
            </w:r>
          </w:p>
        </w:tc>
        <w:tc>
          <w:tcPr>
            <w:tcW w:type="dxa" w:w="1987"/>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1272</w:t>
            </w:r>
          </w:p>
        </w:tc>
      </w:tr>
      <w:tr>
        <w:trPr>
          <w:cantSplit/>
        </w:trPr>
        <w:tc>
          <w:tcPr>
            <w:tcW w:type="dxa" w:w="1325"/>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r>
          </w:p>
        </w:tc>
        <w:tc>
          <w:tcPr>
            <w:tcW w:type="dxa" w:w="4306"/>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t>GPT-6 Luna none</w:t>
            </w:r>
          </w:p>
        </w:tc>
        <w:tc>
          <w:tcPr>
            <w:tcW w:type="dxa" w:w="2318"/>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1138/1273</w:t>
            </w:r>
          </w:p>
        </w:tc>
        <w:tc>
          <w:tcPr>
            <w:tcW w:type="dxa" w:w="1987"/>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1273</w:t>
            </w:r>
          </w:p>
        </w:tc>
      </w:tr>
    </w:tbl>
    <w:p>
      <w:pPr>
        <w:spacing w:after="80"/>
      </w:pPr>
    </w:p>
    <w:p>
      <w:pPr>
        <w:keepNext/>
        <w:spacing w:line="240" w:lineRule="auto" w:after="120" w:before="160"/>
      </w:pPr>
      <w:r>
        <w:rPr>
          <w:rFonts w:ascii="Times New Roman" w:hAnsi="Times New Roman" w:eastAsia="Batang"/>
          <w:b w:val="0"/>
          <w:color w:val="000000"/>
          <w:sz w:val="20"/>
        </w:rPr>
      </w:r>
      <w:r>
        <w:rPr>
          <w:rFonts w:ascii="Times New Roman" w:hAnsi="Times New Roman" w:eastAsia="Batang"/>
          <w:b/>
          <w:color w:val="000000"/>
          <w:sz w:val="20"/>
        </w:rPr>
        <w:t>Supplementary Table 3. Selected-option probability and the separately reported confidence field.</w:t>
      </w:r>
      <w:r>
        <w:rPr>
          <w:rFonts w:ascii="Times New Roman" w:hAnsi="Times New Roman" w:eastAsia="Batang"/>
          <w:b w:val="0"/>
          <w:color w:val="000000"/>
          <w:sz w:val="20"/>
        </w:rPr>
        <w:t xml:space="preserve"> Both measures were computed on the same valid test answers with the definitions of the main analysis. TypeSafe AI describes the field as derived from the probabilities [24]. Its derivation for OpenAI Decisions and the hosted Clef service is not documented, and the public Clef code returns the selected probability itself. ECE, expected calibration error.</w:t>
      </w:r>
    </w:p>
    <w:tbl>
      <w:tblPr>
        <w:tblW w:type="auto" w:w="0"/>
        <w:tblLayout w:type="fixed"/>
        <w:tblLook w:firstColumn="1" w:firstRow="1" w:lastColumn="0" w:lastRow="0" w:noHBand="0" w:noVBand="1" w:val="04A0"/>
        <w:tblBorders>
          <w:top w:val="single" w:sz="8" w:color="000000" w:space="0"/>
          <w:left w:val="nil"/>
          <w:bottom w:val="single" w:sz="8" w:color="000000" w:space="0"/>
          <w:right w:val="nil"/>
          <w:insideH w:val="nil"/>
          <w:insideV w:val="nil"/>
        </w:tblBorders>
      </w:tblPr>
      <w:tblGrid>
        <w:gridCol w:w="1008"/>
        <w:gridCol w:w="1872"/>
        <w:gridCol w:w="1440"/>
        <w:gridCol w:w="1872"/>
        <w:gridCol w:w="1872"/>
        <w:gridCol w:w="1872"/>
      </w:tblGrid>
      <w:tr>
        <w:trPr>
          <w:cantSplit/>
          <w:tblHeader w:val="true"/>
        </w:trPr>
        <w:tc>
          <w:tcPr>
            <w:tcW w:type="dxa" w:w="1008"/>
            <w:vAlign w:val="bottom"/>
            <w:tcMar>
              <w:top w:w="30" w:type="dxa"/>
              <w:left w:w="70" w:type="dxa"/>
              <w:bottom w:w="30" w:type="dxa"/>
              <w:right w:w="70" w:type="dxa"/>
            </w:tcMar>
            <w:tcBorders>
              <w:bottom w:val="single" w:sz="6" w:color="000000" w:space="0"/>
            </w:tcBorders>
          </w:tcPr>
          <w:p>
            <w:pPr>
              <w:keepNext/>
              <w:spacing w:after="0" w:line="240" w:lineRule="auto"/>
              <w:rPr>
                <w:sz w:val="18"/>
              </w:rPr>
            </w:pPr>
            <w:r>
              <w:rPr>
                <w:rFonts w:ascii="Times New Roman" w:hAnsi="Times New Roman" w:eastAsia="Batang"/>
                <w:b/>
                <w:color w:val="000000"/>
                <w:sz w:val="18"/>
              </w:rPr>
              <w:t>Cohort</w:t>
            </w:r>
          </w:p>
        </w:tc>
        <w:tc>
          <w:tcPr>
            <w:tcW w:type="dxa" w:w="1872"/>
            <w:vAlign w:val="bottom"/>
            <w:tcMar>
              <w:top w:w="30" w:type="dxa"/>
              <w:left w:w="70" w:type="dxa"/>
              <w:bottom w:w="30" w:type="dxa"/>
              <w:right w:w="70" w:type="dxa"/>
            </w:tcMar>
            <w:tcBorders>
              <w:bottom w:val="single" w:sz="6" w:color="000000" w:space="0"/>
            </w:tcBorders>
          </w:tcPr>
          <w:p>
            <w:pPr>
              <w:keepNext/>
              <w:spacing w:after="0" w:line="240" w:lineRule="auto"/>
              <w:rPr>
                <w:sz w:val="18"/>
              </w:rPr>
            </w:pPr>
            <w:r>
              <w:rPr>
                <w:rFonts w:ascii="Times New Roman" w:hAnsi="Times New Roman" w:eastAsia="Batang"/>
                <w:b/>
                <w:color w:val="000000"/>
                <w:sz w:val="18"/>
              </w:rPr>
              <w:t>Model</w:t>
            </w:r>
          </w:p>
        </w:tc>
        <w:tc>
          <w:tcPr>
            <w:tcW w:type="dxa" w:w="1440"/>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Mean difference, confidence minus probability</w:t>
            </w:r>
          </w:p>
        </w:tc>
        <w:tc>
          <w:tcPr>
            <w:tcW w:type="dxa" w:w="1872"/>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Error AUROC, probability / confidence</w:t>
            </w:r>
          </w:p>
        </w:tc>
        <w:tc>
          <w:tcPr>
            <w:tcW w:type="dxa" w:w="1872"/>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ECE, probability / confidence</w:t>
            </w:r>
          </w:p>
        </w:tc>
        <w:tc>
          <w:tcPr>
            <w:tcW w:type="dxa" w:w="1872"/>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Errors caught at 20%, probability / confidence, %</w:t>
            </w:r>
          </w:p>
        </w:tc>
      </w:tr>
      <w:tr>
        <w:trPr>
          <w:cantSplit/>
        </w:trPr>
        <w:tc>
          <w:tcPr>
            <w:tcW w:type="dxa" w:w="1008"/>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Korean</w:t>
            </w:r>
          </w:p>
        </w:tc>
        <w:tc>
          <w:tcPr>
            <w:tcW w:type="dxa" w:w="1872"/>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Jev 1.13.0</w:t>
            </w:r>
          </w:p>
        </w:tc>
        <w:tc>
          <w:tcPr>
            <w:tcW w:type="dxa" w:w="144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-0.046</w:t>
            </w:r>
          </w:p>
        </w:tc>
        <w:tc>
          <w:tcPr>
            <w:tcW w:type="dxa" w:w="187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0.861 / 0.861</w:t>
            </w:r>
          </w:p>
        </w:tc>
        <w:tc>
          <w:tcPr>
            <w:tcW w:type="dxa" w:w="187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0.043 / 0.088</w:t>
            </w:r>
          </w:p>
        </w:tc>
        <w:tc>
          <w:tcPr>
            <w:tcW w:type="dxa" w:w="187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56.1 / 56.1</w:t>
            </w:r>
          </w:p>
        </w:tc>
      </w:tr>
      <w:tr>
        <w:trPr>
          <w:cantSplit/>
        </w:trPr>
        <w:tc>
          <w:tcPr>
            <w:tcW w:type="dxa" w:w="1008"/>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r>
          </w:p>
        </w:tc>
        <w:tc>
          <w:tcPr>
            <w:tcW w:type="dxa" w:w="1872"/>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OpenAI Decisions</w:t>
            </w:r>
          </w:p>
        </w:tc>
        <w:tc>
          <w:tcPr>
            <w:tcW w:type="dxa" w:w="144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-0.030</w:t>
            </w:r>
          </w:p>
        </w:tc>
        <w:tc>
          <w:tcPr>
            <w:tcW w:type="dxa" w:w="187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0.935 / 0.935</w:t>
            </w:r>
          </w:p>
        </w:tc>
        <w:tc>
          <w:tcPr>
            <w:tcW w:type="dxa" w:w="187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0.044 / 0.074</w:t>
            </w:r>
          </w:p>
        </w:tc>
        <w:tc>
          <w:tcPr>
            <w:tcW w:type="dxa" w:w="187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91.2 / 91.2</w:t>
            </w:r>
          </w:p>
        </w:tc>
      </w:tr>
      <w:tr>
        <w:trPr>
          <w:cantSplit/>
        </w:trPr>
        <w:tc>
          <w:tcPr>
            <w:tcW w:type="dxa" w:w="1008"/>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r>
          </w:p>
        </w:tc>
        <w:tc>
          <w:tcPr>
            <w:tcW w:type="dxa" w:w="1872"/>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Clef</w:t>
            </w:r>
          </w:p>
        </w:tc>
        <w:tc>
          <w:tcPr>
            <w:tcW w:type="dxa" w:w="144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-0.174</w:t>
            </w:r>
          </w:p>
        </w:tc>
        <w:tc>
          <w:tcPr>
            <w:tcW w:type="dxa" w:w="187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0.856 / 0.854</w:t>
            </w:r>
          </w:p>
        </w:tc>
        <w:tc>
          <w:tcPr>
            <w:tcW w:type="dxa" w:w="187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0.061 / 0.203</w:t>
            </w:r>
          </w:p>
        </w:tc>
        <w:tc>
          <w:tcPr>
            <w:tcW w:type="dxa" w:w="187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59.7 / 61.1</w:t>
            </w:r>
          </w:p>
        </w:tc>
      </w:tr>
      <w:tr>
        <w:trPr>
          <w:cantSplit/>
        </w:trPr>
        <w:tc>
          <w:tcPr>
            <w:tcW w:type="dxa" w:w="1008"/>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English</w:t>
            </w:r>
          </w:p>
        </w:tc>
        <w:tc>
          <w:tcPr>
            <w:tcW w:type="dxa" w:w="1872"/>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Jev 1.13.0</w:t>
            </w:r>
          </w:p>
        </w:tc>
        <w:tc>
          <w:tcPr>
            <w:tcW w:type="dxa" w:w="144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-0.039</w:t>
            </w:r>
          </w:p>
        </w:tc>
        <w:tc>
          <w:tcPr>
            <w:tcW w:type="dxa" w:w="187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0.899 / 0.901</w:t>
            </w:r>
          </w:p>
        </w:tc>
        <w:tc>
          <w:tcPr>
            <w:tcW w:type="dxa" w:w="187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0.009 / 0.031</w:t>
            </w:r>
          </w:p>
        </w:tc>
        <w:tc>
          <w:tcPr>
            <w:tcW w:type="dxa" w:w="187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71.6 / 72.0</w:t>
            </w:r>
          </w:p>
        </w:tc>
      </w:tr>
      <w:tr>
        <w:trPr>
          <w:cantSplit/>
        </w:trPr>
        <w:tc>
          <w:tcPr>
            <w:tcW w:type="dxa" w:w="1008"/>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r>
          </w:p>
        </w:tc>
        <w:tc>
          <w:tcPr>
            <w:tcW w:type="dxa" w:w="1872"/>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OpenAI Decisions</w:t>
            </w:r>
          </w:p>
        </w:tc>
        <w:tc>
          <w:tcPr>
            <w:tcW w:type="dxa" w:w="144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-0.033</w:t>
            </w:r>
          </w:p>
        </w:tc>
        <w:tc>
          <w:tcPr>
            <w:tcW w:type="dxa" w:w="187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0.903 / 0.903</w:t>
            </w:r>
          </w:p>
        </w:tc>
        <w:tc>
          <w:tcPr>
            <w:tcW w:type="dxa" w:w="187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0.028 / 0.020</w:t>
            </w:r>
          </w:p>
        </w:tc>
        <w:tc>
          <w:tcPr>
            <w:tcW w:type="dxa" w:w="187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71.4 / 71.4</w:t>
            </w:r>
          </w:p>
        </w:tc>
      </w:tr>
      <w:tr>
        <w:trPr>
          <w:cantSplit/>
        </w:trPr>
        <w:tc>
          <w:tcPr>
            <w:tcW w:type="dxa" w:w="1008"/>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1872"/>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t>Clef</w:t>
            </w:r>
          </w:p>
        </w:tc>
        <w:tc>
          <w:tcPr>
            <w:tcW w:type="dxa" w:w="144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-0.145</w:t>
            </w:r>
          </w:p>
        </w:tc>
        <w:tc>
          <w:tcPr>
            <w:tcW w:type="dxa" w:w="1872"/>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0.864 / 0.864</w:t>
            </w:r>
          </w:p>
        </w:tc>
        <w:tc>
          <w:tcPr>
            <w:tcW w:type="dxa" w:w="1872"/>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0.020 / 0.135</w:t>
            </w:r>
          </w:p>
        </w:tc>
        <w:tc>
          <w:tcPr>
            <w:tcW w:type="dxa" w:w="1872"/>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62.4 / 63.4</w:t>
            </w:r>
          </w:p>
        </w:tc>
      </w:tr>
    </w:tbl>
    <w:p>
      <w:pPr>
        <w:spacing w:after="80"/>
      </w:pPr>
    </w:p>
    <w:p>
      <w:pPr>
        <w:keepNext/>
        <w:spacing w:line="240" w:lineRule="auto" w:after="120" w:before="160"/>
      </w:pPr>
      <w:r>
        <w:rPr>
          <w:rFonts w:ascii="Times New Roman" w:hAnsi="Times New Roman" w:eastAsia="Batang"/>
          <w:b w:val="0"/>
          <w:color w:val="000000"/>
          <w:sz w:val="20"/>
        </w:rPr>
      </w:r>
      <w:r>
        <w:rPr>
          <w:rFonts w:ascii="Times New Roman" w:hAnsi="Times New Roman" w:eastAsia="Batang"/>
          <w:b/>
          <w:color w:val="000000"/>
          <w:sz w:val="20"/>
        </w:rPr>
        <w:t>Supplementary Table 4. Paired differences in error AUROC.</w:t>
      </w:r>
      <w:r>
        <w:rPr>
          <w:rFonts w:ascii="Times New Roman" w:hAnsi="Times New Roman" w:eastAsia="Batang"/>
          <w:b w:val="0"/>
          <w:color w:val="000000"/>
          <w:sz w:val="20"/>
        </w:rPr>
        <w:t xml:space="preserve"> Each bootstrap resample drew source questions with replacement and computed each model's AUROC on its own valid answers. Because the models make different errors, the differences describe how well each model ranks its own errors.</w:t>
      </w:r>
    </w:p>
    <w:tbl>
      <w:tblPr>
        <w:tblW w:type="auto" w:w="0"/>
        <w:tblLayout w:type="fixed"/>
        <w:tblLook w:firstColumn="1" w:firstRow="1" w:lastColumn="0" w:lastRow="0" w:noHBand="0" w:noVBand="1" w:val="04A0"/>
        <w:tblBorders>
          <w:top w:val="single" w:sz="8" w:color="000000" w:space="0"/>
          <w:left w:val="nil"/>
          <w:bottom w:val="single" w:sz="8" w:color="000000" w:space="0"/>
          <w:right w:val="nil"/>
          <w:insideH w:val="nil"/>
          <w:insideV w:val="nil"/>
        </w:tblBorders>
      </w:tblPr>
      <w:tblGrid>
        <w:gridCol w:w="1179"/>
        <w:gridCol w:w="6063"/>
        <w:gridCol w:w="2695"/>
      </w:tblGrid>
      <w:tr>
        <w:trPr>
          <w:cantSplit/>
          <w:tblHeader w:val="true"/>
        </w:trPr>
        <w:tc>
          <w:tcPr>
            <w:tcW w:type="dxa" w:w="1179"/>
            <w:vAlign w:val="bottom"/>
            <w:tcMar>
              <w:top w:w="30" w:type="dxa"/>
              <w:left w:w="70" w:type="dxa"/>
              <w:bottom w:w="30" w:type="dxa"/>
              <w:right w:w="70" w:type="dxa"/>
            </w:tcMar>
            <w:tcBorders>
              <w:bottom w:val="single" w:sz="6" w:color="000000" w:space="0"/>
            </w:tcBorders>
          </w:tcPr>
          <w:p>
            <w:pPr>
              <w:keepNext/>
              <w:spacing w:after="0" w:line="240" w:lineRule="auto"/>
              <w:rPr>
                <w:sz w:val="19"/>
              </w:rPr>
            </w:pPr>
            <w:r>
              <w:rPr>
                <w:rFonts w:ascii="Times New Roman" w:hAnsi="Times New Roman" w:eastAsia="Batang"/>
                <w:b/>
                <w:color w:val="000000"/>
                <w:sz w:val="19"/>
              </w:rPr>
              <w:t>Cohort</w:t>
            </w:r>
          </w:p>
        </w:tc>
        <w:tc>
          <w:tcPr>
            <w:tcW w:type="dxa" w:w="6063"/>
            <w:vAlign w:val="bottom"/>
            <w:tcMar>
              <w:top w:w="30" w:type="dxa"/>
              <w:left w:w="70" w:type="dxa"/>
              <w:bottom w:w="30" w:type="dxa"/>
              <w:right w:w="70" w:type="dxa"/>
            </w:tcMar>
            <w:tcBorders>
              <w:bottom w:val="single" w:sz="6" w:color="000000" w:space="0"/>
            </w:tcBorders>
          </w:tcPr>
          <w:p>
            <w:pPr>
              <w:keepNext/>
              <w:spacing w:after="0" w:line="240" w:lineRule="auto"/>
              <w:rPr>
                <w:sz w:val="19"/>
              </w:rPr>
            </w:pPr>
            <w:r>
              <w:rPr>
                <w:rFonts w:ascii="Times New Roman" w:hAnsi="Times New Roman" w:eastAsia="Batang"/>
                <w:b/>
                <w:color w:val="000000"/>
                <w:sz w:val="19"/>
              </w:rPr>
              <w:t>Comparison</w:t>
            </w:r>
          </w:p>
        </w:tc>
        <w:tc>
          <w:tcPr>
            <w:tcW w:type="dxa" w:w="2695"/>
            <w:vAlign w:val="bottom"/>
            <w:tcMar>
              <w:top w:w="30" w:type="dxa"/>
              <w:left w:w="70" w:type="dxa"/>
              <w:bottom w:w="30" w:type="dxa"/>
              <w:right w:w="70" w:type="dxa"/>
            </w:tcMar>
            <w:tcBorders>
              <w:bottom w:val="single" w:sz="6" w:color="000000" w:space="0"/>
            </w:tcBorders>
          </w:tcPr>
          <w:p>
            <w:pPr>
              <w:keepNext/>
              <w:spacing w:after="0" w:line="240" w:lineRule="auto"/>
              <w:jc w:val="right"/>
              <w:rPr>
                <w:sz w:val="19"/>
              </w:rPr>
            </w:pPr>
            <w:r>
              <w:rPr>
                <w:rFonts w:ascii="Times New Roman" w:hAnsi="Times New Roman" w:eastAsia="Batang"/>
                <w:b/>
                <w:color w:val="000000"/>
                <w:sz w:val="19"/>
              </w:rPr>
              <w:t>Difference (95% CI)</w:t>
            </w:r>
          </w:p>
        </w:tc>
      </w:tr>
      <w:tr>
        <w:trPr>
          <w:cantSplit/>
        </w:trPr>
        <w:tc>
          <w:tcPr>
            <w:tcW w:type="dxa" w:w="1179"/>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Korean</w:t>
            </w:r>
          </w:p>
        </w:tc>
        <w:tc>
          <w:tcPr>
            <w:tcW w:type="dxa" w:w="6063"/>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OpenAI Decisions minus GPT-6 Luna letter probabilities</w:t>
            </w:r>
          </w:p>
        </w:tc>
        <w:tc>
          <w:tcPr>
            <w:tcW w:type="dxa" w:w="2695"/>
            <w:vAlign w:val="top"/>
            <w:tcMar>
              <w:top w:w="30" w:type="dxa"/>
              <w:left w:w="70" w:type="dxa"/>
              <w:bottom w:w="30" w:type="dxa"/>
              <w:right w:w="70" w:type="dxa"/>
            </w:tcMar>
          </w:tcPr>
          <w:p>
            <w:pPr>
              <w:keepNext/>
              <w:spacing w:after="0" w:line="240" w:lineRule="auto"/>
              <w:jc w:val="right"/>
              <w:rPr>
                <w:sz w:val="19"/>
              </w:rPr>
            </w:pPr>
            <w:r>
              <w:rPr>
                <w:rFonts w:ascii="Times New Roman" w:hAnsi="Times New Roman" w:eastAsia="Batang"/>
                <w:b w:val="0"/>
                <w:color w:val="000000"/>
                <w:sz w:val="19"/>
              </w:rPr>
              <w:t>0.091 (0.007 to 0.180)</w:t>
            </w:r>
          </w:p>
        </w:tc>
      </w:tr>
      <w:tr>
        <w:trPr>
          <w:cantSplit/>
        </w:trPr>
        <w:tc>
          <w:tcPr>
            <w:tcW w:type="dxa" w:w="1179"/>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r>
          </w:p>
        </w:tc>
        <w:tc>
          <w:tcPr>
            <w:tcW w:type="dxa" w:w="6063"/>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Jev minus OpenAI Decisions</w:t>
            </w:r>
          </w:p>
        </w:tc>
        <w:tc>
          <w:tcPr>
            <w:tcW w:type="dxa" w:w="2695"/>
            <w:vAlign w:val="top"/>
            <w:tcMar>
              <w:top w:w="30" w:type="dxa"/>
              <w:left w:w="70" w:type="dxa"/>
              <w:bottom w:w="30" w:type="dxa"/>
              <w:right w:w="70" w:type="dxa"/>
            </w:tcMar>
          </w:tcPr>
          <w:p>
            <w:pPr>
              <w:keepNext/>
              <w:spacing w:after="0" w:line="240" w:lineRule="auto"/>
              <w:jc w:val="right"/>
              <w:rPr>
                <w:sz w:val="19"/>
              </w:rPr>
            </w:pPr>
            <w:r>
              <w:rPr>
                <w:rFonts w:ascii="Times New Roman" w:hAnsi="Times New Roman" w:eastAsia="Batang"/>
                <w:b w:val="0"/>
                <w:color w:val="000000"/>
                <w:sz w:val="19"/>
              </w:rPr>
              <w:t>-0.074 (-0.118 to -0.029)</w:t>
            </w:r>
          </w:p>
        </w:tc>
      </w:tr>
      <w:tr>
        <w:trPr>
          <w:cantSplit/>
        </w:trPr>
        <w:tc>
          <w:tcPr>
            <w:tcW w:type="dxa" w:w="1179"/>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r>
          </w:p>
        </w:tc>
        <w:tc>
          <w:tcPr>
            <w:tcW w:type="dxa" w:w="6063"/>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Jev minus Clef</w:t>
            </w:r>
          </w:p>
        </w:tc>
        <w:tc>
          <w:tcPr>
            <w:tcW w:type="dxa" w:w="2695"/>
            <w:vAlign w:val="top"/>
            <w:tcMar>
              <w:top w:w="30" w:type="dxa"/>
              <w:left w:w="70" w:type="dxa"/>
              <w:bottom w:w="30" w:type="dxa"/>
              <w:right w:w="70" w:type="dxa"/>
            </w:tcMar>
          </w:tcPr>
          <w:p>
            <w:pPr>
              <w:keepNext/>
              <w:spacing w:after="0" w:line="240" w:lineRule="auto"/>
              <w:jc w:val="right"/>
              <w:rPr>
                <w:sz w:val="19"/>
              </w:rPr>
            </w:pPr>
            <w:r>
              <w:rPr>
                <w:rFonts w:ascii="Times New Roman" w:hAnsi="Times New Roman" w:eastAsia="Batang"/>
                <w:b w:val="0"/>
                <w:color w:val="000000"/>
                <w:sz w:val="19"/>
              </w:rPr>
              <w:t>0.005 (-0.045 to 0.058)</w:t>
            </w:r>
          </w:p>
        </w:tc>
      </w:tr>
      <w:tr>
        <w:trPr>
          <w:cantSplit/>
        </w:trPr>
        <w:tc>
          <w:tcPr>
            <w:tcW w:type="dxa" w:w="1179"/>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r>
          </w:p>
        </w:tc>
        <w:tc>
          <w:tcPr>
            <w:tcW w:type="dxa" w:w="6063"/>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OpenAI Decisions minus Clef</w:t>
            </w:r>
          </w:p>
        </w:tc>
        <w:tc>
          <w:tcPr>
            <w:tcW w:type="dxa" w:w="2695"/>
            <w:vAlign w:val="top"/>
            <w:tcMar>
              <w:top w:w="30" w:type="dxa"/>
              <w:left w:w="70" w:type="dxa"/>
              <w:bottom w:w="30" w:type="dxa"/>
              <w:right w:w="70" w:type="dxa"/>
            </w:tcMar>
          </w:tcPr>
          <w:p>
            <w:pPr>
              <w:keepNext/>
              <w:spacing w:after="0" w:line="240" w:lineRule="auto"/>
              <w:jc w:val="right"/>
              <w:rPr>
                <w:sz w:val="19"/>
              </w:rPr>
            </w:pPr>
            <w:r>
              <w:rPr>
                <w:rFonts w:ascii="Times New Roman" w:hAnsi="Times New Roman" w:eastAsia="Batang"/>
                <w:b w:val="0"/>
                <w:color w:val="000000"/>
                <w:sz w:val="19"/>
              </w:rPr>
              <w:t>0.079 (0.033 to 0.126)</w:t>
            </w:r>
          </w:p>
        </w:tc>
      </w:tr>
      <w:tr>
        <w:trPr>
          <w:cantSplit/>
        </w:trPr>
        <w:tc>
          <w:tcPr>
            <w:tcW w:type="dxa" w:w="1179"/>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r>
          </w:p>
        </w:tc>
        <w:tc>
          <w:tcPr>
            <w:tcW w:type="dxa" w:w="6063"/>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Jev minus GPT-6 Luna letter probabilities</w:t>
            </w:r>
          </w:p>
        </w:tc>
        <w:tc>
          <w:tcPr>
            <w:tcW w:type="dxa" w:w="2695"/>
            <w:vAlign w:val="top"/>
            <w:tcMar>
              <w:top w:w="30" w:type="dxa"/>
              <w:left w:w="70" w:type="dxa"/>
              <w:bottom w:w="30" w:type="dxa"/>
              <w:right w:w="70" w:type="dxa"/>
            </w:tcMar>
          </w:tcPr>
          <w:p>
            <w:pPr>
              <w:keepNext/>
              <w:spacing w:after="0" w:line="240" w:lineRule="auto"/>
              <w:jc w:val="right"/>
              <w:rPr>
                <w:sz w:val="19"/>
              </w:rPr>
            </w:pPr>
            <w:r>
              <w:rPr>
                <w:rFonts w:ascii="Times New Roman" w:hAnsi="Times New Roman" w:eastAsia="Batang"/>
                <w:b w:val="0"/>
                <w:color w:val="000000"/>
                <w:sz w:val="19"/>
              </w:rPr>
              <w:t>0.017 (-0.062 to 0.102)</w:t>
            </w:r>
          </w:p>
        </w:tc>
      </w:tr>
      <w:tr>
        <w:trPr>
          <w:cantSplit/>
        </w:trPr>
        <w:tc>
          <w:tcPr>
            <w:tcW w:type="dxa" w:w="1179"/>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English</w:t>
            </w:r>
          </w:p>
        </w:tc>
        <w:tc>
          <w:tcPr>
            <w:tcW w:type="dxa" w:w="6063"/>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OpenAI Decisions minus GPT-6 Luna letter probabilities</w:t>
            </w:r>
          </w:p>
        </w:tc>
        <w:tc>
          <w:tcPr>
            <w:tcW w:type="dxa" w:w="2695"/>
            <w:vAlign w:val="top"/>
            <w:tcMar>
              <w:top w:w="30" w:type="dxa"/>
              <w:left w:w="70" w:type="dxa"/>
              <w:bottom w:w="30" w:type="dxa"/>
              <w:right w:w="70" w:type="dxa"/>
            </w:tcMar>
          </w:tcPr>
          <w:p>
            <w:pPr>
              <w:keepNext/>
              <w:spacing w:after="0" w:line="240" w:lineRule="auto"/>
              <w:jc w:val="right"/>
              <w:rPr>
                <w:sz w:val="19"/>
              </w:rPr>
            </w:pPr>
            <w:r>
              <w:rPr>
                <w:rFonts w:ascii="Times New Roman" w:hAnsi="Times New Roman" w:eastAsia="Batang"/>
                <w:b w:val="0"/>
                <w:color w:val="000000"/>
                <w:sz w:val="19"/>
              </w:rPr>
              <w:t>0.104 (0.062 to 0.147)</w:t>
            </w:r>
          </w:p>
        </w:tc>
      </w:tr>
      <w:tr>
        <w:trPr>
          <w:cantSplit/>
        </w:trPr>
        <w:tc>
          <w:tcPr>
            <w:tcW w:type="dxa" w:w="1179"/>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r>
          </w:p>
        </w:tc>
        <w:tc>
          <w:tcPr>
            <w:tcW w:type="dxa" w:w="6063"/>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Jev minus OpenAI Decisions</w:t>
            </w:r>
          </w:p>
        </w:tc>
        <w:tc>
          <w:tcPr>
            <w:tcW w:type="dxa" w:w="2695"/>
            <w:vAlign w:val="top"/>
            <w:tcMar>
              <w:top w:w="30" w:type="dxa"/>
              <w:left w:w="70" w:type="dxa"/>
              <w:bottom w:w="30" w:type="dxa"/>
              <w:right w:w="70" w:type="dxa"/>
            </w:tcMar>
          </w:tcPr>
          <w:p>
            <w:pPr>
              <w:keepNext/>
              <w:spacing w:after="0" w:line="240" w:lineRule="auto"/>
              <w:jc w:val="right"/>
              <w:rPr>
                <w:sz w:val="19"/>
              </w:rPr>
            </w:pPr>
            <w:r>
              <w:rPr>
                <w:rFonts w:ascii="Times New Roman" w:hAnsi="Times New Roman" w:eastAsia="Batang"/>
                <w:b w:val="0"/>
                <w:color w:val="000000"/>
                <w:sz w:val="19"/>
              </w:rPr>
              <w:t>-0.004 (-0.031 to 0.022)</w:t>
            </w:r>
          </w:p>
        </w:tc>
      </w:tr>
      <w:tr>
        <w:trPr>
          <w:cantSplit/>
        </w:trPr>
        <w:tc>
          <w:tcPr>
            <w:tcW w:type="dxa" w:w="1179"/>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r>
          </w:p>
        </w:tc>
        <w:tc>
          <w:tcPr>
            <w:tcW w:type="dxa" w:w="6063"/>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Jev minus Clef</w:t>
            </w:r>
          </w:p>
        </w:tc>
        <w:tc>
          <w:tcPr>
            <w:tcW w:type="dxa" w:w="2695"/>
            <w:vAlign w:val="top"/>
            <w:tcMar>
              <w:top w:w="30" w:type="dxa"/>
              <w:left w:w="70" w:type="dxa"/>
              <w:bottom w:w="30" w:type="dxa"/>
              <w:right w:w="70" w:type="dxa"/>
            </w:tcMar>
          </w:tcPr>
          <w:p>
            <w:pPr>
              <w:keepNext/>
              <w:spacing w:after="0" w:line="240" w:lineRule="auto"/>
              <w:jc w:val="right"/>
              <w:rPr>
                <w:sz w:val="19"/>
              </w:rPr>
            </w:pPr>
            <w:r>
              <w:rPr>
                <w:rFonts w:ascii="Times New Roman" w:hAnsi="Times New Roman" w:eastAsia="Batang"/>
                <w:b w:val="0"/>
                <w:color w:val="000000"/>
                <w:sz w:val="19"/>
              </w:rPr>
              <w:t>0.035 (0.007 to 0.065)</w:t>
            </w:r>
          </w:p>
        </w:tc>
      </w:tr>
      <w:tr>
        <w:trPr>
          <w:cantSplit/>
        </w:trPr>
        <w:tc>
          <w:tcPr>
            <w:tcW w:type="dxa" w:w="1179"/>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r>
          </w:p>
        </w:tc>
        <w:tc>
          <w:tcPr>
            <w:tcW w:type="dxa" w:w="6063"/>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OpenAI Decisions minus Clef</w:t>
            </w:r>
          </w:p>
        </w:tc>
        <w:tc>
          <w:tcPr>
            <w:tcW w:type="dxa" w:w="2695"/>
            <w:vAlign w:val="top"/>
            <w:tcMar>
              <w:top w:w="30" w:type="dxa"/>
              <w:left w:w="70" w:type="dxa"/>
              <w:bottom w:w="30" w:type="dxa"/>
              <w:right w:w="70" w:type="dxa"/>
            </w:tcMar>
          </w:tcPr>
          <w:p>
            <w:pPr>
              <w:keepNext/>
              <w:spacing w:after="0" w:line="240" w:lineRule="auto"/>
              <w:jc w:val="right"/>
              <w:rPr>
                <w:sz w:val="19"/>
              </w:rPr>
            </w:pPr>
            <w:r>
              <w:rPr>
                <w:rFonts w:ascii="Times New Roman" w:hAnsi="Times New Roman" w:eastAsia="Batang"/>
                <w:b w:val="0"/>
                <w:color w:val="000000"/>
                <w:sz w:val="19"/>
              </w:rPr>
              <w:t>0.039 (0.011 to 0.069)</w:t>
            </w:r>
          </w:p>
        </w:tc>
      </w:tr>
      <w:tr>
        <w:trPr>
          <w:cantSplit/>
        </w:trPr>
        <w:tc>
          <w:tcPr>
            <w:tcW w:type="dxa" w:w="1179"/>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r>
          </w:p>
        </w:tc>
        <w:tc>
          <w:tcPr>
            <w:tcW w:type="dxa" w:w="6063"/>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t>Jev minus GPT-6 Luna letter probabilities</w:t>
            </w:r>
          </w:p>
        </w:tc>
        <w:tc>
          <w:tcPr>
            <w:tcW w:type="dxa" w:w="2695"/>
            <w:vAlign w:val="top"/>
            <w:tcMar>
              <w:top w:w="30" w:type="dxa"/>
              <w:left w:w="70" w:type="dxa"/>
              <w:bottom w:w="30" w:type="dxa"/>
              <w:right w:w="70" w:type="dxa"/>
            </w:tcMar>
          </w:tcPr>
          <w:p>
            <w:pPr>
              <w:keepNext w:val="0"/>
              <w:spacing w:after="0" w:line="240" w:lineRule="auto"/>
              <w:jc w:val="right"/>
              <w:rPr>
                <w:sz w:val="19"/>
              </w:rPr>
            </w:pPr>
            <w:r>
              <w:rPr>
                <w:rFonts w:ascii="Times New Roman" w:hAnsi="Times New Roman" w:eastAsia="Batang"/>
                <w:b w:val="0"/>
                <w:color w:val="000000"/>
                <w:sz w:val="19"/>
              </w:rPr>
              <w:t>0.100 (0.054 to 0.146)</w:t>
            </w:r>
          </w:p>
        </w:tc>
      </w:tr>
    </w:tbl>
    <w:p>
      <w:pPr>
        <w:spacing w:after="80"/>
      </w:pPr>
    </w:p>
    <w:p>
      <w:pPr>
        <w:keepNext/>
        <w:pageBreakBefore/>
        <w:spacing w:line="240" w:lineRule="auto" w:after="120" w:before="160"/>
      </w:pPr>
      <w:r>
        <w:rPr>
          <w:rFonts w:ascii="Times New Roman" w:hAnsi="Times New Roman" w:eastAsia="Batang"/>
          <w:b w:val="0"/>
          <w:color w:val="000000"/>
          <w:sz w:val="20"/>
        </w:rPr>
      </w:r>
      <w:r>
        <w:rPr>
          <w:rFonts w:ascii="Times New Roman" w:hAnsi="Times New Roman" w:eastAsia="Batang"/>
          <w:b/>
          <w:color w:val="000000"/>
          <w:sz w:val="20"/>
        </w:rPr>
        <w:t>Supplementary Table 5. Errors caught and accuracy by share of answers referred.</w:t>
      </w:r>
      <w:r>
        <w:rPr>
          <w:rFonts w:ascii="Times New Roman" w:hAnsi="Times New Roman" w:eastAsia="Batang"/>
          <w:b w:val="0"/>
          <w:color w:val="000000"/>
          <w:sz w:val="20"/>
        </w:rPr>
        <w:t xml:space="preserve"> Shares are of all planned questions. The oracle refers errors first and, for accuracy, prioritizes errors that GPT-6.1 Sol corrects. Accuracy replaces the referred answers with GPT-6.1 Sol answers over the full planned denominator.</w:t>
      </w:r>
    </w:p>
    <w:tbl>
      <w:tblPr>
        <w:tblW w:type="auto" w:w="0"/>
        <w:tblLayout w:type="fixed"/>
        <w:tblLook w:firstColumn="1" w:firstRow="1" w:lastColumn="0" w:lastRow="0" w:noHBand="0" w:noVBand="1" w:val="04A0"/>
        <w:tblBorders>
          <w:top w:val="single" w:sz="8" w:color="000000" w:space="0"/>
          <w:left w:val="nil"/>
          <w:bottom w:val="single" w:sz="8" w:color="000000" w:space="0"/>
          <w:right w:val="nil"/>
          <w:insideH w:val="nil"/>
          <w:insideV w:val="nil"/>
        </w:tblBorders>
      </w:tblPr>
      <w:tblGrid>
        <w:gridCol w:w="931"/>
        <w:gridCol w:w="2484"/>
        <w:gridCol w:w="931"/>
        <w:gridCol w:w="1087"/>
        <w:gridCol w:w="1164"/>
        <w:gridCol w:w="1320"/>
        <w:gridCol w:w="1087"/>
        <w:gridCol w:w="931"/>
      </w:tblGrid>
      <w:tr>
        <w:trPr>
          <w:cantSplit/>
          <w:tblHeader w:val="true"/>
        </w:trPr>
        <w:tc>
          <w:tcPr>
            <w:tcW w:type="dxa" w:w="931"/>
            <w:vAlign w:val="bottom"/>
            <w:tcMar>
              <w:top w:w="30" w:type="dxa"/>
              <w:left w:w="70" w:type="dxa"/>
              <w:bottom w:w="30" w:type="dxa"/>
              <w:right w:w="70" w:type="dxa"/>
            </w:tcMar>
            <w:tcBorders>
              <w:bottom w:val="single" w:sz="6" w:color="000000" w:space="0"/>
            </w:tcBorders>
          </w:tcPr>
          <w:p>
            <w:pPr>
              <w:keepNext w:val="0"/>
              <w:spacing w:after="0" w:line="240" w:lineRule="auto"/>
              <w:rPr>
                <w:sz w:val="18"/>
              </w:rPr>
            </w:pPr>
            <w:r>
              <w:rPr>
                <w:rFonts w:ascii="Times New Roman" w:hAnsi="Times New Roman" w:eastAsia="Batang"/>
                <w:b/>
                <w:color w:val="000000"/>
                <w:sz w:val="18"/>
              </w:rPr>
              <w:t>Cohort</w:t>
            </w:r>
          </w:p>
        </w:tc>
        <w:tc>
          <w:tcPr>
            <w:tcW w:type="dxa" w:w="2484"/>
            <w:vAlign w:val="bottom"/>
            <w:tcMar>
              <w:top w:w="30" w:type="dxa"/>
              <w:left w:w="70" w:type="dxa"/>
              <w:bottom w:w="30" w:type="dxa"/>
              <w:right w:w="70" w:type="dxa"/>
            </w:tcMar>
            <w:tcBorders>
              <w:bottom w:val="single" w:sz="6" w:color="000000" w:space="0"/>
            </w:tcBorders>
          </w:tcPr>
          <w:p>
            <w:pPr>
              <w:keepNext w:val="0"/>
              <w:spacing w:after="0" w:line="240" w:lineRule="auto"/>
              <w:rPr>
                <w:sz w:val="18"/>
              </w:rPr>
            </w:pPr>
            <w:r>
              <w:rPr>
                <w:rFonts w:ascii="Times New Roman" w:hAnsi="Times New Roman" w:eastAsia="Batang"/>
                <w:b/>
                <w:color w:val="000000"/>
                <w:sz w:val="18"/>
              </w:rPr>
              <w:t>Model</w:t>
            </w:r>
          </w:p>
        </w:tc>
        <w:tc>
          <w:tcPr>
            <w:tcW w:type="dxa" w:w="931"/>
            <w:vAlign w:val="bottom"/>
            <w:tcMar>
              <w:top w:w="30" w:type="dxa"/>
              <w:left w:w="70" w:type="dxa"/>
              <w:bottom w:w="30" w:type="dxa"/>
              <w:right w:w="70" w:type="dxa"/>
            </w:tcMar>
            <w:tcBorders>
              <w:bottom w:val="single" w:sz="6" w:color="000000" w:space="0"/>
            </w:tcBorders>
          </w:tcPr>
          <w:p>
            <w:pPr>
              <w:keepNext w:val="0"/>
              <w:spacing w:after="0" w:line="240" w:lineRule="auto"/>
              <w:jc w:val="right"/>
              <w:rPr>
                <w:sz w:val="18"/>
              </w:rPr>
            </w:pPr>
            <w:r>
              <w:rPr>
                <w:rFonts w:ascii="Times New Roman" w:hAnsi="Times New Roman" w:eastAsia="Batang"/>
                <w:b/>
                <w:color w:val="000000"/>
                <w:sz w:val="18"/>
              </w:rPr>
              <w:t>Referred, %</w:t>
            </w:r>
          </w:p>
        </w:tc>
        <w:tc>
          <w:tcPr>
            <w:tcW w:type="dxa" w:w="1087"/>
            <w:vAlign w:val="bottom"/>
            <w:tcMar>
              <w:top w:w="30" w:type="dxa"/>
              <w:left w:w="70" w:type="dxa"/>
              <w:bottom w:w="30" w:type="dxa"/>
              <w:right w:w="70" w:type="dxa"/>
            </w:tcMar>
            <w:tcBorders>
              <w:bottom w:val="single" w:sz="6" w:color="000000" w:space="0"/>
            </w:tcBorders>
          </w:tcPr>
          <w:p>
            <w:pPr>
              <w:keepNext w:val="0"/>
              <w:spacing w:after="0" w:line="240" w:lineRule="auto"/>
              <w:jc w:val="right"/>
              <w:rPr>
                <w:sz w:val="18"/>
              </w:rPr>
            </w:pPr>
            <w:r>
              <w:rPr>
                <w:rFonts w:ascii="Times New Roman" w:hAnsi="Times New Roman" w:eastAsia="Batang"/>
                <w:b/>
                <w:color w:val="000000"/>
                <w:sz w:val="18"/>
              </w:rPr>
              <w:t>Errors caught, %</w:t>
            </w:r>
          </w:p>
        </w:tc>
        <w:tc>
          <w:tcPr>
            <w:tcW w:type="dxa" w:w="1164"/>
            <w:vAlign w:val="bottom"/>
            <w:tcMar>
              <w:top w:w="30" w:type="dxa"/>
              <w:left w:w="70" w:type="dxa"/>
              <w:bottom w:w="30" w:type="dxa"/>
              <w:right w:w="70" w:type="dxa"/>
            </w:tcMar>
            <w:tcBorders>
              <w:bottom w:val="single" w:sz="6" w:color="000000" w:space="0"/>
            </w:tcBorders>
          </w:tcPr>
          <w:p>
            <w:pPr>
              <w:keepNext w:val="0"/>
              <w:spacing w:after="0" w:line="240" w:lineRule="auto"/>
              <w:jc w:val="right"/>
              <w:rPr>
                <w:sz w:val="18"/>
              </w:rPr>
            </w:pPr>
            <w:r>
              <w:rPr>
                <w:rFonts w:ascii="Times New Roman" w:hAnsi="Times New Roman" w:eastAsia="Batang"/>
                <w:b/>
                <w:color w:val="000000"/>
                <w:sz w:val="18"/>
              </w:rPr>
              <w:t>Oracle errors caught, %</w:t>
            </w:r>
          </w:p>
        </w:tc>
        <w:tc>
          <w:tcPr>
            <w:tcW w:type="dxa" w:w="1320"/>
            <w:vAlign w:val="bottom"/>
            <w:tcMar>
              <w:top w:w="30" w:type="dxa"/>
              <w:left w:w="70" w:type="dxa"/>
              <w:bottom w:w="30" w:type="dxa"/>
              <w:right w:w="70" w:type="dxa"/>
            </w:tcMar>
            <w:tcBorders>
              <w:bottom w:val="single" w:sz="6" w:color="000000" w:space="0"/>
            </w:tcBorders>
          </w:tcPr>
          <w:p>
            <w:pPr>
              <w:keepNext w:val="0"/>
              <w:spacing w:after="0" w:line="240" w:lineRule="auto"/>
              <w:jc w:val="right"/>
              <w:rPr>
                <w:sz w:val="18"/>
              </w:rPr>
            </w:pPr>
            <w:r>
              <w:rPr>
                <w:rFonts w:ascii="Times New Roman" w:hAnsi="Times New Roman" w:eastAsia="Batang"/>
                <w:b/>
                <w:color w:val="000000"/>
                <w:sz w:val="18"/>
              </w:rPr>
              <w:t>Accuracy after referral, %</w:t>
            </w:r>
          </w:p>
        </w:tc>
        <w:tc>
          <w:tcPr>
            <w:tcW w:type="dxa" w:w="1087"/>
            <w:vAlign w:val="bottom"/>
            <w:tcMar>
              <w:top w:w="30" w:type="dxa"/>
              <w:left w:w="70" w:type="dxa"/>
              <w:bottom w:w="30" w:type="dxa"/>
              <w:right w:w="70" w:type="dxa"/>
            </w:tcMar>
            <w:tcBorders>
              <w:bottom w:val="single" w:sz="6" w:color="000000" w:space="0"/>
            </w:tcBorders>
          </w:tcPr>
          <w:p>
            <w:pPr>
              <w:keepNext w:val="0"/>
              <w:spacing w:after="0" w:line="240" w:lineRule="auto"/>
              <w:jc w:val="right"/>
              <w:rPr>
                <w:sz w:val="18"/>
              </w:rPr>
            </w:pPr>
            <w:r>
              <w:rPr>
                <w:rFonts w:ascii="Times New Roman" w:hAnsi="Times New Roman" w:eastAsia="Batang"/>
                <w:b/>
                <w:color w:val="000000"/>
                <w:sz w:val="18"/>
              </w:rPr>
              <w:t>Random referral, %</w:t>
            </w:r>
          </w:p>
        </w:tc>
        <w:tc>
          <w:tcPr>
            <w:tcW w:type="dxa" w:w="931"/>
            <w:vAlign w:val="bottom"/>
            <w:tcMar>
              <w:top w:w="30" w:type="dxa"/>
              <w:left w:w="70" w:type="dxa"/>
              <w:bottom w:w="30" w:type="dxa"/>
              <w:right w:w="70" w:type="dxa"/>
            </w:tcMar>
            <w:tcBorders>
              <w:bottom w:val="single" w:sz="6" w:color="000000" w:space="0"/>
            </w:tcBorders>
          </w:tcPr>
          <w:p>
            <w:pPr>
              <w:keepNext w:val="0"/>
              <w:spacing w:after="0" w:line="240" w:lineRule="auto"/>
              <w:jc w:val="right"/>
              <w:rPr>
                <w:sz w:val="18"/>
              </w:rPr>
            </w:pPr>
            <w:r>
              <w:rPr>
                <w:rFonts w:ascii="Times New Roman" w:hAnsi="Times New Roman" w:eastAsia="Batang"/>
                <w:b/>
                <w:color w:val="000000"/>
                <w:sz w:val="18"/>
              </w:rPr>
              <w:t>Oracle, %</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t>Korean</w:t>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t>Jev 1.13.0</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41.4</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77.2</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92.1</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88.1</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97.0</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20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56.1</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100.0</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94.0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89.2</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99.1</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30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78.2</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100.0</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96.9</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90.4</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99.1</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50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96.5</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100.0</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98.4</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92.8</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99.1</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t>OpenAI Decisions</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60.3</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100.0</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96.4</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92.6</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98.6</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20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91.2</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100.0</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98.2</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93.2</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98.6</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30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91.2</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100.0</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98.2</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93.9</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98.6</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50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100.0</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100.0</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98.4</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95.2</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98.6</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t>Clef</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27.8</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61.1</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87.6</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85.0</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93.6</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20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59.7</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100.0</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92.9</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86.5</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99.5</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30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79.2</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100.0</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95.9</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88.0</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99.5</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50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91.7</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100.0</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97.9</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91.1</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99.5</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t>GPT-6 Luna letter probabilities</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70.4</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100.0</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97.7</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94.3</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99.1</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20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76.6</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100.0</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98.0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94.8</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99.1</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30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79.5</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100.0</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98.1</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95.2</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99.1</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50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85.4</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100.0</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98.2</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96.2</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99.1</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t>English</w:t>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t>Jev 1.13.0</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44.8</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81.9</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92.3</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88.6</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97.6</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20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71.6</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100.0</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94.7</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89.5</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97.6</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30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87.5</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100.0</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95.9</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90.4</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97.6</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50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97.7</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100.0</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96.7</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92.2</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97.6</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t>OpenAI Decisions</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46.6</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81.4</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92.0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88.2</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97.3</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20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71.4</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100.0</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94.1</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89.1</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97.3</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30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88.6</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100.0</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95.5</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90.0</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97.3</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50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98.7</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100.0</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96.3</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91.8</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97.3</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t>Clef</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39.2</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65.5</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90.3</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86.0</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94.7</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20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62.4</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100.0</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93.0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87.2</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98.0</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30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79.4</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100.0</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95.0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88.4</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98.0</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50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93.8</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100.0</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96.2</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90.8</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98.0</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t>GPT-6 Luna letter probabilities</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55.6</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89.4</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93.7</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89.4</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97.5</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20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68.0</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100.0</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94.7</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90.2</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97.5</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30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72.0</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100.0</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94.9</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91.0</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97.5</w:t>
            </w:r>
          </w:p>
        </w:tc>
      </w:tr>
      <w:tr>
        <w:trPr>
          <w:cantSplit/>
        </w:trPr>
        <w:tc>
          <w:tcPr>
            <w:tcW w:type="dxa" w:w="931"/>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248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50</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80.0</w:t>
            </w:r>
          </w:p>
        </w:tc>
        <w:tc>
          <w:tcPr>
            <w:tcW w:type="dxa" w:w="116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100.0</w:t>
            </w:r>
          </w:p>
        </w:tc>
        <w:tc>
          <w:tcPr>
            <w:tcW w:type="dxa" w:w="132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95.4</w:t>
            </w:r>
          </w:p>
        </w:tc>
        <w:tc>
          <w:tcPr>
            <w:tcW w:type="dxa" w:w="1087"/>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92.6</w:t>
            </w:r>
          </w:p>
        </w:tc>
        <w:tc>
          <w:tcPr>
            <w:tcW w:type="dxa" w:w="931"/>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97.5</w:t>
            </w:r>
          </w:p>
        </w:tc>
      </w:tr>
    </w:tbl>
    <w:p>
      <w:pPr>
        <w:spacing w:after="80"/>
      </w:pPr>
    </w:p>
    <w:p>
      <w:pPr>
        <w:keepNext/>
        <w:spacing w:line="240" w:lineRule="auto" w:after="120" w:before="160"/>
      </w:pPr>
      <w:r>
        <w:rPr>
          <w:rFonts w:ascii="Times New Roman" w:hAnsi="Times New Roman" w:eastAsia="Batang"/>
          <w:b w:val="0"/>
          <w:color w:val="000000"/>
          <w:sz w:val="20"/>
        </w:rPr>
      </w:r>
      <w:r>
        <w:rPr>
          <w:rFonts w:ascii="Times New Roman" w:hAnsi="Times New Roman" w:eastAsia="Batang"/>
          <w:b/>
          <w:color w:val="000000"/>
          <w:sz w:val="20"/>
        </w:rPr>
        <w:t>Supplementary Table 6. Answer and referral changes under option rotation and identical repetition.</w:t>
      </w:r>
      <w:r>
        <w:rPr>
          <w:rFonts w:ascii="Times New Roman" w:hAnsi="Times New Roman" w:eastAsia="Batang"/>
          <w:b w:val="0"/>
          <w:color w:val="000000"/>
          <w:sz w:val="20"/>
        </w:rPr>
        <w:t xml:space="preserve"> Each nonzero rotation and the identical repeat were compared with a contemporary unchanged-order response. Korean questions had four nonzero rotations and English questions three. Questions were included when all their requests gave valid answers, which excluded questions with an OpenAI Decisions refusal or a Jev output whose selected option lacked the maximum probability. Referral thresholds were 0.628, 0.736 and 0.661 in Korean and 0.770, 0.800 and 0.739 in English for Jev, OpenAI Decisions and Clef. The unchanged-order requests of OpenAI Decisions and Clef reproduced every valid main-collection answer and probability.</w:t>
      </w:r>
    </w:p>
    <w:tbl>
      <w:tblPr>
        <w:tblW w:type="auto" w:w="0"/>
        <w:tblLayout w:type="fixed"/>
        <w:tblLook w:firstColumn="1" w:firstRow="1" w:lastColumn="0" w:lastRow="0" w:noHBand="0" w:noVBand="1" w:val="04A0"/>
        <w:tblBorders>
          <w:top w:val="single" w:sz="8" w:color="000000" w:space="0"/>
          <w:left w:val="nil"/>
          <w:bottom w:val="single" w:sz="8" w:color="000000" w:space="0"/>
          <w:right w:val="nil"/>
          <w:insideH w:val="nil"/>
          <w:insideV w:val="nil"/>
        </w:tblBorders>
      </w:tblPr>
      <w:tblGrid>
        <w:gridCol w:w="917"/>
        <w:gridCol w:w="1834"/>
        <w:gridCol w:w="1529"/>
        <w:gridCol w:w="1070"/>
        <w:gridCol w:w="1223"/>
        <w:gridCol w:w="1070"/>
        <w:gridCol w:w="2293"/>
      </w:tblGrid>
      <w:tr>
        <w:trPr>
          <w:cantSplit/>
          <w:tblHeader w:val="true"/>
        </w:trPr>
        <w:tc>
          <w:tcPr>
            <w:tcW w:type="dxa" w:w="917"/>
            <w:vAlign w:val="bottom"/>
            <w:tcMar>
              <w:top w:w="30" w:type="dxa"/>
              <w:left w:w="70" w:type="dxa"/>
              <w:bottom w:w="30" w:type="dxa"/>
              <w:right w:w="70" w:type="dxa"/>
            </w:tcMar>
            <w:tcBorders>
              <w:bottom w:val="single" w:sz="6" w:color="000000" w:space="0"/>
            </w:tcBorders>
          </w:tcPr>
          <w:p>
            <w:pPr>
              <w:keepNext/>
              <w:spacing w:after="0" w:line="240" w:lineRule="auto"/>
              <w:rPr>
                <w:sz w:val="18"/>
              </w:rPr>
            </w:pPr>
            <w:r>
              <w:rPr>
                <w:rFonts w:ascii="Times New Roman" w:hAnsi="Times New Roman" w:eastAsia="Batang"/>
                <w:b/>
                <w:color w:val="000000"/>
                <w:sz w:val="18"/>
              </w:rPr>
              <w:t>Cohort</w:t>
            </w:r>
          </w:p>
        </w:tc>
        <w:tc>
          <w:tcPr>
            <w:tcW w:type="dxa" w:w="1834"/>
            <w:vAlign w:val="bottom"/>
            <w:tcMar>
              <w:top w:w="30" w:type="dxa"/>
              <w:left w:w="70" w:type="dxa"/>
              <w:bottom w:w="30" w:type="dxa"/>
              <w:right w:w="70" w:type="dxa"/>
            </w:tcMar>
            <w:tcBorders>
              <w:bottom w:val="single" w:sz="6" w:color="000000" w:space="0"/>
            </w:tcBorders>
          </w:tcPr>
          <w:p>
            <w:pPr>
              <w:keepNext/>
              <w:spacing w:after="0" w:line="240" w:lineRule="auto"/>
              <w:rPr>
                <w:sz w:val="18"/>
              </w:rPr>
            </w:pPr>
            <w:r>
              <w:rPr>
                <w:rFonts w:ascii="Times New Roman" w:hAnsi="Times New Roman" w:eastAsia="Batang"/>
                <w:b/>
                <w:color w:val="000000"/>
                <w:sz w:val="18"/>
              </w:rPr>
              <w:t>Model</w:t>
            </w:r>
          </w:p>
        </w:tc>
        <w:tc>
          <w:tcPr>
            <w:tcW w:type="dxa" w:w="1529"/>
            <w:vAlign w:val="bottom"/>
            <w:tcMar>
              <w:top w:w="30" w:type="dxa"/>
              <w:left w:w="70" w:type="dxa"/>
              <w:bottom w:w="30" w:type="dxa"/>
              <w:right w:w="70" w:type="dxa"/>
            </w:tcMar>
            <w:tcBorders>
              <w:bottom w:val="single" w:sz="6" w:color="000000" w:space="0"/>
            </w:tcBorders>
          </w:tcPr>
          <w:p>
            <w:pPr>
              <w:keepNext/>
              <w:spacing w:after="0" w:line="240" w:lineRule="auto"/>
              <w:rPr>
                <w:sz w:val="18"/>
              </w:rPr>
            </w:pPr>
            <w:r>
              <w:rPr>
                <w:rFonts w:ascii="Times New Roman" w:hAnsi="Times New Roman" w:eastAsia="Batang"/>
                <w:b/>
                <w:color w:val="000000"/>
                <w:sz w:val="18"/>
              </w:rPr>
              <w:t>Outcome</w:t>
            </w:r>
          </w:p>
        </w:tc>
        <w:tc>
          <w:tcPr>
            <w:tcW w:type="dxa" w:w="1070"/>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Questions</w:t>
            </w:r>
          </w:p>
        </w:tc>
        <w:tc>
          <w:tcPr>
            <w:tcW w:type="dxa" w:w="1223"/>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Rotation, %</w:t>
            </w:r>
          </w:p>
        </w:tc>
        <w:tc>
          <w:tcPr>
            <w:tcW w:type="dxa" w:w="1070"/>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Repeat, %</w:t>
            </w:r>
          </w:p>
        </w:tc>
        <w:tc>
          <w:tcPr>
            <w:tcW w:type="dxa" w:w="2293"/>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Excess, percentage points (95% CI)</w:t>
            </w:r>
          </w:p>
        </w:tc>
      </w:tr>
      <w:tr>
        <w:trPr>
          <w:cantSplit/>
        </w:trPr>
        <w:tc>
          <w:tcPr>
            <w:tcW w:type="dxa" w:w="917"/>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Korean</w:t>
            </w:r>
          </w:p>
        </w:tc>
        <w:tc>
          <w:tcPr>
            <w:tcW w:type="dxa" w:w="1834"/>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Jev 1.13.0</w:t>
            </w:r>
          </w:p>
        </w:tc>
        <w:tc>
          <w:tcPr>
            <w:tcW w:type="dxa" w:w="152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Answer</w:t>
            </w:r>
          </w:p>
        </w:tc>
        <w:tc>
          <w:tcPr>
            <w:tcW w:type="dxa" w:w="107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434</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6.45</w:t>
            </w:r>
          </w:p>
        </w:tc>
        <w:tc>
          <w:tcPr>
            <w:tcW w:type="dxa" w:w="107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2.30</w:t>
            </w:r>
          </w:p>
        </w:tc>
        <w:tc>
          <w:tcPr>
            <w:tcW w:type="dxa" w:w="229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4.15 (2.25 to 6.11)</w:t>
            </w:r>
          </w:p>
        </w:tc>
      </w:tr>
      <w:tr>
        <w:trPr>
          <w:cantSplit/>
        </w:trPr>
        <w:tc>
          <w:tcPr>
            <w:tcW w:type="dxa" w:w="917"/>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r>
          </w:p>
        </w:tc>
        <w:tc>
          <w:tcPr>
            <w:tcW w:type="dxa" w:w="1834"/>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r>
          </w:p>
        </w:tc>
        <w:tc>
          <w:tcPr>
            <w:tcW w:type="dxa" w:w="152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Referral decision</w:t>
            </w:r>
          </w:p>
        </w:tc>
        <w:tc>
          <w:tcPr>
            <w:tcW w:type="dxa" w:w="107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434</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8.81</w:t>
            </w:r>
          </w:p>
        </w:tc>
        <w:tc>
          <w:tcPr>
            <w:tcW w:type="dxa" w:w="107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1.84</w:t>
            </w:r>
          </w:p>
        </w:tc>
        <w:tc>
          <w:tcPr>
            <w:tcW w:type="dxa" w:w="229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6.97 (5.07 to 8.99)</w:t>
            </w:r>
          </w:p>
        </w:tc>
      </w:tr>
      <w:tr>
        <w:trPr>
          <w:cantSplit/>
        </w:trPr>
        <w:tc>
          <w:tcPr>
            <w:tcW w:type="dxa" w:w="917"/>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r>
          </w:p>
        </w:tc>
        <w:tc>
          <w:tcPr>
            <w:tcW w:type="dxa" w:w="1834"/>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OpenAI Decisions</w:t>
            </w:r>
          </w:p>
        </w:tc>
        <w:tc>
          <w:tcPr>
            <w:tcW w:type="dxa" w:w="152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Answer</w:t>
            </w:r>
          </w:p>
        </w:tc>
        <w:tc>
          <w:tcPr>
            <w:tcW w:type="dxa" w:w="107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430</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5.58</w:t>
            </w:r>
          </w:p>
        </w:tc>
        <w:tc>
          <w:tcPr>
            <w:tcW w:type="dxa" w:w="107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0.00</w:t>
            </w:r>
          </w:p>
        </w:tc>
        <w:tc>
          <w:tcPr>
            <w:tcW w:type="dxa" w:w="229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5.58 (3.90 to 7.33)</w:t>
            </w:r>
          </w:p>
        </w:tc>
      </w:tr>
      <w:tr>
        <w:trPr>
          <w:cantSplit/>
        </w:trPr>
        <w:tc>
          <w:tcPr>
            <w:tcW w:type="dxa" w:w="917"/>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r>
          </w:p>
        </w:tc>
        <w:tc>
          <w:tcPr>
            <w:tcW w:type="dxa" w:w="1834"/>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r>
          </w:p>
        </w:tc>
        <w:tc>
          <w:tcPr>
            <w:tcW w:type="dxa" w:w="152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Referral decision</w:t>
            </w:r>
          </w:p>
        </w:tc>
        <w:tc>
          <w:tcPr>
            <w:tcW w:type="dxa" w:w="107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430</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10.23</w:t>
            </w:r>
          </w:p>
        </w:tc>
        <w:tc>
          <w:tcPr>
            <w:tcW w:type="dxa" w:w="107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0.00</w:t>
            </w:r>
          </w:p>
        </w:tc>
        <w:tc>
          <w:tcPr>
            <w:tcW w:type="dxa" w:w="229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10.23 (8.08 to 12.50)</w:t>
            </w:r>
          </w:p>
        </w:tc>
      </w:tr>
      <w:tr>
        <w:trPr>
          <w:cantSplit/>
        </w:trPr>
        <w:tc>
          <w:tcPr>
            <w:tcW w:type="dxa" w:w="917"/>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r>
          </w:p>
        </w:tc>
        <w:tc>
          <w:tcPr>
            <w:tcW w:type="dxa" w:w="1834"/>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Clef</w:t>
            </w:r>
          </w:p>
        </w:tc>
        <w:tc>
          <w:tcPr>
            <w:tcW w:type="dxa" w:w="152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Answer</w:t>
            </w:r>
          </w:p>
        </w:tc>
        <w:tc>
          <w:tcPr>
            <w:tcW w:type="dxa" w:w="107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435</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10.06</w:t>
            </w:r>
          </w:p>
        </w:tc>
        <w:tc>
          <w:tcPr>
            <w:tcW w:type="dxa" w:w="107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0.00</w:t>
            </w:r>
          </w:p>
        </w:tc>
        <w:tc>
          <w:tcPr>
            <w:tcW w:type="dxa" w:w="229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10.06 (7.93 to 12.18)</w:t>
            </w:r>
          </w:p>
        </w:tc>
      </w:tr>
      <w:tr>
        <w:trPr>
          <w:cantSplit/>
        </w:trPr>
        <w:tc>
          <w:tcPr>
            <w:tcW w:type="dxa" w:w="917"/>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r>
          </w:p>
        </w:tc>
        <w:tc>
          <w:tcPr>
            <w:tcW w:type="dxa" w:w="1834"/>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r>
          </w:p>
        </w:tc>
        <w:tc>
          <w:tcPr>
            <w:tcW w:type="dxa" w:w="152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Referral decision</w:t>
            </w:r>
          </w:p>
        </w:tc>
        <w:tc>
          <w:tcPr>
            <w:tcW w:type="dxa" w:w="107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435</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16.44</w:t>
            </w:r>
          </w:p>
        </w:tc>
        <w:tc>
          <w:tcPr>
            <w:tcW w:type="dxa" w:w="107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0.00</w:t>
            </w:r>
          </w:p>
        </w:tc>
        <w:tc>
          <w:tcPr>
            <w:tcW w:type="dxa" w:w="229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16.44 (13.85 to 19.20)</w:t>
            </w:r>
          </w:p>
        </w:tc>
      </w:tr>
      <w:tr>
        <w:trPr>
          <w:cantSplit/>
        </w:trPr>
        <w:tc>
          <w:tcPr>
            <w:tcW w:type="dxa" w:w="917"/>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English</w:t>
            </w:r>
          </w:p>
        </w:tc>
        <w:tc>
          <w:tcPr>
            <w:tcW w:type="dxa" w:w="1834"/>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Jev 1.13.0</w:t>
            </w:r>
          </w:p>
        </w:tc>
        <w:tc>
          <w:tcPr>
            <w:tcW w:type="dxa" w:w="152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Answer</w:t>
            </w:r>
          </w:p>
        </w:tc>
        <w:tc>
          <w:tcPr>
            <w:tcW w:type="dxa" w:w="107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1270</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4.80</w:t>
            </w:r>
          </w:p>
        </w:tc>
        <w:tc>
          <w:tcPr>
            <w:tcW w:type="dxa" w:w="107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1.73</w:t>
            </w:r>
          </w:p>
        </w:tc>
        <w:tc>
          <w:tcPr>
            <w:tcW w:type="dxa" w:w="229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3.07 (2.10 to 4.07)</w:t>
            </w:r>
          </w:p>
        </w:tc>
      </w:tr>
      <w:tr>
        <w:trPr>
          <w:cantSplit/>
        </w:trPr>
        <w:tc>
          <w:tcPr>
            <w:tcW w:type="dxa" w:w="917"/>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r>
          </w:p>
        </w:tc>
        <w:tc>
          <w:tcPr>
            <w:tcW w:type="dxa" w:w="1834"/>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r>
          </w:p>
        </w:tc>
        <w:tc>
          <w:tcPr>
            <w:tcW w:type="dxa" w:w="152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Referral decision</w:t>
            </w:r>
          </w:p>
        </w:tc>
        <w:tc>
          <w:tcPr>
            <w:tcW w:type="dxa" w:w="107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1270</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7.14</w:t>
            </w:r>
          </w:p>
        </w:tc>
        <w:tc>
          <w:tcPr>
            <w:tcW w:type="dxa" w:w="107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2.13</w:t>
            </w:r>
          </w:p>
        </w:tc>
        <w:tc>
          <w:tcPr>
            <w:tcW w:type="dxa" w:w="229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5.01 (3.81 to 6.22)</w:t>
            </w:r>
          </w:p>
        </w:tc>
      </w:tr>
      <w:tr>
        <w:trPr>
          <w:cantSplit/>
        </w:trPr>
        <w:tc>
          <w:tcPr>
            <w:tcW w:type="dxa" w:w="917"/>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r>
          </w:p>
        </w:tc>
        <w:tc>
          <w:tcPr>
            <w:tcW w:type="dxa" w:w="1834"/>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OpenAI Decisions</w:t>
            </w:r>
          </w:p>
        </w:tc>
        <w:tc>
          <w:tcPr>
            <w:tcW w:type="dxa" w:w="152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Answer</w:t>
            </w:r>
          </w:p>
        </w:tc>
        <w:tc>
          <w:tcPr>
            <w:tcW w:type="dxa" w:w="107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1257</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6.79</w:t>
            </w:r>
          </w:p>
        </w:tc>
        <w:tc>
          <w:tcPr>
            <w:tcW w:type="dxa" w:w="107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0.00</w:t>
            </w:r>
          </w:p>
        </w:tc>
        <w:tc>
          <w:tcPr>
            <w:tcW w:type="dxa" w:w="229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6.79 (5.67 to 7.98)</w:t>
            </w:r>
          </w:p>
        </w:tc>
      </w:tr>
      <w:tr>
        <w:trPr>
          <w:cantSplit/>
        </w:trPr>
        <w:tc>
          <w:tcPr>
            <w:tcW w:type="dxa" w:w="917"/>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r>
          </w:p>
        </w:tc>
        <w:tc>
          <w:tcPr>
            <w:tcW w:type="dxa" w:w="1834"/>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r>
          </w:p>
        </w:tc>
        <w:tc>
          <w:tcPr>
            <w:tcW w:type="dxa" w:w="152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Referral decision</w:t>
            </w:r>
          </w:p>
        </w:tc>
        <w:tc>
          <w:tcPr>
            <w:tcW w:type="dxa" w:w="107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1257</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10.85</w:t>
            </w:r>
          </w:p>
        </w:tc>
        <w:tc>
          <w:tcPr>
            <w:tcW w:type="dxa" w:w="107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0.00</w:t>
            </w:r>
          </w:p>
        </w:tc>
        <w:tc>
          <w:tcPr>
            <w:tcW w:type="dxa" w:w="229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10.85 (9.49 to 12.22)</w:t>
            </w:r>
          </w:p>
        </w:tc>
      </w:tr>
      <w:tr>
        <w:trPr>
          <w:cantSplit/>
        </w:trPr>
        <w:tc>
          <w:tcPr>
            <w:tcW w:type="dxa" w:w="917"/>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r>
          </w:p>
        </w:tc>
        <w:tc>
          <w:tcPr>
            <w:tcW w:type="dxa" w:w="1834"/>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Clef</w:t>
            </w:r>
          </w:p>
        </w:tc>
        <w:tc>
          <w:tcPr>
            <w:tcW w:type="dxa" w:w="1529"/>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Answer</w:t>
            </w:r>
          </w:p>
        </w:tc>
        <w:tc>
          <w:tcPr>
            <w:tcW w:type="dxa" w:w="107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1273</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9.22</w:t>
            </w:r>
          </w:p>
        </w:tc>
        <w:tc>
          <w:tcPr>
            <w:tcW w:type="dxa" w:w="1070"/>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0.00</w:t>
            </w:r>
          </w:p>
        </w:tc>
        <w:tc>
          <w:tcPr>
            <w:tcW w:type="dxa" w:w="229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9.22 (7.93 to 10.50)</w:t>
            </w:r>
          </w:p>
        </w:tc>
      </w:tr>
      <w:tr>
        <w:trPr>
          <w:cantSplit/>
        </w:trPr>
        <w:tc>
          <w:tcPr>
            <w:tcW w:type="dxa" w:w="917"/>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183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r>
          </w:p>
        </w:tc>
        <w:tc>
          <w:tcPr>
            <w:tcW w:type="dxa" w:w="1529"/>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t>Referral decision</w:t>
            </w:r>
          </w:p>
        </w:tc>
        <w:tc>
          <w:tcPr>
            <w:tcW w:type="dxa" w:w="107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1273</w:t>
            </w:r>
          </w:p>
        </w:tc>
        <w:tc>
          <w:tcPr>
            <w:tcW w:type="dxa" w:w="1223"/>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12.67</w:t>
            </w:r>
          </w:p>
        </w:tc>
        <w:tc>
          <w:tcPr>
            <w:tcW w:type="dxa" w:w="1070"/>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0.00</w:t>
            </w:r>
          </w:p>
        </w:tc>
        <w:tc>
          <w:tcPr>
            <w:tcW w:type="dxa" w:w="2293"/>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12.67 (11.21 to 14.19)</w:t>
            </w:r>
          </w:p>
        </w:tc>
      </w:tr>
    </w:tbl>
    <w:p>
      <w:pPr>
        <w:spacing w:after="80"/>
      </w:pPr>
    </w:p>
    <w:p>
      <w:pPr>
        <w:keepNext/>
        <w:spacing w:line="240" w:lineRule="auto" w:after="120" w:before="160"/>
      </w:pPr>
      <w:r>
        <w:rPr>
          <w:rFonts w:ascii="Times New Roman" w:hAnsi="Times New Roman" w:eastAsia="Batang"/>
          <w:b w:val="0"/>
          <w:color w:val="000000"/>
          <w:sz w:val="20"/>
        </w:rPr>
      </w:r>
      <w:r>
        <w:rPr>
          <w:rFonts w:ascii="Times New Roman" w:hAnsi="Times New Roman" w:eastAsia="Batang"/>
          <w:b/>
          <w:color w:val="000000"/>
          <w:sz w:val="20"/>
        </w:rPr>
        <w:t>Supplementary Table 7. Cautious and confident errors in Korean.</w:t>
      </w:r>
      <w:r>
        <w:rPr>
          <w:rFonts w:ascii="Times New Roman" w:hAnsi="Times New Roman" w:eastAsia="Batang"/>
          <w:b w:val="0"/>
          <w:color w:val="000000"/>
          <w:sz w:val="20"/>
        </w:rPr>
        <w:t xml:space="preserve"> Definitions follow Table 4, with thresholds of 0.628, 0.736 and 0.661. The difference in rotation change between cautious and confident errors was 43.8 percentage points (95% CI 30.3 to 57.2) for Jev, 30.8 (9.2 to 51.9) for OpenAI Decisions and 5.1 (-11.7 to 21.6) for Clef. With three confident errors, the OpenAI Decisions percentages are imprecise.</w:t>
      </w:r>
    </w:p>
    <w:tbl>
      <w:tblPr>
        <w:tblW w:type="auto" w:w="0"/>
        <w:tblLayout w:type="fixed"/>
        <w:tblLook w:firstColumn="1" w:firstRow="1" w:lastColumn="0" w:lastRow="0" w:noHBand="0" w:noVBand="1" w:val="04A0"/>
        <w:tblBorders>
          <w:top w:val="single" w:sz="8" w:color="000000" w:space="0"/>
          <w:left w:val="nil"/>
          <w:bottom w:val="single" w:sz="8" w:color="000000" w:space="0"/>
          <w:right w:val="nil"/>
          <w:insideH w:val="nil"/>
          <w:insideV w:val="nil"/>
        </w:tblBorders>
      </w:tblPr>
      <w:tblGrid>
        <w:gridCol w:w="2880"/>
        <w:gridCol w:w="1152"/>
        <w:gridCol w:w="1152"/>
        <w:gridCol w:w="1224"/>
        <w:gridCol w:w="1224"/>
        <w:gridCol w:w="1152"/>
        <w:gridCol w:w="1152"/>
      </w:tblGrid>
      <w:tr>
        <w:trPr>
          <w:cantSplit/>
          <w:tblHeader w:val="true"/>
        </w:trPr>
        <w:tc>
          <w:tcPr>
            <w:tcW w:type="dxa" w:w="2880"/>
            <w:vAlign w:val="bottom"/>
            <w:tcMar>
              <w:top w:w="30" w:type="dxa"/>
              <w:left w:w="70" w:type="dxa"/>
              <w:bottom w:w="30" w:type="dxa"/>
              <w:right w:w="70" w:type="dxa"/>
            </w:tcMar>
            <w:tcBorders>
              <w:bottom w:val="single" w:sz="6" w:color="000000" w:space="0"/>
            </w:tcBorders>
          </w:tcPr>
          <w:p>
            <w:pPr>
              <w:keepNext/>
              <w:spacing w:after="0" w:line="240" w:lineRule="auto"/>
              <w:rPr>
                <w:sz w:val="18"/>
              </w:rPr>
            </w:pPr>
            <w:r>
              <w:rPr>
                <w:rFonts w:ascii="Times New Roman" w:hAnsi="Times New Roman" w:eastAsia="Batang"/>
                <w:b/>
                <w:color w:val="000000"/>
                <w:sz w:val="18"/>
              </w:rPr>
              <w:t>Measure</w:t>
            </w:r>
          </w:p>
        </w:tc>
        <w:tc>
          <w:tcPr>
            <w:tcW w:type="dxa" w:w="1152"/>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Jev, cautious</w:t>
            </w:r>
          </w:p>
        </w:tc>
        <w:tc>
          <w:tcPr>
            <w:tcW w:type="dxa" w:w="1152"/>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Jev, confident</w:t>
            </w:r>
          </w:p>
        </w:tc>
        <w:tc>
          <w:tcPr>
            <w:tcW w:type="dxa" w:w="1224"/>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OpenAI Decisions, cautious</w:t>
            </w:r>
          </w:p>
        </w:tc>
        <w:tc>
          <w:tcPr>
            <w:tcW w:type="dxa" w:w="1224"/>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OpenAI Decisions, confident</w:t>
            </w:r>
          </w:p>
        </w:tc>
        <w:tc>
          <w:tcPr>
            <w:tcW w:type="dxa" w:w="1152"/>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Clef, cautious</w:t>
            </w:r>
          </w:p>
        </w:tc>
        <w:tc>
          <w:tcPr>
            <w:tcW w:type="dxa" w:w="1152"/>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Clef, confident</w:t>
            </w:r>
          </w:p>
        </w:tc>
      </w:tr>
      <w:tr>
        <w:trPr>
          <w:cantSplit/>
        </w:trPr>
        <w:tc>
          <w:tcPr>
            <w:tcW w:type="dxa" w:w="288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Errors, n</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32</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25</w:t>
            </w:r>
          </w:p>
        </w:tc>
        <w:tc>
          <w:tcPr>
            <w:tcW w:type="dxa" w:w="1224"/>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31</w:t>
            </w:r>
          </w:p>
        </w:tc>
        <w:tc>
          <w:tcPr>
            <w:tcW w:type="dxa" w:w="1224"/>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3</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43</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29</w:t>
            </w:r>
          </w:p>
        </w:tc>
      </w:tr>
      <w:tr>
        <w:trPr>
          <w:cantSplit/>
        </w:trPr>
        <w:tc>
          <w:tcPr>
            <w:tcW w:type="dxa" w:w="288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Answer changed under rotation, %</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46.8</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3.0</w:t>
            </w:r>
          </w:p>
        </w:tc>
        <w:tc>
          <w:tcPr>
            <w:tcW w:type="dxa" w:w="1224"/>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43.3</w:t>
            </w:r>
          </w:p>
        </w:tc>
        <w:tc>
          <w:tcPr>
            <w:tcW w:type="dxa" w:w="1224"/>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12.5</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41.3</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36.2</w:t>
            </w:r>
          </w:p>
        </w:tc>
      </w:tr>
      <w:tr>
        <w:trPr>
          <w:cantSplit/>
        </w:trPr>
        <w:tc>
          <w:tcPr>
            <w:tcW w:type="dxa" w:w="288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Corrected by GPT-6.1 Sol, %</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96.9</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88.0</w:t>
            </w:r>
          </w:p>
        </w:tc>
        <w:tc>
          <w:tcPr>
            <w:tcW w:type="dxa" w:w="1224"/>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90.3</w:t>
            </w:r>
          </w:p>
        </w:tc>
        <w:tc>
          <w:tcPr>
            <w:tcW w:type="dxa" w:w="1224"/>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33.3</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97.7</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96.6</w:t>
            </w:r>
          </w:p>
        </w:tc>
      </w:tr>
      <w:tr>
        <w:trPr>
          <w:cantSplit/>
        </w:trPr>
        <w:tc>
          <w:tcPr>
            <w:tcW w:type="dxa" w:w="288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Mean reference accuracy, %</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88.5</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85.3</w:t>
            </w:r>
          </w:p>
        </w:tc>
        <w:tc>
          <w:tcPr>
            <w:tcW w:type="dxa" w:w="1224"/>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77.4</w:t>
            </w:r>
          </w:p>
        </w:tc>
        <w:tc>
          <w:tcPr>
            <w:tcW w:type="dxa" w:w="1224"/>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44.4</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91.9</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92.0</w:t>
            </w:r>
          </w:p>
        </w:tc>
      </w:tr>
      <w:tr>
        <w:trPr>
          <w:cantSplit/>
        </w:trPr>
        <w:tc>
          <w:tcPr>
            <w:tcW w:type="dxa" w:w="2880"/>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GPT-6 Luna none chose the same wrong option, %</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18.8</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20.0</w:t>
            </w:r>
          </w:p>
        </w:tc>
        <w:tc>
          <w:tcPr>
            <w:tcW w:type="dxa" w:w="1224"/>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54.8</w:t>
            </w:r>
          </w:p>
        </w:tc>
        <w:tc>
          <w:tcPr>
            <w:tcW w:type="dxa" w:w="1224"/>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66.7</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14.0</w:t>
            </w:r>
          </w:p>
        </w:tc>
        <w:tc>
          <w:tcPr>
            <w:tcW w:type="dxa" w:w="115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17.2</w:t>
            </w:r>
          </w:p>
        </w:tc>
      </w:tr>
      <w:tr>
        <w:trPr>
          <w:cantSplit/>
        </w:trPr>
        <w:tc>
          <w:tcPr>
            <w:tcW w:type="dxa" w:w="2880"/>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t>Law and policy content, %</w:t>
            </w:r>
          </w:p>
        </w:tc>
        <w:tc>
          <w:tcPr>
            <w:tcW w:type="dxa" w:w="1152"/>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46.9</w:t>
            </w:r>
          </w:p>
        </w:tc>
        <w:tc>
          <w:tcPr>
            <w:tcW w:type="dxa" w:w="1152"/>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32.0</w:t>
            </w:r>
          </w:p>
        </w:tc>
        <w:tc>
          <w:tcPr>
            <w:tcW w:type="dxa" w:w="122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61.3</w:t>
            </w:r>
          </w:p>
        </w:tc>
        <w:tc>
          <w:tcPr>
            <w:tcW w:type="dxa" w:w="1224"/>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0.0</w:t>
            </w:r>
          </w:p>
        </w:tc>
        <w:tc>
          <w:tcPr>
            <w:tcW w:type="dxa" w:w="1152"/>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39.5</w:t>
            </w:r>
          </w:p>
        </w:tc>
        <w:tc>
          <w:tcPr>
            <w:tcW w:type="dxa" w:w="1152"/>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24.1</w:t>
            </w:r>
          </w:p>
        </w:tc>
      </w:tr>
    </w:tbl>
    <w:p>
      <w:pPr>
        <w:spacing w:after="80"/>
      </w:pPr>
    </w:p>
    <w:p>
      <w:pPr>
        <w:keepNext/>
        <w:spacing w:line="240" w:lineRule="auto" w:after="120" w:before="160"/>
      </w:pPr>
      <w:r>
        <w:rPr>
          <w:rFonts w:ascii="Times New Roman" w:hAnsi="Times New Roman" w:eastAsia="Batang"/>
          <w:b w:val="0"/>
          <w:color w:val="000000"/>
          <w:sz w:val="20"/>
        </w:rPr>
      </w:r>
      <w:r>
        <w:rPr>
          <w:rFonts w:ascii="Times New Roman" w:hAnsi="Times New Roman" w:eastAsia="Batang"/>
          <w:b/>
          <w:color w:val="000000"/>
          <w:sz w:val="20"/>
        </w:rPr>
        <w:t>Supplementary Table 8. Accuracy on Korean law and policy questions and on physician-flagged English questions.</w:t>
      </w:r>
      <w:r>
        <w:rPr>
          <w:rFonts w:ascii="Times New Roman" w:hAnsi="Times New Roman" w:eastAsia="Batang"/>
          <w:b w:val="0"/>
          <w:color w:val="000000"/>
          <w:sz w:val="20"/>
        </w:rPr>
        <w:t xml:space="preserve"> Law and policy questions (71 of 435) are those whose answer depends on Korean legal or administrative rules, as labeled by GPT-6.1 Sol without keys or model answers. Physician-flagged questions (192 of 1273) are those for which a majority of three or four US physicians reported missing information, no acceptable official answer or several acceptable answers [16]. Invalid answers count as incorrect.</w:t>
      </w:r>
    </w:p>
    <w:tbl>
      <w:tblPr>
        <w:tblW w:type="auto" w:w="0"/>
        <w:tblLayout w:type="fixed"/>
        <w:tblLook w:firstColumn="1" w:firstRow="1" w:lastColumn="0" w:lastRow="0" w:noHBand="0" w:noVBand="1" w:val="04A0"/>
        <w:tblBorders>
          <w:top w:val="single" w:sz="8" w:color="000000" w:space="0"/>
          <w:left w:val="nil"/>
          <w:bottom w:val="single" w:sz="8" w:color="000000" w:space="0"/>
          <w:right w:val="nil"/>
          <w:insideH w:val="nil"/>
          <w:insideV w:val="nil"/>
        </w:tblBorders>
      </w:tblPr>
      <w:tblGrid>
        <w:gridCol w:w="2446"/>
        <w:gridCol w:w="1223"/>
        <w:gridCol w:w="1223"/>
        <w:gridCol w:w="1299"/>
        <w:gridCol w:w="1299"/>
        <w:gridCol w:w="1223"/>
        <w:gridCol w:w="1223"/>
      </w:tblGrid>
      <w:tr>
        <w:trPr>
          <w:cantSplit/>
          <w:tblHeader w:val="true"/>
        </w:trPr>
        <w:tc>
          <w:tcPr>
            <w:tcW w:type="dxa" w:w="2446"/>
            <w:vAlign w:val="bottom"/>
            <w:tcMar>
              <w:top w:w="30" w:type="dxa"/>
              <w:left w:w="70" w:type="dxa"/>
              <w:bottom w:w="30" w:type="dxa"/>
              <w:right w:w="70" w:type="dxa"/>
            </w:tcMar>
            <w:tcBorders>
              <w:bottom w:val="single" w:sz="6" w:color="000000" w:space="0"/>
            </w:tcBorders>
          </w:tcPr>
          <w:p>
            <w:pPr>
              <w:keepNext/>
              <w:spacing w:after="0" w:line="240" w:lineRule="auto"/>
              <w:rPr>
                <w:sz w:val="18"/>
              </w:rPr>
            </w:pPr>
            <w:r>
              <w:rPr>
                <w:rFonts w:ascii="Times New Roman" w:hAnsi="Times New Roman" w:eastAsia="Batang"/>
                <w:b/>
                <w:color w:val="000000"/>
                <w:sz w:val="18"/>
              </w:rPr>
              <w:t>Model</w:t>
            </w:r>
          </w:p>
        </w:tc>
        <w:tc>
          <w:tcPr>
            <w:tcW w:type="dxa" w:w="1223"/>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Korean law and policy, % correct</w:t>
            </w:r>
          </w:p>
        </w:tc>
        <w:tc>
          <w:tcPr>
            <w:tcW w:type="dxa" w:w="1223"/>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Other Korean, % correct</w:t>
            </w:r>
          </w:p>
        </w:tc>
        <w:tc>
          <w:tcPr>
            <w:tcW w:type="dxa" w:w="1299"/>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Law and policy share of errors, %</w:t>
            </w:r>
          </w:p>
        </w:tc>
        <w:tc>
          <w:tcPr>
            <w:tcW w:type="dxa" w:w="1299"/>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English physician-flagged, % correct</w:t>
            </w:r>
          </w:p>
        </w:tc>
        <w:tc>
          <w:tcPr>
            <w:tcW w:type="dxa" w:w="1223"/>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Other English, % correct</w:t>
            </w:r>
          </w:p>
        </w:tc>
        <w:tc>
          <w:tcPr>
            <w:tcW w:type="dxa" w:w="1223"/>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Flagged share of errors, %</w:t>
            </w:r>
          </w:p>
        </w:tc>
      </w:tr>
      <w:tr>
        <w:trPr>
          <w:cantSplit/>
        </w:trPr>
        <w:tc>
          <w:tcPr>
            <w:tcW w:type="dxa" w:w="2446"/>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Jev 1.13.0</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67.6</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90.7</w:t>
            </w:r>
          </w:p>
        </w:tc>
        <w:tc>
          <w:tcPr>
            <w:tcW w:type="dxa" w:w="129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40.4</w:t>
            </w:r>
          </w:p>
        </w:tc>
        <w:tc>
          <w:tcPr>
            <w:tcW w:type="dxa" w:w="129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65.6</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91.7</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42.3</w:t>
            </w:r>
          </w:p>
        </w:tc>
      </w:tr>
      <w:tr>
        <w:trPr>
          <w:cantSplit/>
        </w:trPr>
        <w:tc>
          <w:tcPr>
            <w:tcW w:type="dxa" w:w="2446"/>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OpenAI Decisions</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73.2</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95.6</w:t>
            </w:r>
          </w:p>
        </w:tc>
        <w:tc>
          <w:tcPr>
            <w:tcW w:type="dxa" w:w="129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54.3</w:t>
            </w:r>
          </w:p>
        </w:tc>
        <w:tc>
          <w:tcPr>
            <w:tcW w:type="dxa" w:w="129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70.3</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90.3</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35.2</w:t>
            </w:r>
          </w:p>
        </w:tc>
      </w:tr>
      <w:tr>
        <w:trPr>
          <w:cantSplit/>
        </w:trPr>
        <w:tc>
          <w:tcPr>
            <w:tcW w:type="dxa" w:w="2446"/>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Clef</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66.2</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86.8</w:t>
            </w:r>
          </w:p>
        </w:tc>
        <w:tc>
          <w:tcPr>
            <w:tcW w:type="dxa" w:w="129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33.3</w:t>
            </w:r>
          </w:p>
        </w:tc>
        <w:tc>
          <w:tcPr>
            <w:tcW w:type="dxa" w:w="129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67.7</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87.8</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32.0</w:t>
            </w:r>
          </w:p>
        </w:tc>
      </w:tr>
      <w:tr>
        <w:trPr>
          <w:cantSplit/>
        </w:trPr>
        <w:tc>
          <w:tcPr>
            <w:tcW w:type="dxa" w:w="2446"/>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GPT-6 Luna letter probabilities</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78.9</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96.7</w:t>
            </w:r>
          </w:p>
        </w:tc>
        <w:tc>
          <w:tcPr>
            <w:tcW w:type="dxa" w:w="129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55.6</w:t>
            </w:r>
          </w:p>
        </w:tc>
        <w:tc>
          <w:tcPr>
            <w:tcW w:type="dxa" w:w="129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76.0</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90.8</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31.7</w:t>
            </w:r>
          </w:p>
        </w:tc>
      </w:tr>
      <w:tr>
        <w:trPr>
          <w:cantSplit/>
        </w:trPr>
        <w:tc>
          <w:tcPr>
            <w:tcW w:type="dxa" w:w="2446"/>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GPT-6.1 Sol low</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95.8</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99.2</w:t>
            </w:r>
          </w:p>
        </w:tc>
        <w:tc>
          <w:tcPr>
            <w:tcW w:type="dxa" w:w="129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50.0</w:t>
            </w:r>
          </w:p>
        </w:tc>
        <w:tc>
          <w:tcPr>
            <w:tcW w:type="dxa" w:w="129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92.2</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97.6</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36.6</w:t>
            </w:r>
          </w:p>
        </w:tc>
      </w:tr>
      <w:tr>
        <w:trPr>
          <w:cantSplit/>
        </w:trPr>
        <w:tc>
          <w:tcPr>
            <w:tcW w:type="dxa" w:w="2446"/>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Claude Opus 5.5 low</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100.0</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98.6</w:t>
            </w:r>
          </w:p>
        </w:tc>
        <w:tc>
          <w:tcPr>
            <w:tcW w:type="dxa" w:w="129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0.0</w:t>
            </w:r>
          </w:p>
        </w:tc>
        <w:tc>
          <w:tcPr>
            <w:tcW w:type="dxa" w:w="129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93.2</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97.2</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30.2</w:t>
            </w:r>
          </w:p>
        </w:tc>
      </w:tr>
      <w:tr>
        <w:trPr>
          <w:cantSplit/>
        </w:trPr>
        <w:tc>
          <w:tcPr>
            <w:tcW w:type="dxa" w:w="2446"/>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Gemini 3.8 Flash low</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93.0</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99.5</w:t>
            </w:r>
          </w:p>
        </w:tc>
        <w:tc>
          <w:tcPr>
            <w:tcW w:type="dxa" w:w="129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71.4</w:t>
            </w:r>
          </w:p>
        </w:tc>
        <w:tc>
          <w:tcPr>
            <w:tcW w:type="dxa" w:w="129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91.7</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97.8</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40.0</w:t>
            </w:r>
          </w:p>
        </w:tc>
      </w:tr>
      <w:tr>
        <w:trPr>
          <w:cantSplit/>
        </w:trPr>
        <w:tc>
          <w:tcPr>
            <w:tcW w:type="dxa" w:w="2446"/>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GPT-6 Luna max</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95.8</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98.6</w:t>
            </w:r>
          </w:p>
        </w:tc>
        <w:tc>
          <w:tcPr>
            <w:tcW w:type="dxa" w:w="129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37.5</w:t>
            </w:r>
          </w:p>
        </w:tc>
        <w:tc>
          <w:tcPr>
            <w:tcW w:type="dxa" w:w="129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87.5</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97.0</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42.9</w:t>
            </w:r>
          </w:p>
        </w:tc>
      </w:tr>
      <w:tr>
        <w:trPr>
          <w:cantSplit/>
        </w:trPr>
        <w:tc>
          <w:tcPr>
            <w:tcW w:type="dxa" w:w="2446"/>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Claude Sonnet 5.5 low</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87.3</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96.2</w:t>
            </w:r>
          </w:p>
        </w:tc>
        <w:tc>
          <w:tcPr>
            <w:tcW w:type="dxa" w:w="129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39.1</w:t>
            </w:r>
          </w:p>
        </w:tc>
        <w:tc>
          <w:tcPr>
            <w:tcW w:type="dxa" w:w="1299"/>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85.9</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96.0</w:t>
            </w:r>
          </w:p>
        </w:tc>
        <w:tc>
          <w:tcPr>
            <w:tcW w:type="dxa" w:w="1223"/>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38.6</w:t>
            </w:r>
          </w:p>
        </w:tc>
      </w:tr>
      <w:tr>
        <w:trPr>
          <w:cantSplit/>
        </w:trPr>
        <w:tc>
          <w:tcPr>
            <w:tcW w:type="dxa" w:w="2446"/>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t>GPT-6 Luna none</w:t>
            </w:r>
          </w:p>
        </w:tc>
        <w:tc>
          <w:tcPr>
            <w:tcW w:type="dxa" w:w="1223"/>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73.2</w:t>
            </w:r>
          </w:p>
        </w:tc>
        <w:tc>
          <w:tcPr>
            <w:tcW w:type="dxa" w:w="1223"/>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97.0</w:t>
            </w:r>
          </w:p>
        </w:tc>
        <w:tc>
          <w:tcPr>
            <w:tcW w:type="dxa" w:w="1299"/>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63.3</w:t>
            </w:r>
          </w:p>
        </w:tc>
        <w:tc>
          <w:tcPr>
            <w:tcW w:type="dxa" w:w="1299"/>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76.6</w:t>
            </w:r>
          </w:p>
        </w:tc>
        <w:tc>
          <w:tcPr>
            <w:tcW w:type="dxa" w:w="1223"/>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91.7</w:t>
            </w:r>
          </w:p>
        </w:tc>
        <w:tc>
          <w:tcPr>
            <w:tcW w:type="dxa" w:w="1223"/>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33.3</w:t>
            </w:r>
          </w:p>
        </w:tc>
      </w:tr>
    </w:tbl>
    <w:p>
      <w:pPr>
        <w:spacing w:after="80"/>
      </w:pPr>
    </w:p>
    <w:p>
      <w:pPr>
        <w:keepNext/>
        <w:spacing w:line="240" w:lineRule="auto" w:after="120" w:before="160"/>
      </w:pPr>
      <w:r>
        <w:rPr>
          <w:rFonts w:ascii="Times New Roman" w:hAnsi="Times New Roman" w:eastAsia="Batang"/>
          <w:b w:val="0"/>
          <w:color w:val="000000"/>
          <w:sz w:val="20"/>
        </w:rPr>
      </w:r>
      <w:r>
        <w:rPr>
          <w:rFonts w:ascii="Times New Roman" w:hAnsi="Times New Roman" w:eastAsia="Batang"/>
          <w:b/>
          <w:color w:val="000000"/>
          <w:sz w:val="20"/>
        </w:rPr>
        <w:t>Supplementary Table 9. Selected errors that persisted across models.</w:t>
      </w:r>
      <w:r>
        <w:rPr>
          <w:rFonts w:ascii="Times New Roman" w:hAnsi="Times New Roman" w:eastAsia="Batang"/>
          <w:b w:val="0"/>
          <w:color w:val="000000"/>
          <w:sz w:val="20"/>
        </w:rPr>
        <w:t xml:space="preserve"> Cases illustrate recurring error sources among questions missed by at least two of the four most accurate reference models (GPT-6.1 Sol, Claude Opus 5.5, Gemini 3.8 Flash and GPT-6 Luna max). The nine configurations are the three decision models and the six reference models. Korean legal and public health comments cite the primary source where an exact provision or guidance document was identified, and English comments come from the published physician ratings [16]. Comments are descriptive and were not clinician adjudicated, and official keys were used in every analysis.</w:t>
      </w:r>
    </w:p>
    <w:tbl>
      <w:tblPr>
        <w:tblW w:type="auto" w:w="0"/>
        <w:tblLayout w:type="fixed"/>
        <w:tblLook w:firstColumn="1" w:firstRow="1" w:lastColumn="0" w:lastRow="0" w:noHBand="0" w:noVBand="1" w:val="04A0"/>
        <w:tblBorders>
          <w:top w:val="single" w:sz="8" w:color="000000" w:space="0"/>
          <w:left w:val="nil"/>
          <w:bottom w:val="single" w:sz="8" w:color="000000" w:space="0"/>
          <w:right w:val="nil"/>
          <w:insideH w:val="nil"/>
          <w:insideV w:val="nil"/>
        </w:tblBorders>
      </w:tblPr>
      <w:tblGrid>
        <w:gridCol w:w="1734"/>
        <w:gridCol w:w="1800"/>
        <w:gridCol w:w="1467"/>
        <w:gridCol w:w="2001"/>
        <w:gridCol w:w="2934"/>
      </w:tblGrid>
      <w:tr>
        <w:trPr>
          <w:cantSplit/>
          <w:tblHeader w:val="true"/>
        </w:trPr>
        <w:tc>
          <w:tcPr>
            <w:tcW w:type="dxa" w:w="1734"/>
            <w:vAlign w:val="bottom"/>
            <w:tcMar>
              <w:top w:w="30" w:type="dxa"/>
              <w:left w:w="70" w:type="dxa"/>
              <w:bottom w:w="30" w:type="dxa"/>
              <w:right w:w="70" w:type="dxa"/>
            </w:tcMar>
            <w:tcBorders>
              <w:bottom w:val="single" w:sz="6" w:color="000000" w:space="0"/>
            </w:tcBorders>
          </w:tcPr>
          <w:p>
            <w:pPr>
              <w:keepNext/>
              <w:spacing w:after="0" w:line="240" w:lineRule="auto"/>
              <w:rPr>
                <w:sz w:val="19"/>
              </w:rPr>
            </w:pPr>
            <w:r>
              <w:rPr>
                <w:rFonts w:ascii="Times New Roman" w:hAnsi="Times New Roman" w:eastAsia="Batang"/>
                <w:b/>
                <w:color w:val="000000"/>
                <w:sz w:val="19"/>
              </w:rPr>
              <w:t>Question</w:t>
            </w:r>
          </w:p>
        </w:tc>
        <w:tc>
          <w:tcPr>
            <w:tcW w:type="dxa" w:w="1800"/>
            <w:vAlign w:val="bottom"/>
            <w:tcMar>
              <w:top w:w="30" w:type="dxa"/>
              <w:left w:w="70" w:type="dxa"/>
              <w:bottom w:w="30" w:type="dxa"/>
              <w:right w:w="70" w:type="dxa"/>
            </w:tcMar>
            <w:tcBorders>
              <w:bottom w:val="single" w:sz="6" w:color="000000" w:space="0"/>
            </w:tcBorders>
          </w:tcPr>
          <w:p>
            <w:pPr>
              <w:keepNext/>
              <w:spacing w:after="0" w:line="240" w:lineRule="auto"/>
              <w:rPr>
                <w:sz w:val="19"/>
              </w:rPr>
            </w:pPr>
            <w:r>
              <w:rPr>
                <w:rFonts w:ascii="Times New Roman" w:hAnsi="Times New Roman" w:eastAsia="Batang"/>
                <w:b/>
                <w:color w:val="000000"/>
                <w:sz w:val="19"/>
              </w:rPr>
              <w:t>Topic</w:t>
            </w:r>
          </w:p>
        </w:tc>
        <w:tc>
          <w:tcPr>
            <w:tcW w:type="dxa" w:w="1467"/>
            <w:vAlign w:val="bottom"/>
            <w:tcMar>
              <w:top w:w="30" w:type="dxa"/>
              <w:left w:w="70" w:type="dxa"/>
              <w:bottom w:w="30" w:type="dxa"/>
              <w:right w:w="70" w:type="dxa"/>
            </w:tcMar>
            <w:tcBorders>
              <w:bottom w:val="single" w:sz="6" w:color="000000" w:space="0"/>
            </w:tcBorders>
          </w:tcPr>
          <w:p>
            <w:pPr>
              <w:keepNext/>
              <w:spacing w:after="0" w:line="240" w:lineRule="auto"/>
              <w:rPr>
                <w:sz w:val="19"/>
              </w:rPr>
            </w:pPr>
            <w:r>
              <w:rPr>
                <w:rFonts w:ascii="Times New Roman" w:hAnsi="Times New Roman" w:eastAsia="Batang"/>
                <w:b/>
                <w:color w:val="000000"/>
                <w:sz w:val="19"/>
              </w:rPr>
              <w:t>Official key</w:t>
            </w:r>
          </w:p>
        </w:tc>
        <w:tc>
          <w:tcPr>
            <w:tcW w:type="dxa" w:w="2001"/>
            <w:vAlign w:val="bottom"/>
            <w:tcMar>
              <w:top w:w="30" w:type="dxa"/>
              <w:left w:w="70" w:type="dxa"/>
              <w:bottom w:w="30" w:type="dxa"/>
              <w:right w:w="70" w:type="dxa"/>
            </w:tcMar>
            <w:tcBorders>
              <w:bottom w:val="single" w:sz="6" w:color="000000" w:space="0"/>
            </w:tcBorders>
          </w:tcPr>
          <w:p>
            <w:pPr>
              <w:keepNext/>
              <w:spacing w:after="0" w:line="240" w:lineRule="auto"/>
              <w:rPr>
                <w:sz w:val="19"/>
              </w:rPr>
            </w:pPr>
            <w:r>
              <w:rPr>
                <w:rFonts w:ascii="Times New Roman" w:hAnsi="Times New Roman" w:eastAsia="Batang"/>
                <w:b/>
                <w:color w:val="000000"/>
                <w:sz w:val="19"/>
              </w:rPr>
              <w:t>Model answers</w:t>
            </w:r>
          </w:p>
        </w:tc>
        <w:tc>
          <w:tcPr>
            <w:tcW w:type="dxa" w:w="2934"/>
            <w:vAlign w:val="bottom"/>
            <w:tcMar>
              <w:top w:w="30" w:type="dxa"/>
              <w:left w:w="70" w:type="dxa"/>
              <w:bottom w:w="30" w:type="dxa"/>
              <w:right w:w="70" w:type="dxa"/>
            </w:tcMar>
            <w:tcBorders>
              <w:bottom w:val="single" w:sz="6" w:color="000000" w:space="0"/>
            </w:tcBorders>
          </w:tcPr>
          <w:p>
            <w:pPr>
              <w:keepNext/>
              <w:spacing w:after="0" w:line="240" w:lineRule="auto"/>
              <w:rPr>
                <w:sz w:val="19"/>
              </w:rPr>
            </w:pPr>
            <w:r>
              <w:rPr>
                <w:rFonts w:ascii="Times New Roman" w:hAnsi="Times New Roman" w:eastAsia="Batang"/>
                <w:b/>
                <w:color w:val="000000"/>
                <w:sz w:val="19"/>
              </w:rPr>
              <w:t>Comment</w:t>
            </w:r>
          </w:p>
        </w:tc>
      </w:tr>
      <w:tr>
        <w:trPr>
          <w:cantSplit/>
        </w:trPr>
        <w:tc>
          <w:tcPr>
            <w:tcW w:type="dxa" w:w="1734"/>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KorMedMCQA doctor-2022-1-18</w:t>
            </w:r>
          </w:p>
        </w:tc>
        <w:tc>
          <w:tcPr>
            <w:tcW w:type="dxa" w:w="1800"/>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Disclosure of HIV infection of a soldier</w:t>
            </w:r>
          </w:p>
        </w:tc>
        <w:tc>
          <w:tcPr>
            <w:tcW w:type="dxa" w:w="1467"/>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C, patient and unit commander</w:t>
            </w:r>
          </w:p>
        </w:tc>
        <w:tc>
          <w:tcPr>
            <w:tcW w:type="dxa" w:w="2001"/>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A, patient only, by Jev, OpenAI Decisions, Clef, Sol, Luna none, Gemini and Sonnet</w:t>
            </w:r>
          </w:p>
        </w:tc>
        <w:tc>
          <w:tcPr>
            <w:tcW w:type="dxa" w:w="2934"/>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The examination-era AIDS Prevention Act added notification of the institution head in communal military settings, an exception to the general confidentiality rule [S6]. The statute names the institution head and the key names the unit commander.</w:t>
            </w:r>
          </w:p>
        </w:tc>
      </w:tr>
      <w:tr>
        <w:trPr>
          <w:cantSplit/>
        </w:trPr>
        <w:tc>
          <w:tcPr>
            <w:tcW w:type="dxa" w:w="1734"/>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KorMedMCQA doctor-2023-1-17</w:t>
            </w:r>
          </w:p>
        </w:tc>
        <w:tc>
          <w:tcPr>
            <w:tcW w:type="dxa" w:w="1800"/>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Approval of emergency transfer when consent cannot be obtained</w:t>
            </w:r>
          </w:p>
        </w:tc>
        <w:tc>
          <w:tcPr>
            <w:tcW w:type="dxa" w:w="1467"/>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A, mayor, county head or district head</w:t>
            </w:r>
          </w:p>
        </w:tc>
        <w:tc>
          <w:tcPr>
            <w:tcW w:type="dxa" w:w="2001"/>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C, public health centre head, by Jev, OpenAI Decisions and Sol. B by Luna max</w:t>
            </w:r>
          </w:p>
        </w:tc>
        <w:tc>
          <w:tcPr>
            <w:tcW w:type="dxa" w:w="2934"/>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The key assigns this approval to the local government head. The applicable examination-era provision was not independently verified.</w:t>
            </w:r>
          </w:p>
        </w:tc>
      </w:tr>
      <w:tr>
        <w:trPr>
          <w:cantSplit/>
        </w:trPr>
        <w:tc>
          <w:tcPr>
            <w:tcW w:type="dxa" w:w="1734"/>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KorMedMCQA doctor-2024-1-74</w:t>
            </w:r>
          </w:p>
        </w:tc>
        <w:tc>
          <w:tcPr>
            <w:tcW w:type="dxa" w:w="1800"/>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Preventive focus of farmer education on severe fever with thrombocytopenia syndrome</w:t>
            </w:r>
          </w:p>
        </w:tc>
        <w:tc>
          <w:tcPr>
            <w:tcW w:type="dxa" w:w="1467"/>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A, personal hygiene</w:t>
            </w:r>
          </w:p>
        </w:tc>
        <w:tc>
          <w:tcPr>
            <w:tcW w:type="dxa" w:w="2001"/>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D, vector control, by all nine configurations</w:t>
            </w:r>
          </w:p>
        </w:tc>
        <w:tc>
          <w:tcPr>
            <w:tcW w:type="dxa" w:w="2934"/>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National field-education materials emphasize protective clothing, laundering and washing after outdoor work, which supports personal protection [S7]. The boundary between the two category labels is not settled.</w:t>
            </w:r>
          </w:p>
        </w:tc>
      </w:tr>
      <w:tr>
        <w:trPr>
          <w:cantSplit/>
        </w:trPr>
        <w:tc>
          <w:tcPr>
            <w:tcW w:type="dxa" w:w="1734"/>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KorMedMCQA doctor-2022-1-75</w:t>
            </w:r>
          </w:p>
        </w:tc>
        <w:tc>
          <w:tcPr>
            <w:tcW w:type="dxa" w:w="1800"/>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Ottawa Charter action area for assessing health effects of a dam project</w:t>
            </w:r>
          </w:p>
        </w:tc>
        <w:tc>
          <w:tcPr>
            <w:tcW w:type="dxa" w:w="1467"/>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D, building healthy public policy</w:t>
            </w:r>
          </w:p>
        </w:tc>
        <w:tc>
          <w:tcPr>
            <w:tcW w:type="dxa" w:w="2001"/>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A, creating supportive environments, by OpenAI Decisions, Sol, Opus and Luna max. The other configurations chose the key</w:t>
            </w:r>
          </w:p>
        </w:tc>
        <w:tc>
          <w:tcPr>
            <w:tcW w:type="dxa" w:w="2934"/>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The Charter places systematic assessment of the health impact of a changing environment under creating supportive environments [S8], whereas the key treats the dam project as a matter of public policy.</w:t>
            </w:r>
          </w:p>
        </w:tc>
      </w:tr>
      <w:tr>
        <w:trPr>
          <w:cantSplit/>
        </w:trPr>
        <w:tc>
          <w:tcPr>
            <w:tcW w:type="dxa" w:w="1734"/>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KorMedMCQA doctor-2024-3-70</w:t>
            </w:r>
          </w:p>
        </w:tc>
        <w:tc>
          <w:tcPr>
            <w:tcW w:type="dxa" w:w="1800"/>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Acute impaired consciousness after fever, vaccination, antihistamine and corticosteroid</w:t>
            </w:r>
          </w:p>
        </w:tc>
        <w:tc>
          <w:tcPr>
            <w:tcW w:type="dxa" w:w="1467"/>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A, delirium</w:t>
            </w:r>
          </w:p>
        </w:tc>
        <w:tc>
          <w:tcPr>
            <w:tcW w:type="dxa" w:w="2001"/>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C, functional neurological symptom disorder, by Jev, Luna none, Sol, Sonnet and Opus</w:t>
            </w:r>
          </w:p>
        </w:tc>
        <w:tc>
          <w:tcPr>
            <w:tcW w:type="dxa" w:w="2934"/>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Normal EEG, MRI and cerebrospinal fluid findings accompany fever, leukocytosis, raised C-reactive protein and recent sedating medication.</w:t>
            </w:r>
          </w:p>
        </w:tc>
      </w:tr>
      <w:tr>
        <w:trPr>
          <w:cantSplit/>
        </w:trPr>
        <w:tc>
          <w:tcPr>
            <w:tcW w:type="dxa" w:w="1734"/>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MedQA test-00160</w:t>
            </w:r>
          </w:p>
        </w:tc>
        <w:tc>
          <w:tcPr>
            <w:tcW w:type="dxa" w:w="1800"/>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Splenic zone linked to infection risk after splenectomy</w:t>
            </w:r>
          </w:p>
        </w:tc>
        <w:tc>
          <w:tcPr>
            <w:tcW w:type="dxa" w:w="1467"/>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C, zones 1 and 2</w:t>
            </w:r>
          </w:p>
        </w:tc>
        <w:tc>
          <w:tcPr>
            <w:tcW w:type="dxa" w:w="2001"/>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A by OpenAI Decisions, Luna none, Luna max, Gemini, Sonnet and Opus. B by Jev and Sol</w:t>
            </w:r>
          </w:p>
        </w:tc>
        <w:tc>
          <w:tcPr>
            <w:tcW w:type="dxa" w:w="2934"/>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The question refers to numbered zones on a slide that was not provided. All three physicians reported missing information.</w:t>
            </w:r>
          </w:p>
        </w:tc>
      </w:tr>
      <w:tr>
        <w:trPr>
          <w:cantSplit/>
        </w:trPr>
        <w:tc>
          <w:tcPr>
            <w:tcW w:type="dxa" w:w="1734"/>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MedQA test-00564</w:t>
            </w:r>
          </w:p>
        </w:tc>
        <w:tc>
          <w:tcPr>
            <w:tcW w:type="dxa" w:w="1800"/>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Sexual dysfunction during citalopram treatment</w:t>
            </w:r>
          </w:p>
        </w:tc>
        <w:tc>
          <w:tcPr>
            <w:tcW w:type="dxa" w:w="1467"/>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A, lower the dose</w:t>
            </w:r>
          </w:p>
        </w:tc>
        <w:tc>
          <w:tcPr>
            <w:tcW w:type="dxa" w:w="2001"/>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B, add bupropion, by all nine configurations</w:t>
            </w:r>
          </w:p>
        </w:tc>
        <w:tc>
          <w:tcPr>
            <w:tcW w:type="dxa" w:w="2934"/>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Two of three physicians selected bupropion and reported no acceptable official answer.</w:t>
            </w:r>
          </w:p>
        </w:tc>
      </w:tr>
      <w:tr>
        <w:trPr>
          <w:cantSplit/>
        </w:trPr>
        <w:tc>
          <w:tcPr>
            <w:tcW w:type="dxa" w:w="1734"/>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MedQA test-00112</w:t>
            </w:r>
          </w:p>
        </w:tc>
        <w:tc>
          <w:tcPr>
            <w:tcW w:type="dxa" w:w="1800"/>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Mechanism of retrosternal burning with eating</w:t>
            </w:r>
          </w:p>
        </w:tc>
        <w:tc>
          <w:tcPr>
            <w:tcW w:type="dxa" w:w="1467"/>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B, esophageal fibrosis</w:t>
            </w:r>
          </w:p>
        </w:tc>
        <w:tc>
          <w:tcPr>
            <w:tcW w:type="dxa" w:w="2001"/>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A, decreased lower esophageal sphincter tone, by Jev, Clef, Sol, Gemini and Luna max</w:t>
            </w:r>
          </w:p>
        </w:tc>
        <w:tc>
          <w:tcPr>
            <w:tcW w:type="dxa" w:w="2934"/>
            <w:vAlign w:val="top"/>
            <w:tcMar>
              <w:top w:w="30" w:type="dxa"/>
              <w:left w:w="70" w:type="dxa"/>
              <w:bottom w:w="30" w:type="dxa"/>
              <w:right w:w="70" w:type="dxa"/>
            </w:tcMar>
          </w:tcPr>
          <w:p>
            <w:pPr>
              <w:keepNext/>
              <w:spacing w:after="0" w:line="240" w:lineRule="auto"/>
              <w:rPr>
                <w:sz w:val="19"/>
              </w:rPr>
            </w:pPr>
            <w:r>
              <w:rPr>
                <w:rFonts w:ascii="Times New Roman" w:hAnsi="Times New Roman" w:eastAsia="Batang"/>
                <w:b w:val="0"/>
                <w:color w:val="000000"/>
                <w:sz w:val="19"/>
              </w:rPr>
              <w:t>Two of three physicians selected decreased sphincter tone and reported no acceptable official answer.</w:t>
            </w:r>
          </w:p>
        </w:tc>
      </w:tr>
      <w:tr>
        <w:trPr>
          <w:cantSplit/>
        </w:trPr>
        <w:tc>
          <w:tcPr>
            <w:tcW w:type="dxa" w:w="1734"/>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t>MedQA test-00874</w:t>
            </w:r>
          </w:p>
        </w:tc>
        <w:tc>
          <w:tcPr>
            <w:tcW w:type="dxa" w:w="1800"/>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t>Next step for cough two weeks after a febrile illness</w:t>
            </w:r>
          </w:p>
        </w:tc>
        <w:tc>
          <w:tcPr>
            <w:tcW w:type="dxa" w:w="1467"/>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t>D, supportive care</w:t>
            </w:r>
          </w:p>
        </w:tc>
        <w:tc>
          <w:tcPr>
            <w:tcW w:type="dxa" w:w="2001"/>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t>A, chest radiograph, by all configurations except Opus</w:t>
            </w:r>
          </w:p>
        </w:tc>
        <w:tc>
          <w:tcPr>
            <w:tcW w:type="dxa" w:w="2934"/>
            <w:vAlign w:val="top"/>
            <w:tcMar>
              <w:top w:w="30" w:type="dxa"/>
              <w:left w:w="70" w:type="dxa"/>
              <w:bottom w:w="30" w:type="dxa"/>
              <w:right w:w="70" w:type="dxa"/>
            </w:tcMar>
          </w:tcPr>
          <w:p>
            <w:pPr>
              <w:keepNext w:val="0"/>
              <w:spacing w:after="0" w:line="240" w:lineRule="auto"/>
              <w:rPr>
                <w:sz w:val="19"/>
              </w:rPr>
            </w:pPr>
            <w:r>
              <w:rPr>
                <w:rFonts w:ascii="Times New Roman" w:hAnsi="Times New Roman" w:eastAsia="Batang"/>
                <w:b w:val="0"/>
                <w:color w:val="000000"/>
                <w:sz w:val="19"/>
              </w:rPr>
              <w:t>Two of three physicians selected chest radiograph and reported no acceptable official answer.</w:t>
            </w:r>
          </w:p>
        </w:tc>
      </w:tr>
    </w:tbl>
    <w:p>
      <w:pPr>
        <w:spacing w:after="80"/>
      </w:pPr>
    </w:p>
    <w:p>
      <w:pPr>
        <w:keepNext/>
        <w:spacing w:line="240" w:lineRule="auto" w:after="120" w:before="160"/>
      </w:pPr>
      <w:r>
        <w:rPr>
          <w:rFonts w:ascii="Times New Roman" w:hAnsi="Times New Roman" w:eastAsia="Batang"/>
          <w:b w:val="0"/>
          <w:color w:val="000000"/>
          <w:sz w:val="20"/>
        </w:rPr>
      </w:r>
      <w:r>
        <w:rPr>
          <w:rFonts w:ascii="Times New Roman" w:hAnsi="Times New Roman" w:eastAsia="Batang"/>
          <w:b/>
          <w:color w:val="000000"/>
          <w:sz w:val="20"/>
        </w:rPr>
        <w:t>Supplementary Table 10. MedQA results without physician-flagged questions.</w:t>
      </w:r>
      <w:r>
        <w:rPr>
          <w:rFonts w:ascii="Times New Roman" w:hAnsi="Times New Roman" w:eastAsia="Batang"/>
          <w:b w:val="0"/>
          <w:color w:val="000000"/>
          <w:sz w:val="20"/>
        </w:rPr>
        <w:t xml:space="preserve"> The main measures were repeated on the 1081 English questions without a physician flag, referring the least confident 20% of them. GPT-6.1 Sol alone answered 97.6% of these questions correctly.</w:t>
      </w:r>
    </w:p>
    <w:tbl>
      <w:tblPr>
        <w:tblW w:type="auto" w:w="0"/>
        <w:tblLayout w:type="fixed"/>
        <w:tblLook w:firstColumn="1" w:firstRow="1" w:lastColumn="0" w:lastRow="0" w:noHBand="0" w:noVBand="1" w:val="04A0"/>
        <w:tblBorders>
          <w:top w:val="single" w:sz="8" w:color="000000" w:space="0"/>
          <w:left w:val="nil"/>
          <w:bottom w:val="single" w:sz="8" w:color="000000" w:space="0"/>
          <w:right w:val="nil"/>
          <w:insideH w:val="nil"/>
          <w:insideV w:val="nil"/>
        </w:tblBorders>
      </w:tblPr>
      <w:tblGrid>
        <w:gridCol w:w="2564"/>
        <w:gridCol w:w="1122"/>
        <w:gridCol w:w="1122"/>
        <w:gridCol w:w="1282"/>
        <w:gridCol w:w="1442"/>
        <w:gridCol w:w="1282"/>
        <w:gridCol w:w="1122"/>
      </w:tblGrid>
      <w:tr>
        <w:trPr>
          <w:cantSplit/>
          <w:tblHeader w:val="true"/>
        </w:trPr>
        <w:tc>
          <w:tcPr>
            <w:tcW w:type="dxa" w:w="2564"/>
            <w:vAlign w:val="bottom"/>
            <w:tcMar>
              <w:top w:w="30" w:type="dxa"/>
              <w:left w:w="70" w:type="dxa"/>
              <w:bottom w:w="30" w:type="dxa"/>
              <w:right w:w="70" w:type="dxa"/>
            </w:tcMar>
            <w:tcBorders>
              <w:bottom w:val="single" w:sz="6" w:color="000000" w:space="0"/>
            </w:tcBorders>
          </w:tcPr>
          <w:p>
            <w:pPr>
              <w:keepNext/>
              <w:spacing w:after="0" w:line="240" w:lineRule="auto"/>
              <w:rPr>
                <w:sz w:val="18"/>
              </w:rPr>
            </w:pPr>
            <w:r>
              <w:rPr>
                <w:rFonts w:ascii="Times New Roman" w:hAnsi="Times New Roman" w:eastAsia="Batang"/>
                <w:b/>
                <w:color w:val="000000"/>
                <w:sz w:val="18"/>
              </w:rPr>
              <w:t>Model</w:t>
            </w:r>
          </w:p>
        </w:tc>
        <w:tc>
          <w:tcPr>
            <w:tcW w:type="dxa" w:w="1122"/>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Accuracy, %</w:t>
            </w:r>
          </w:p>
        </w:tc>
        <w:tc>
          <w:tcPr>
            <w:tcW w:type="dxa" w:w="1122"/>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Error AUROC</w:t>
            </w:r>
          </w:p>
        </w:tc>
        <w:tc>
          <w:tcPr>
            <w:tcW w:type="dxa" w:w="1282"/>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Errors caught at 20%, %</w:t>
            </w:r>
          </w:p>
        </w:tc>
        <w:tc>
          <w:tcPr>
            <w:tcW w:type="dxa" w:w="1442"/>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Accuracy after referral, %</w:t>
            </w:r>
          </w:p>
        </w:tc>
        <w:tc>
          <w:tcPr>
            <w:tcW w:type="dxa" w:w="1282"/>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Random referral, %</w:t>
            </w:r>
          </w:p>
        </w:tc>
        <w:tc>
          <w:tcPr>
            <w:tcW w:type="dxa" w:w="1122"/>
            <w:vAlign w:val="bottom"/>
            <w:tcMar>
              <w:top w:w="30" w:type="dxa"/>
              <w:left w:w="70" w:type="dxa"/>
              <w:bottom w:w="30" w:type="dxa"/>
              <w:right w:w="70" w:type="dxa"/>
            </w:tcMar>
            <w:tcBorders>
              <w:bottom w:val="single" w:sz="6" w:color="000000" w:space="0"/>
            </w:tcBorders>
          </w:tcPr>
          <w:p>
            <w:pPr>
              <w:keepNext/>
              <w:spacing w:after="0" w:line="240" w:lineRule="auto"/>
              <w:jc w:val="right"/>
              <w:rPr>
                <w:sz w:val="18"/>
              </w:rPr>
            </w:pPr>
            <w:r>
              <w:rPr>
                <w:rFonts w:ascii="Times New Roman" w:hAnsi="Times New Roman" w:eastAsia="Batang"/>
                <w:b/>
                <w:color w:val="000000"/>
                <w:sz w:val="18"/>
              </w:rPr>
              <w:t>Oracle, %</w:t>
            </w:r>
          </w:p>
        </w:tc>
      </w:tr>
      <w:tr>
        <w:trPr>
          <w:cantSplit/>
        </w:trPr>
        <w:tc>
          <w:tcPr>
            <w:tcW w:type="dxa" w:w="2564"/>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Jev 1.13.0</w:t>
            </w:r>
          </w:p>
        </w:tc>
        <w:tc>
          <w:tcPr>
            <w:tcW w:type="dxa" w:w="112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91.7</w:t>
            </w:r>
          </w:p>
        </w:tc>
        <w:tc>
          <w:tcPr>
            <w:tcW w:type="dxa" w:w="112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0.917</w:t>
            </w:r>
          </w:p>
        </w:tc>
        <w:tc>
          <w:tcPr>
            <w:tcW w:type="dxa" w:w="128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81.9</w:t>
            </w:r>
          </w:p>
        </w:tc>
        <w:tc>
          <w:tcPr>
            <w:tcW w:type="dxa" w:w="144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96.9</w:t>
            </w:r>
          </w:p>
        </w:tc>
        <w:tc>
          <w:tcPr>
            <w:tcW w:type="dxa" w:w="128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92.9</w:t>
            </w:r>
          </w:p>
        </w:tc>
        <w:tc>
          <w:tcPr>
            <w:tcW w:type="dxa" w:w="112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98.6</w:t>
            </w:r>
          </w:p>
        </w:tc>
      </w:tr>
      <w:tr>
        <w:trPr>
          <w:cantSplit/>
        </w:trPr>
        <w:tc>
          <w:tcPr>
            <w:tcW w:type="dxa" w:w="2564"/>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OpenAI Decisions</w:t>
            </w:r>
          </w:p>
        </w:tc>
        <w:tc>
          <w:tcPr>
            <w:tcW w:type="dxa" w:w="112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90.3</w:t>
            </w:r>
          </w:p>
        </w:tc>
        <w:tc>
          <w:tcPr>
            <w:tcW w:type="dxa" w:w="112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0.916</w:t>
            </w:r>
          </w:p>
        </w:tc>
        <w:tc>
          <w:tcPr>
            <w:tcW w:type="dxa" w:w="128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83.7</w:t>
            </w:r>
          </w:p>
        </w:tc>
        <w:tc>
          <w:tcPr>
            <w:tcW w:type="dxa" w:w="144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96.2</w:t>
            </w:r>
          </w:p>
        </w:tc>
        <w:tc>
          <w:tcPr>
            <w:tcW w:type="dxa" w:w="128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91.7</w:t>
            </w:r>
          </w:p>
        </w:tc>
        <w:tc>
          <w:tcPr>
            <w:tcW w:type="dxa" w:w="112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98.1</w:t>
            </w:r>
          </w:p>
        </w:tc>
      </w:tr>
      <w:tr>
        <w:trPr>
          <w:cantSplit/>
        </w:trPr>
        <w:tc>
          <w:tcPr>
            <w:tcW w:type="dxa" w:w="2564"/>
            <w:vAlign w:val="top"/>
            <w:tcMar>
              <w:top w:w="30" w:type="dxa"/>
              <w:left w:w="70" w:type="dxa"/>
              <w:bottom w:w="30" w:type="dxa"/>
              <w:right w:w="70" w:type="dxa"/>
            </w:tcMar>
          </w:tcPr>
          <w:p>
            <w:pPr>
              <w:keepNext/>
              <w:spacing w:after="0" w:line="240" w:lineRule="auto"/>
              <w:rPr>
                <w:sz w:val="18"/>
              </w:rPr>
            </w:pPr>
            <w:r>
              <w:rPr>
                <w:rFonts w:ascii="Times New Roman" w:hAnsi="Times New Roman" w:eastAsia="Batang"/>
                <w:b w:val="0"/>
                <w:color w:val="000000"/>
                <w:sz w:val="18"/>
              </w:rPr>
              <w:t>Clef</w:t>
            </w:r>
          </w:p>
        </w:tc>
        <w:tc>
          <w:tcPr>
            <w:tcW w:type="dxa" w:w="112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87.8</w:t>
            </w:r>
          </w:p>
        </w:tc>
        <w:tc>
          <w:tcPr>
            <w:tcW w:type="dxa" w:w="112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0.879</w:t>
            </w:r>
          </w:p>
        </w:tc>
        <w:tc>
          <w:tcPr>
            <w:tcW w:type="dxa" w:w="128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71.2</w:t>
            </w:r>
          </w:p>
        </w:tc>
        <w:tc>
          <w:tcPr>
            <w:tcW w:type="dxa" w:w="144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95.2</w:t>
            </w:r>
          </w:p>
        </w:tc>
        <w:tc>
          <w:tcPr>
            <w:tcW w:type="dxa" w:w="128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89.7</w:t>
            </w:r>
          </w:p>
        </w:tc>
        <w:tc>
          <w:tcPr>
            <w:tcW w:type="dxa" w:w="1122"/>
            <w:vAlign w:val="top"/>
            <w:tcMar>
              <w:top w:w="30" w:type="dxa"/>
              <w:left w:w="70" w:type="dxa"/>
              <w:bottom w:w="30" w:type="dxa"/>
              <w:right w:w="70" w:type="dxa"/>
            </w:tcMar>
          </w:tcPr>
          <w:p>
            <w:pPr>
              <w:keepNext/>
              <w:spacing w:after="0" w:line="240" w:lineRule="auto"/>
              <w:jc w:val="right"/>
              <w:rPr>
                <w:sz w:val="18"/>
              </w:rPr>
            </w:pPr>
            <w:r>
              <w:rPr>
                <w:rFonts w:ascii="Times New Roman" w:hAnsi="Times New Roman" w:eastAsia="Batang"/>
                <w:b w:val="0"/>
                <w:color w:val="000000"/>
                <w:sz w:val="18"/>
              </w:rPr>
              <w:t>98.7</w:t>
            </w:r>
          </w:p>
        </w:tc>
      </w:tr>
      <w:tr>
        <w:trPr>
          <w:cantSplit/>
        </w:trPr>
        <w:tc>
          <w:tcPr>
            <w:tcW w:type="dxa" w:w="2564"/>
            <w:vAlign w:val="top"/>
            <w:tcMar>
              <w:top w:w="30" w:type="dxa"/>
              <w:left w:w="70" w:type="dxa"/>
              <w:bottom w:w="30" w:type="dxa"/>
              <w:right w:w="70" w:type="dxa"/>
            </w:tcMar>
          </w:tcPr>
          <w:p>
            <w:pPr>
              <w:keepNext w:val="0"/>
              <w:spacing w:after="0" w:line="240" w:lineRule="auto"/>
              <w:rPr>
                <w:sz w:val="18"/>
              </w:rPr>
            </w:pPr>
            <w:r>
              <w:rPr>
                <w:rFonts w:ascii="Times New Roman" w:hAnsi="Times New Roman" w:eastAsia="Batang"/>
                <w:b w:val="0"/>
                <w:color w:val="000000"/>
                <w:sz w:val="18"/>
              </w:rPr>
              <w:t>GPT-6 Luna letter probabilities</w:t>
            </w:r>
          </w:p>
        </w:tc>
        <w:tc>
          <w:tcPr>
            <w:tcW w:type="dxa" w:w="1122"/>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90.8</w:t>
            </w:r>
          </w:p>
        </w:tc>
        <w:tc>
          <w:tcPr>
            <w:tcW w:type="dxa" w:w="1122"/>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0.818</w:t>
            </w:r>
          </w:p>
        </w:tc>
        <w:tc>
          <w:tcPr>
            <w:tcW w:type="dxa" w:w="1282"/>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71.3</w:t>
            </w:r>
          </w:p>
        </w:tc>
        <w:tc>
          <w:tcPr>
            <w:tcW w:type="dxa" w:w="1442"/>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96.1</w:t>
            </w:r>
          </w:p>
        </w:tc>
        <w:tc>
          <w:tcPr>
            <w:tcW w:type="dxa" w:w="1282"/>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92.2</w:t>
            </w:r>
          </w:p>
        </w:tc>
        <w:tc>
          <w:tcPr>
            <w:tcW w:type="dxa" w:w="1122"/>
            <w:vAlign w:val="top"/>
            <w:tcMar>
              <w:top w:w="30" w:type="dxa"/>
              <w:left w:w="70" w:type="dxa"/>
              <w:bottom w:w="30" w:type="dxa"/>
              <w:right w:w="70" w:type="dxa"/>
            </w:tcMar>
          </w:tcPr>
          <w:p>
            <w:pPr>
              <w:keepNext w:val="0"/>
              <w:spacing w:after="0" w:line="240" w:lineRule="auto"/>
              <w:jc w:val="right"/>
              <w:rPr>
                <w:sz w:val="18"/>
              </w:rPr>
            </w:pPr>
            <w:r>
              <w:rPr>
                <w:rFonts w:ascii="Times New Roman" w:hAnsi="Times New Roman" w:eastAsia="Batang"/>
                <w:b w:val="0"/>
                <w:color w:val="000000"/>
                <w:sz w:val="18"/>
              </w:rPr>
              <w:t>98.4</w:t>
            </w:r>
          </w:p>
        </w:tc>
      </w:tr>
    </w:tbl>
    <w:p>
      <w:pPr>
        <w:spacing w:after="80"/>
      </w:pPr>
    </w:p>
    <w:sectPr w:rsidR="00FC693F" w:rsidRPr="0006063C" w:rsidSect="00034616">
      <w:footerReference w:type="default" r:id="rId9"/>
      <w:pgSz w:w="12240" w:h="15840"/>
      <w:pgMar w:top="1152" w:right="1152" w:bottom="1152" w:left="1152"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Times New Roman" w:hAnsi="Times New Roman" w:eastAsia="Batang"/>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64" w:lineRule="auto"/>
      <w:outlineLvl w:val="0"/>
    </w:pPr>
    <w:rPr>
      <w:rFonts w:ascii="Times New Roman" w:hAnsi="Times New Roman" w:eastAsia="Batang"/>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line="264" w:lineRule="auto"/>
      <w:outlineLvl w:val="1"/>
    </w:pPr>
    <w:rPr>
      <w:rFonts w:ascii="Times New Roman" w:hAnsi="Times New Roman" w:eastAsia="Batang"/>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contextualSpacing/>
    </w:pPr>
    <w:rPr>
      <w:rFonts w:ascii="Times New Roman" w:hAnsi="Times New Roman" w:eastAsia="Batang"/>
      <w:b/>
      <w:color w:val="000000"/>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Referring uncertain answers by decision-model confidence: Jev, OpenAI Decisions and Clef on Korean and US medical licensing examination questions</dc:title>
  <dc:subject>Exploratory in silico study for medRxiv</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