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pPr>
    </w:p>
    <w:p>
      <w:pPr>
        <w:bidi w:val="1"/>
        <w:jc w:val="center"/>
      </w:pPr>
      <w:r>
        <w:drawing>
          <wp:inline xmlns:a="http://schemas.openxmlformats.org/drawingml/2006/main" xmlns:pic="http://schemas.openxmlformats.org/drawingml/2006/picture">
            <wp:extent cx="1007999" cy="91727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07999" cy="917279"/>
                    </a:xfrm>
                    <a:prstGeom prst="rect"/>
                  </pic:spPr>
                </pic:pic>
              </a:graphicData>
            </a:graphic>
          </wp:inline>
        </w:drawing>
      </w:r>
    </w:p>
    <w:p>
      <w:pPr>
        <w:spacing w:before="0" w:after="600"/>
      </w:pPr>
    </w:p>
    <w:p>
      <w:pPr>
        <w:shd w:val="clear" w:color="auto" w:fill="1a5c38"/>
        <w:bidi w:val="1"/>
        <w:spacing w:before="320" w:after="320" w:line="312" w:lineRule="auto"/>
        <w:jc w:val="center"/>
      </w:pPr>
      <w:r>
        <w:rPr>
          <w:rFonts w:ascii="Tajawal" w:hAnsi="Tajawal" w:cs="Tajawal" w:eastAsia="Tajawal"/>
          <w:b/>
          <w:bCs w:val="1"/>
          <w:color w:val="FFFFFF"/>
          <w:sz w:val="40"/>
          <w:szCs w:val="40"/>
          <w:rtl w:val="1"/>
        </w:rPr>
        <w:t>تقرير المراجعة الشاملة (Red Team) لدليل منهجيتي المؤشرات والمشاريع</w:t>
      </w:r>
    </w:p>
    <w:p>
      <w:pPr>
        <w:bidi w:val="1"/>
        <w:spacing w:before="280" w:after="80"/>
        <w:jc w:val="center"/>
      </w:pPr>
      <w:r>
        <w:rPr>
          <w:rFonts w:ascii="Tajawal" w:hAnsi="Tajawal" w:cs="Tajawal" w:eastAsia="Tajawal"/>
          <w:color w:val="4A4A4A"/>
          <w:sz w:val="23"/>
          <w:szCs w:val="23"/>
          <w:rtl w:val="1"/>
        </w:rPr>
        <w:t>وثيقة مرافقة للنسخة المُعاد تصميمها من الدليل الإرشادي لتطبيق منهجيتي المؤشرات والمشاريع</w:t>
      </w:r>
    </w:p>
    <w:p>
      <w:pPr>
        <w:bidi w:val="1"/>
        <w:spacing w:before="0" w:after="80"/>
        <w:jc w:val="center"/>
      </w:pPr>
      <w:r>
        <w:rPr>
          <w:rFonts w:ascii="Tajawal" w:hAnsi="Tajawal" w:cs="Tajawal" w:eastAsia="Tajawal"/>
          <w:i/>
          <w:iCs w:val="1"/>
          <w:color w:val="9A9A94"/>
          <w:sz w:val="20"/>
          <w:szCs w:val="20"/>
          <w:rtl w:val="1"/>
        </w:rPr>
        <w:t>تشمل: مراجعة المحتوى والهيكل (Red Team) · مصفوفة مراجعة التكرار · سجل التعديلات الجوهرية · قائمة التحقق النهائية</w:t>
      </w:r>
    </w:p>
    <w:p>
      <w:pPr>
        <w:sectPr>
          <w:pgSz w:w="11906" w:h="16838"/>
          <w:pgMar w:top="1304" w:right="1247" w:bottom="1134" w:left="1247" w:header="624" w:footer="567" w:gutter="0"/>
          <w:cols w:space="720"/>
          <w:bidi/>
          <w:docGrid w:linePitch="360" w:type="lines"/>
        </w:sectPr>
      </w:pPr>
    </w:p>
    <w:p>
      <w:pPr>
        <w:pBdr>
          <w:bottom w:val="single" w:sz="10" w:space="6" w:color="c9a84c"/>
        </w:pBdr>
        <w:bidi w:val="1"/>
        <w:spacing w:before="0" w:after="240"/>
        <w:jc w:val="right"/>
      </w:pPr>
      <w:r>
        <w:rPr>
          <w:rFonts w:ascii="Tajawal" w:hAnsi="Tajawal" w:cs="Tajawal" w:eastAsia="Tajawal"/>
          <w:b/>
          <w:bCs w:val="1"/>
          <w:color w:val="1A5C38"/>
          <w:sz w:val="36"/>
          <w:szCs w:val="36"/>
          <w:rtl w:val="1"/>
        </w:rPr>
        <w:t>جدول المحتويات</w:t>
      </w:r>
    </w:p>
    <w:p>
      <w:r>
        <w:rPr>
          <w:rFonts w:ascii="Tajawal" w:hAnsi="Tajawal" w:cs="Tajawal" w:eastAsia="Tajawal"/>
          <w:color w:val="4A4A4A"/>
          <w:sz w:val="22"/>
          <w:szCs w:val="22"/>
          <w:rtl w:val="1"/>
        </w:rPr>
        <w:fldChar w:fldCharType="begin"/>
      </w:r>
      <w:r>
        <w:rPr>
          <w:rFonts w:ascii="Tajawal" w:hAnsi="Tajawal" w:cs="Tajawal" w:eastAsia="Tajawal"/>
          <w:color w:val="4A4A4A"/>
          <w:sz w:val="22"/>
          <w:szCs w:val="22"/>
          <w:rtl w:val="1"/>
        </w:rPr>
        <w:instrText xml:space="preserve">TOC \o "1-3" \h \z \u</w:instrText>
      </w:r>
      <w:r>
        <w:rPr>
          <w:rFonts w:ascii="Tajawal" w:hAnsi="Tajawal" w:cs="Tajawal" w:eastAsia="Tajawal"/>
          <w:color w:val="4A4A4A"/>
          <w:sz w:val="22"/>
          <w:szCs w:val="22"/>
          <w:rtl w:val="1"/>
        </w:rPr>
        <w:fldChar w:fldCharType="separate"/>
      </w:r>
      <w:r>
        <w:rPr>
          <w:rFonts w:ascii="Tajawal" w:hAnsi="Tajawal" w:cs="Tajawal" w:eastAsia="Tajawal"/>
          <w:color w:val="4A4A4A"/>
          <w:sz w:val="22"/>
          <w:szCs w:val="22"/>
          <w:rtl w:val="1"/>
        </w:rPr>
        <w:t>اضغط بزر اليمين ثم “تحديث الحقل” لعرض الفهرس</w:t>
      </w:r>
      <w:r>
        <w:rPr>
          <w:rFonts w:ascii="Tajawal" w:hAnsi="Tajawal" w:cs="Tajawal" w:eastAsia="Tajawal"/>
          <w:color w:val="4A4A4A"/>
          <w:sz w:val="22"/>
          <w:szCs w:val="22"/>
          <w:rtl w:val="1"/>
        </w:rPr>
        <w:fldChar w:fldCharType="end"/>
      </w:r>
    </w:p>
    <w:p>
      <w:r>
        <w:br w:type="page"/>
      </w:r>
    </w:p>
    <w:p>
      <w:pPr>
        <w:pStyle w:val="Heading1"/>
        <w:bidi w:val="1"/>
        <w:jc w:val="right"/>
      </w:pPr>
      <w:r>
        <w:rPr>
          <w:rFonts w:ascii="Tajawal" w:hAnsi="Tajawal" w:cs="Tajawal" w:eastAsia="Tajawal"/>
          <w:rtl w:val="1"/>
        </w:rPr>
        <w:t>أولًا: تقرير مراجعة المحتوى والهيكل (Red Team Review)</w:t>
      </w:r>
    </w:p>
    <w:p>
      <w:pPr>
        <w:bidi w:val="1"/>
        <w:spacing w:before="0" w:after="160" w:line="317" w:lineRule="auto"/>
        <w:jc w:val="right"/>
      </w:pPr>
      <w:r>
        <w:rPr>
          <w:rFonts w:ascii="Tajawal" w:hAnsi="Tajawal" w:cs="Tajawal" w:eastAsia="Tajawal"/>
          <w:b w:val="0"/>
          <w:bCs w:val="0"/>
          <w:color w:val="242424"/>
          <w:sz w:val="22"/>
          <w:szCs w:val="22"/>
          <w:rtl w:val="1"/>
        </w:rPr>
        <w:t>يقيّم هذا التقرير النسخة الأصلية للدليل من زاوية اكتشاف التكرار والفجوات والتعارضات والأجزاء التي تحتاج توضيحًا، قبل إعادة التصميم، تمهيدًا للقرارات الموثقة في مصفوفة التكرار وسجل التعديلات التاليين.</w:t>
      </w:r>
    </w:p>
    <w:p>
      <w:pPr>
        <w:pStyle w:val="Heading2"/>
        <w:bidi w:val="1"/>
        <w:jc w:val="right"/>
      </w:pPr>
      <w:r>
        <w:rPr>
          <w:rFonts w:ascii="Tajawal" w:hAnsi="Tajawal" w:cs="Tajawal" w:eastAsia="Tajawal"/>
          <w:rtl w:val="1"/>
        </w:rPr>
        <w:t>1. المحتوى</w:t>
      </w:r>
    </w:p>
    <w:p>
      <w:pPr>
        <w:keepLines w:val="1"/>
        <w:pBdr>
          <w:top w:val="single" w:sz="6" w:space="10" w:color="1a5c38"/>
          <w:left w:val="single" w:sz="6" w:space="10" w:color="1a5c38"/>
          <w:bottom w:val="single" w:sz="6" w:space="10" w:color="1a5c38"/>
          <w:right w:val="single" w:sz="6" w:space="10" w:color="1a5c38"/>
        </w:pBdr>
        <w:shd w:val="clear" w:color="auto" w:fill="eef3ee"/>
        <w:bidi w:val="1"/>
        <w:spacing w:before="240" w:after="40" w:line="312" w:lineRule="auto"/>
        <w:ind w:right="54000" w:left="54000"/>
        <w:jc w:val="right"/>
      </w:pPr>
      <w:r>
        <w:rPr>
          <w:rFonts w:ascii="Tajawal" w:hAnsi="Tajawal" w:cs="Tajawal" w:eastAsia="Tajawal"/>
          <w:b/>
          <w:bCs w:val="1"/>
          <w:color w:val="1A5C38"/>
          <w:sz w:val="22"/>
          <w:szCs w:val="22"/>
          <w:rtl w:val="1"/>
        </w:rPr>
        <w:t>ⓘ  تكرار وظيفي مقصود — سلسلة القيمة الاستراتيجية</w:t>
      </w:r>
    </w:p>
    <w:p>
      <w:pPr>
        <w:pBdr>
          <w:left w:val="single" w:sz="6" w:space="10" w:color="1a5c38"/>
          <w:bottom w:val="single" w:sz="6" w:space="10" w:color="1a5c38"/>
          <w:right w:val="single" w:sz="6" w:space="10" w:color="1a5c38"/>
        </w:pBdr>
        <w:shd w:val="clear" w:color="auto" w:fill="eef3ee"/>
        <w:bidi w:val="1"/>
        <w:spacing w:before="0" w:after="200" w:line="312" w:lineRule="auto"/>
        <w:ind w:right="54000" w:left="54000"/>
        <w:jc w:val="right"/>
      </w:pPr>
      <w:r>
        <w:rPr>
          <w:rFonts w:ascii="Tajawal" w:hAnsi="Tajawal" w:cs="Tajawal" w:eastAsia="Tajawal"/>
          <w:color w:val="242424"/>
          <w:sz w:val="21"/>
          <w:szCs w:val="21"/>
          <w:rtl w:val="1"/>
        </w:rPr>
        <w:t>تظهر سلسلة «التوجه الاستراتيجي ← الأهداف ← المؤشرات ← الفجوة ← التدخلات ← المخرجات ← المنفعة ← الأثر» بصيغ متقاربة في 6 مواضع عبر الدليل (مقدمة الدليل، إطار الاتساق الاستراتيجي مرتين، منهجية المؤشرات، منهجية المشاريع، ومساران مختصران ضمن قواعد الاتساق). هذا تكرار متعمّد لتثبيت «الخيط الذهبي» في مطلع كل فصل رئيسي وليس خطأً تحريريًا؛ القرار: الإبقاء عليه في كل موضع، مع توحيد شكله البصري في التصميم الجديد عبر عنصر «مسار تدفّق» واحد متكرر بدل عرضه كنص بأسهم في موضع وكقائمة مرقمة في آخر.</w:t>
      </w:r>
    </w:p>
    <w:p>
      <w:pPr>
        <w:keepLines w:val="1"/>
        <w:pBdr>
          <w:top w:val="single" w:sz="6" w:space="10" w:color="c9a84c"/>
          <w:left w:val="single" w:sz="6" w:space="10" w:color="c9a84c"/>
          <w:bottom w:val="single" w:sz="6" w:space="10" w:color="c9a84c"/>
          <w:right w:val="single" w:sz="6" w:space="10" w:color="c9a84c"/>
        </w:pBdr>
        <w:shd w:val="clear" w:color="auto" w:fill="faf3e2"/>
        <w:bidi w:val="1"/>
        <w:spacing w:before="240" w:after="40" w:line="312" w:lineRule="auto"/>
        <w:ind w:right="54000" w:left="54000"/>
        <w:jc w:val="right"/>
      </w:pPr>
      <w:r>
        <w:rPr>
          <w:rFonts w:ascii="Tajawal" w:hAnsi="Tajawal" w:cs="Tajawal" w:eastAsia="Tajawal"/>
          <w:b/>
          <w:bCs w:val="1"/>
          <w:color w:val="7A5C3A"/>
          <w:sz w:val="22"/>
          <w:szCs w:val="22"/>
          <w:rtl w:val="1"/>
        </w:rPr>
        <w:t>◆  تكرار حقيقي جزئي — تصنيف «دور المؤشر»</w:t>
      </w:r>
    </w:p>
    <w:p>
      <w:pPr>
        <w:pBdr>
          <w:left w:val="single" w:sz="6" w:space="10" w:color="c9a84c"/>
          <w:bottom w:val="single" w:sz="6" w:space="10" w:color="c9a84c"/>
          <w:right w:val="single" w:sz="6" w:space="10" w:color="c9a84c"/>
        </w:pBdr>
        <w:shd w:val="clear" w:color="auto" w:fill="faf3e2"/>
        <w:bidi w:val="1"/>
        <w:spacing w:before="0" w:after="200" w:line="312" w:lineRule="auto"/>
        <w:ind w:right="54000" w:left="54000"/>
        <w:jc w:val="right"/>
      </w:pPr>
      <w:r>
        <w:rPr>
          <w:rFonts w:ascii="Tajawal" w:hAnsi="Tajawal" w:cs="Tajawal" w:eastAsia="Tajawal"/>
          <w:color w:val="242424"/>
          <w:sz w:val="21"/>
          <w:szCs w:val="21"/>
          <w:rtl w:val="1"/>
        </w:rPr>
        <w:t>يعرض قسم «المرحلة الأولى: تحديد دور المؤشر» (ضمن «الجزء الأول») تصنيفًا رباعيًا (استراتيجي / تنفيذي / تشغيلي / داعم)، ثم تكرر «منهجية تحديد المؤشرات الاستراتيجية» (الفقرة 4: مستويات المؤشرات وأدوارها) التصنيف نفسه بجدول مواز يضيف عمود «الغرض من القياس». الأثر: يواجه القارئ الجدول نفسه مرتين خلال صفحات متتالية بصياغة مختلفة قليلًا دون توضيح العلاقة بينهما. القرار: اعتماد جدول «منهجية تحديد المؤشرات» (الأكثر تفصيلًا) كمرجع أساسي، والإبقاء على عرض «المرحلة الأولى» لأنه يخدم غرضًا إجرائيًا مختلفًا — خطوات «كيف نطبقه؟» العملية لتحديد الدور خطوة بخطوة — لا تتكرر لاحقًا.</w:t>
      </w:r>
    </w:p>
    <w:p>
      <w:pPr>
        <w:keepLines w:val="1"/>
        <w:pBdr>
          <w:top w:val="single" w:sz="6" w:space="10" w:color="1a5c38"/>
          <w:left w:val="single" w:sz="6" w:space="10" w:color="1a5c38"/>
          <w:bottom w:val="single" w:sz="6" w:space="10" w:color="1a5c38"/>
          <w:right w:val="single" w:sz="6" w:space="10" w:color="1a5c38"/>
        </w:pBdr>
        <w:shd w:val="clear" w:color="auto" w:fill="eef3ee"/>
        <w:bidi w:val="1"/>
        <w:spacing w:before="240" w:after="40" w:line="312" w:lineRule="auto"/>
        <w:ind w:right="54000" w:left="54000"/>
        <w:jc w:val="right"/>
      </w:pPr>
      <w:r>
        <w:rPr>
          <w:rFonts w:ascii="Tajawal" w:hAnsi="Tajawal" w:cs="Tajawal" w:eastAsia="Tajawal"/>
          <w:b/>
          <w:bCs w:val="1"/>
          <w:color w:val="1A5C38"/>
          <w:sz w:val="22"/>
          <w:szCs w:val="22"/>
          <w:rtl w:val="1"/>
        </w:rPr>
        <w:t>ⓘ  تكرار حرفي شبه تام لقاعدة جوهرية</w:t>
      </w:r>
    </w:p>
    <w:p>
      <w:pPr>
        <w:pBdr>
          <w:left w:val="single" w:sz="6" w:space="10" w:color="1a5c38"/>
          <w:bottom w:val="single" w:sz="6" w:space="10" w:color="1a5c38"/>
          <w:right w:val="single" w:sz="6" w:space="10" w:color="1a5c38"/>
        </w:pBdr>
        <w:shd w:val="clear" w:color="auto" w:fill="eef3ee"/>
        <w:bidi w:val="1"/>
        <w:spacing w:before="0" w:after="200" w:line="312" w:lineRule="auto"/>
        <w:ind w:right="54000" w:left="54000"/>
        <w:jc w:val="right"/>
      </w:pPr>
      <w:r>
        <w:rPr>
          <w:rFonts w:ascii="Tajawal" w:hAnsi="Tajawal" w:cs="Tajawal" w:eastAsia="Tajawal"/>
          <w:color w:val="242424"/>
          <w:sz w:val="21"/>
          <w:szCs w:val="21"/>
          <w:rtl w:val="1"/>
        </w:rPr>
        <w:t>جملة «المؤشر ليس هو المشروع، والمشروع ليس هو الوسيلة الوحيدة لتحريك المؤشر» ترد في «إطار الاتساق الاستراتيجي» (مطلع الدليل)، وتتكرر بصياغة شبه مطابقة (بفارق لفظي طفيف: حذف كلمة «هو») في فصل «علاقة المؤشر بالتدخلات والمشاريع». القرار: تكرار مقصود للتذكير عند نقطة قرار مختلفة → إبقاء في الموضعين؛ يوصى فقط بتوحيد الصياغة اللفظية الدقيقة بينهما مستقبلًا (انظر سجل التحسينات المقترحة في نهاية هذا القسم) دون المساس بجوهر القاعدة.</w:t>
      </w:r>
    </w:p>
    <w:p>
      <w:pPr>
        <w:keepLines w:val="1"/>
        <w:pBdr>
          <w:top w:val="single" w:sz="6" w:space="10" w:color="c9a84c"/>
          <w:left w:val="single" w:sz="6" w:space="10" w:color="c9a84c"/>
          <w:bottom w:val="single" w:sz="6" w:space="10" w:color="c9a84c"/>
          <w:right w:val="single" w:sz="6" w:space="10" w:color="c9a84c"/>
        </w:pBdr>
        <w:shd w:val="clear" w:color="auto" w:fill="faf3e2"/>
        <w:bidi w:val="1"/>
        <w:spacing w:before="240" w:after="40" w:line="312" w:lineRule="auto"/>
        <w:ind w:right="54000" w:left="54000"/>
        <w:jc w:val="right"/>
      </w:pPr>
      <w:r>
        <w:rPr>
          <w:rFonts w:ascii="Tajawal" w:hAnsi="Tajawal" w:cs="Tajawal" w:eastAsia="Tajawal"/>
          <w:b/>
          <w:bCs w:val="1"/>
          <w:color w:val="7A5C3A"/>
          <w:sz w:val="22"/>
          <w:szCs w:val="22"/>
          <w:rtl w:val="1"/>
        </w:rPr>
        <w:t>◆  تكامل وظيفي — أدوار الجهات مقابل الحوكمة العامة</w:t>
      </w:r>
    </w:p>
    <w:p>
      <w:pPr>
        <w:pBdr>
          <w:left w:val="single" w:sz="6" w:space="10" w:color="c9a84c"/>
          <w:bottom w:val="single" w:sz="6" w:space="10" w:color="c9a84c"/>
          <w:right w:val="single" w:sz="6" w:space="10" w:color="c9a84c"/>
        </w:pBdr>
        <w:shd w:val="clear" w:color="auto" w:fill="faf3e2"/>
        <w:bidi w:val="1"/>
        <w:spacing w:before="0" w:after="200" w:line="312" w:lineRule="auto"/>
        <w:ind w:right="54000" w:left="54000"/>
        <w:jc w:val="right"/>
      </w:pPr>
      <w:r>
        <w:rPr>
          <w:rFonts w:ascii="Tajawal" w:hAnsi="Tajawal" w:cs="Tajawal" w:eastAsia="Tajawal"/>
          <w:color w:val="242424"/>
          <w:sz w:val="21"/>
          <w:szCs w:val="21"/>
          <w:rtl w:val="1"/>
        </w:rPr>
        <w:t>يعرض فصل منهجية المؤشرات (أدوار الجهات في تطبيق المنهجية) أدوار «الجهة المالكة للمؤشر» و«مكتب إدارة الاستراتيجية» و«الجهات الفنية المختصة»، بينما يكرر فصل «التطبيق والحوكمة» (البند 7.6) تعريف أدوار مشابهة الاسم («الجهة المالكة»، «فريق الاستراتيجية في الجهة»، SMO) لكن بنطاق أوسع يغطي المؤشرات والمشاريع معًا، ويضيف دورًا رابعًا («الجهة المخولة باتخاذ القرار») غير مذكور في الموضع الأول. القرار: إبقاء مزدوج — كل قائمة تخدم نطاقًا مختلفًا (الأولى تفصيلية وخاصة بالمؤشرات فقط، وتضيف تفصيلًا عن «وحدة المؤشرات الدولية» غير مكرر في أي مكان آخر؛ الثانية عابرة للمنهجيتين). الدمج كان سيفقد هذا التفصيل.</w:t>
      </w:r>
    </w:p>
    <w:p>
      <w:pPr>
        <w:keepLines w:val="1"/>
        <w:pBdr>
          <w:top w:val="single" w:sz="6" w:space="10" w:color="a23b2e"/>
          <w:left w:val="single" w:sz="6" w:space="10" w:color="a23b2e"/>
          <w:bottom w:val="single" w:sz="6" w:space="10" w:color="a23b2e"/>
          <w:right w:val="single" w:sz="6" w:space="10" w:color="a23b2e"/>
        </w:pBdr>
        <w:shd w:val="clear" w:color="auto" w:fill="f7e9e6"/>
        <w:bidi w:val="1"/>
        <w:spacing w:before="240" w:after="40" w:line="312" w:lineRule="auto"/>
        <w:ind w:right="54000" w:left="54000"/>
        <w:jc w:val="right"/>
      </w:pPr>
      <w:r>
        <w:rPr>
          <w:rFonts w:ascii="Tajawal" w:hAnsi="Tajawal" w:cs="Tajawal" w:eastAsia="Tajawal"/>
          <w:b/>
          <w:bCs w:val="1"/>
          <w:color w:val="A23B2E"/>
          <w:sz w:val="22"/>
          <w:szCs w:val="22"/>
          <w:rtl w:val="1"/>
        </w:rPr>
        <w:t>⚑  فجوة نصية: عناصر «منطق البوابة» كانت حبيسة رسوم SmartArt</w:t>
      </w:r>
    </w:p>
    <w:p>
      <w:pPr>
        <w:pBdr>
          <w:left w:val="single" w:sz="6" w:space="10" w:color="a23b2e"/>
          <w:bottom w:val="single" w:sz="6" w:space="10" w:color="a23b2e"/>
          <w:right w:val="single" w:sz="6" w:space="10" w:color="a23b2e"/>
        </w:pBdr>
        <w:shd w:val="clear" w:color="auto" w:fill="f7e9e6"/>
        <w:bidi w:val="1"/>
        <w:spacing w:before="0" w:after="200" w:line="312" w:lineRule="auto"/>
        <w:ind w:right="54000" w:left="54000"/>
        <w:jc w:val="right"/>
      </w:pPr>
      <w:r>
        <w:rPr>
          <w:rFonts w:ascii="Tajawal" w:hAnsi="Tajawal" w:cs="Tajawal" w:eastAsia="Tajawal"/>
          <w:color w:val="242424"/>
          <w:sz w:val="21"/>
          <w:szCs w:val="21"/>
          <w:rtl w:val="1"/>
        </w:rPr>
        <w:t>عبارات «منطق البوابة» في البوابات الثلاث لتقييم المؤشرات (الأولى/الثانية/الثالثة) تشير إلى عناصر مترابطة («تنظر البوابة إلى أربعة عناصر مترابطة:») دون سرد نصي ظاهر في متن الوثيقة — العناصر كانت موجودة فقط داخل ثلاثة رسوم SmartArt مضمّنة في الملف الأصلي، وهي عناصر رسومية لا يلتقطها الاستخراج النصي المباشر ولا قارئ الشاشة. الإجراء المتخذ: استُخرج نص الرسوم الثلاثة يدويًا من بيانات XML الداخلية للرسوم (12 عنصرًا إجمالًا) وحُوّلت إلى بطاقات مفاهيمية نصية ظاهرة ومقروءة في متن كل بوابة بالنسخة الجديدة، دون تغيير في مضمونها.</w:t>
      </w:r>
    </w:p>
    <w:p>
      <w:pPr>
        <w:keepLines w:val="1"/>
        <w:pBdr>
          <w:top w:val="single" w:sz="6" w:space="10" w:color="1a5c38"/>
          <w:left w:val="single" w:sz="6" w:space="10" w:color="1a5c38"/>
          <w:bottom w:val="single" w:sz="6" w:space="10" w:color="1a5c38"/>
          <w:right w:val="single" w:sz="6" w:space="10" w:color="1a5c38"/>
        </w:pBdr>
        <w:shd w:val="clear" w:color="auto" w:fill="eef3ee"/>
        <w:bidi w:val="1"/>
        <w:spacing w:before="240" w:after="40" w:line="312" w:lineRule="auto"/>
        <w:ind w:right="54000" w:left="54000"/>
        <w:jc w:val="right"/>
      </w:pPr>
      <w:r>
        <w:rPr>
          <w:rFonts w:ascii="Tajawal" w:hAnsi="Tajawal" w:cs="Tajawal" w:eastAsia="Tajawal"/>
          <w:b/>
          <w:bCs w:val="1"/>
          <w:color w:val="1A5C38"/>
          <w:sz w:val="22"/>
          <w:szCs w:val="22"/>
          <w:rtl w:val="1"/>
        </w:rPr>
        <w:t>ⓘ  فجوة: لا يوجد مسار تصعيد مرسوم صراحة</w:t>
      </w:r>
    </w:p>
    <w:p>
      <w:pPr>
        <w:pBdr>
          <w:left w:val="single" w:sz="6" w:space="10" w:color="1a5c38"/>
          <w:bottom w:val="single" w:sz="6" w:space="10" w:color="1a5c38"/>
          <w:right w:val="single" w:sz="6" w:space="10" w:color="1a5c38"/>
        </w:pBdr>
        <w:shd w:val="clear" w:color="auto" w:fill="eef3ee"/>
        <w:bidi w:val="1"/>
        <w:spacing w:before="0" w:after="200" w:line="312" w:lineRule="auto"/>
        <w:ind w:right="54000" w:left="54000"/>
        <w:jc w:val="right"/>
      </w:pPr>
      <w:r>
        <w:rPr>
          <w:rFonts w:ascii="Tajawal" w:hAnsi="Tajawal" w:cs="Tajawal" w:eastAsia="Tajawal"/>
          <w:color w:val="242424"/>
          <w:sz w:val="21"/>
          <w:szCs w:val="21"/>
          <w:rtl w:val="1"/>
        </w:rPr>
        <w:t>الأدوار الأربعة (الجهة المالكة ← فريق الاستراتيجية في الجهة ← مكتب إدارة الاستراتيجية ← الجهة المخولة باتخاذ القرار للحالات الاستثنائية) موجودة نصيًا ومتسلسلة منطقيًا في فصل الحوكمة، لكن لا يوجد رسم موحّد يجسّد تسلسل التصعيد. — مقترح تطوير: أُضيف في النسخة الجديدة رسم «مسار التصعيد» بصريًا فقط، باستخدام الأدوار الأربعة الواردة أصلًا في النص دون إضافة أي حكم أو شرط أو مستوى تصعيد جديد لم يرد في المنهجية المعتمدة.</w:t>
      </w:r>
    </w:p>
    <w:p>
      <w:pPr>
        <w:keepLines w:val="1"/>
        <w:pBdr>
          <w:top w:val="single" w:sz="6" w:space="10" w:color="1a5c38"/>
          <w:left w:val="single" w:sz="6" w:space="10" w:color="1a5c38"/>
          <w:bottom w:val="single" w:sz="6" w:space="10" w:color="1a5c38"/>
          <w:right w:val="single" w:sz="6" w:space="10" w:color="1a5c38"/>
        </w:pBdr>
        <w:shd w:val="clear" w:color="auto" w:fill="eef3ee"/>
        <w:bidi w:val="1"/>
        <w:spacing w:before="240" w:after="40" w:line="312" w:lineRule="auto"/>
        <w:ind w:right="54000" w:left="54000"/>
        <w:jc w:val="right"/>
      </w:pPr>
      <w:r>
        <w:rPr>
          <w:rFonts w:ascii="Tajawal" w:hAnsi="Tajawal" w:cs="Tajawal" w:eastAsia="Tajawal"/>
          <w:b/>
          <w:bCs w:val="1"/>
          <w:color w:val="1A5C38"/>
          <w:sz w:val="22"/>
          <w:szCs w:val="22"/>
          <w:rtl w:val="1"/>
        </w:rPr>
        <w:t>ⓘ  لا تعارضات جوهرية في الأوزان أو المعادلات</w:t>
      </w:r>
    </w:p>
    <w:p>
      <w:pPr>
        <w:pBdr>
          <w:left w:val="single" w:sz="6" w:space="10" w:color="1a5c38"/>
          <w:bottom w:val="single" w:sz="6" w:space="10" w:color="1a5c38"/>
          <w:right w:val="single" w:sz="6" w:space="10" w:color="1a5c38"/>
        </w:pBdr>
        <w:shd w:val="clear" w:color="auto" w:fill="eef3ee"/>
        <w:bidi w:val="1"/>
        <w:spacing w:before="0" w:after="200" w:line="312" w:lineRule="auto"/>
        <w:ind w:right="54000" w:left="54000"/>
        <w:jc w:val="right"/>
      </w:pPr>
      <w:r>
        <w:rPr>
          <w:rFonts w:ascii="Tajawal" w:hAnsi="Tajawal" w:cs="Tajawal" w:eastAsia="Tajawal"/>
          <w:color w:val="242424"/>
          <w:sz w:val="21"/>
          <w:szCs w:val="21"/>
          <w:rtl w:val="1"/>
        </w:rPr>
        <w:t>رُوجعت جميع الأوزان (20% / 50% / 30% لبوابات المؤشرات، و45% / 25% / 18% / 2% / 20% لمجالات المشاريع، وأوزان المعايير C1–C9) وتحقق تطابقها بين كل ذكر لها عبر الدليل دون أي تعارض رقمي.</w:t>
      </w:r>
    </w:p>
    <w:p>
      <w:pPr>
        <w:pStyle w:val="Heading2"/>
        <w:bidi w:val="1"/>
        <w:jc w:val="right"/>
      </w:pPr>
      <w:r>
        <w:rPr>
          <w:rFonts w:ascii="Tajawal" w:hAnsi="Tajawal" w:cs="Tajawal" w:eastAsia="Tajawal"/>
          <w:rtl w:val="1"/>
        </w:rPr>
        <w:t>2. الهيكل</w:t>
      </w:r>
    </w:p>
    <w:p>
      <w:pPr>
        <w:keepLines w:val="1"/>
        <w:pBdr>
          <w:top w:val="single" w:sz="6" w:space="10" w:color="a23b2e"/>
          <w:left w:val="single" w:sz="6" w:space="10" w:color="a23b2e"/>
          <w:bottom w:val="single" w:sz="6" w:space="10" w:color="a23b2e"/>
          <w:right w:val="single" w:sz="6" w:space="10" w:color="a23b2e"/>
        </w:pBdr>
        <w:shd w:val="clear" w:color="auto" w:fill="f7e9e6"/>
        <w:bidi w:val="1"/>
        <w:spacing w:before="240" w:after="40" w:line="312" w:lineRule="auto"/>
        <w:ind w:right="54000" w:left="54000"/>
        <w:jc w:val="right"/>
      </w:pPr>
      <w:r>
        <w:rPr>
          <w:rFonts w:ascii="Tajawal" w:hAnsi="Tajawal" w:cs="Tajawal" w:eastAsia="Tajawal"/>
          <w:b/>
          <w:bCs w:val="1"/>
          <w:color w:val="A23B2E"/>
          <w:sz w:val="22"/>
          <w:szCs w:val="22"/>
          <w:rtl w:val="1"/>
        </w:rPr>
        <w:t>⚑  111 عنوانًا فارغًا استُخدمت كحيلة لفرض فواصل صفحات</w:t>
      </w:r>
    </w:p>
    <w:p>
      <w:pPr>
        <w:pBdr>
          <w:left w:val="single" w:sz="6" w:space="10" w:color="a23b2e"/>
          <w:bottom w:val="single" w:sz="6" w:space="10" w:color="a23b2e"/>
          <w:right w:val="single" w:sz="6" w:space="10" w:color="a23b2e"/>
        </w:pBdr>
        <w:shd w:val="clear" w:color="auto" w:fill="f7e9e6"/>
        <w:bidi w:val="1"/>
        <w:spacing w:before="0" w:after="200" w:line="312" w:lineRule="auto"/>
        <w:ind w:right="54000" w:left="54000"/>
        <w:jc w:val="right"/>
      </w:pPr>
      <w:r>
        <w:rPr>
          <w:rFonts w:ascii="Tajawal" w:hAnsi="Tajawal" w:cs="Tajawal" w:eastAsia="Tajawal"/>
          <w:color w:val="242424"/>
          <w:sz w:val="21"/>
          <w:szCs w:val="21"/>
          <w:rtl w:val="1"/>
        </w:rPr>
        <w:t>استخدم مُعِدّو الملف الأصلي أسلوب فقرات «Heading 1» فارغة متكررة (111 فقرة) كوسيلة غير مباشرة لدفع كل قسم رئيسي إلى صفحة جديدة، بدل أداة «فاصل صفحة» الصريحة في Word. لا يترتب على هذا فقدان أي محتوى (العناوين فارغة أصلًا)، لكنه كان يُنتج ضوضاء هيكلية لو استُخدم لبناء فهرس تلقائي حقيقي. الإجراء: حُذفت هذه العناوين الفارغة في النسخة الجديدة، واستُبدلت بفواصل صفحات وفواصل فصول تصميمية حقيقية.</w:t>
      </w:r>
    </w:p>
    <w:p>
      <w:pPr>
        <w:keepLines w:val="1"/>
        <w:pBdr>
          <w:top w:val="single" w:sz="6" w:space="10" w:color="a23b2e"/>
          <w:left w:val="single" w:sz="6" w:space="10" w:color="a23b2e"/>
          <w:bottom w:val="single" w:sz="6" w:space="10" w:color="a23b2e"/>
          <w:right w:val="single" w:sz="6" w:space="10" w:color="a23b2e"/>
        </w:pBdr>
        <w:shd w:val="clear" w:color="auto" w:fill="f7e9e6"/>
        <w:bidi w:val="1"/>
        <w:spacing w:before="240" w:after="40" w:line="312" w:lineRule="auto"/>
        <w:ind w:right="54000" w:left="54000"/>
        <w:jc w:val="right"/>
      </w:pPr>
      <w:r>
        <w:rPr>
          <w:rFonts w:ascii="Tajawal" w:hAnsi="Tajawal" w:cs="Tajawal" w:eastAsia="Tajawal"/>
          <w:b/>
          <w:bCs w:val="1"/>
          <w:color w:val="A23B2E"/>
          <w:sz w:val="22"/>
          <w:szCs w:val="22"/>
          <w:rtl w:val="1"/>
        </w:rPr>
        <w:t>⚑  عدم اتساق في مستويات 47 عنوانًا متوازية وظيفيًا</w:t>
      </w:r>
    </w:p>
    <w:p>
      <w:pPr>
        <w:pBdr>
          <w:left w:val="single" w:sz="6" w:space="10" w:color="a23b2e"/>
          <w:bottom w:val="single" w:sz="6" w:space="10" w:color="a23b2e"/>
          <w:right w:val="single" w:sz="6" w:space="10" w:color="a23b2e"/>
        </w:pBdr>
        <w:shd w:val="clear" w:color="auto" w:fill="f7e9e6"/>
        <w:bidi w:val="1"/>
        <w:spacing w:before="0" w:after="200" w:line="312" w:lineRule="auto"/>
        <w:ind w:right="54000" w:left="54000"/>
        <w:jc w:val="right"/>
      </w:pPr>
      <w:r>
        <w:rPr>
          <w:rFonts w:ascii="Tajawal" w:hAnsi="Tajawal" w:cs="Tajawal" w:eastAsia="Tajawal"/>
          <w:color w:val="242424"/>
          <w:sz w:val="21"/>
          <w:szCs w:val="21"/>
          <w:rtl w:val="1"/>
        </w:rPr>
        <w:t>من أبرز الحالات: «البوابة الأولى» لتقييم المؤشرات وُسمت بالمستوى الثاني (H2) بينما «البوابة الثانية» و«البوابة الثالثة» وُسمتا بالمستوى الأول (H1) رغم تساويها البنيوي التام؛ وبالمثل «المجال الأول» و«المجال الثاني» لتقييم أولوية المشاريع وُسما بالمستوى الثالث بينما «المجال الثالث/الرابع/الخامس» وُسمت بالمستوى الأول؛ ومعايير C1–C9 التسعة وُسمت جميعها بالمستوى الثاني رغم كونها تابعة لمجالات أعلى منها في التسلسل. الإجراء: صُحِّح مستوى 47 عنوانًا لضمان تسلسل هرمي متسق (فصل ← مجال/بوابة ← معيار ← تفصيل) يخدم فهرسًا تلقائيًا سليمًا، دون أي تغيير في نص أي عنوان.</w:t>
      </w:r>
    </w:p>
    <w:p>
      <w:pPr>
        <w:keepLines w:val="1"/>
        <w:pBdr>
          <w:top w:val="single" w:sz="6" w:space="10" w:color="a23b2e"/>
          <w:left w:val="single" w:sz="6" w:space="10" w:color="a23b2e"/>
          <w:bottom w:val="single" w:sz="6" w:space="10" w:color="a23b2e"/>
          <w:right w:val="single" w:sz="6" w:space="10" w:color="a23b2e"/>
        </w:pBdr>
        <w:shd w:val="clear" w:color="auto" w:fill="f7e9e6"/>
        <w:bidi w:val="1"/>
        <w:spacing w:before="240" w:after="40" w:line="312" w:lineRule="auto"/>
        <w:ind w:right="54000" w:left="54000"/>
        <w:jc w:val="right"/>
      </w:pPr>
      <w:r>
        <w:rPr>
          <w:rFonts w:ascii="Tajawal" w:hAnsi="Tajawal" w:cs="Tajawal" w:eastAsia="Tajawal"/>
          <w:b/>
          <w:bCs w:val="1"/>
          <w:color w:val="A23B2E"/>
          <w:sz w:val="22"/>
          <w:szCs w:val="22"/>
          <w:rtl w:val="1"/>
        </w:rPr>
        <w:t>⚑  فهرس ثابت لم يعد يعكس عناوين المتن الفعلية</w:t>
      </w:r>
    </w:p>
    <w:p>
      <w:pPr>
        <w:pBdr>
          <w:left w:val="single" w:sz="6" w:space="10" w:color="a23b2e"/>
          <w:bottom w:val="single" w:sz="6" w:space="10" w:color="a23b2e"/>
          <w:right w:val="single" w:sz="6" w:space="10" w:color="a23b2e"/>
        </w:pBdr>
        <w:shd w:val="clear" w:color="auto" w:fill="f7e9e6"/>
        <w:bidi w:val="1"/>
        <w:spacing w:before="0" w:after="200" w:line="312" w:lineRule="auto"/>
        <w:ind w:right="54000" w:left="54000"/>
        <w:jc w:val="right"/>
      </w:pPr>
      <w:r>
        <w:rPr>
          <w:rFonts w:ascii="Tajawal" w:hAnsi="Tajawal" w:cs="Tajawal" w:eastAsia="Tajawal"/>
          <w:color w:val="242424"/>
          <w:sz w:val="21"/>
          <w:szCs w:val="21"/>
          <w:rtl w:val="1"/>
        </w:rPr>
        <w:t>الفهرس الأصلي في مطلع الملف لا يتضمن عنوان «الإطار العام للمنهجيات» الموجود فعليًا في المتن، ما يدل على أنه لم يُحدَّث بعد آخر تعديل جوهري على بنية العناوين. الإجراء: استُبدل بحقل فهرس Word تلقائي حقيقي (TOC Field) يُبنى من عناوين المتن الفعلية ويتحدّث تلقائيًا.</w:t>
      </w:r>
    </w:p>
    <w:p>
      <w:pPr>
        <w:keepLines w:val="1"/>
        <w:pBdr>
          <w:top w:val="single" w:sz="6" w:space="10" w:color="1a5c38"/>
          <w:left w:val="single" w:sz="6" w:space="10" w:color="1a5c38"/>
          <w:bottom w:val="single" w:sz="6" w:space="10" w:color="1a5c38"/>
          <w:right w:val="single" w:sz="6" w:space="10" w:color="1a5c38"/>
        </w:pBdr>
        <w:shd w:val="clear" w:color="auto" w:fill="eef3ee"/>
        <w:bidi w:val="1"/>
        <w:spacing w:before="240" w:after="40" w:line="312" w:lineRule="auto"/>
        <w:ind w:right="54000" w:left="54000"/>
        <w:jc w:val="right"/>
      </w:pPr>
      <w:r>
        <w:rPr>
          <w:rFonts w:ascii="Tajawal" w:hAnsi="Tajawal" w:cs="Tajawal" w:eastAsia="Tajawal"/>
          <w:b/>
          <w:bCs w:val="1"/>
          <w:color w:val="1A5C38"/>
          <w:sz w:val="22"/>
          <w:szCs w:val="22"/>
          <w:rtl w:val="1"/>
        </w:rPr>
        <w:t>ⓘ  تسلسل الفصول العام يخدم المنطق المطلوب دون إعادة ترتيب</w:t>
      </w:r>
    </w:p>
    <w:p>
      <w:pPr>
        <w:pBdr>
          <w:left w:val="single" w:sz="6" w:space="10" w:color="1a5c38"/>
          <w:bottom w:val="single" w:sz="6" w:space="10" w:color="1a5c38"/>
          <w:right w:val="single" w:sz="6" w:space="10" w:color="1a5c38"/>
        </w:pBdr>
        <w:shd w:val="clear" w:color="auto" w:fill="eef3ee"/>
        <w:bidi w:val="1"/>
        <w:spacing w:before="0" w:after="200" w:line="312" w:lineRule="auto"/>
        <w:ind w:right="54000" w:left="54000"/>
        <w:jc w:val="right"/>
      </w:pPr>
      <w:r>
        <w:rPr>
          <w:rFonts w:ascii="Tajawal" w:hAnsi="Tajawal" w:cs="Tajawal" w:eastAsia="Tajawal"/>
          <w:color w:val="242424"/>
          <w:sz w:val="21"/>
          <w:szCs w:val="21"/>
          <w:rtl w:val="1"/>
        </w:rPr>
        <w:t>التسلسل الحالي — مقدمة عامة ← إطار الاتساق الاستراتيجي (طبقة حاكمة) ← دليل قراءة المنهجيات ← منهجية المؤشرات ← منهجية المشاريع ← التطبيق والحوكمة والحالات الخاصة — يخدم منطقيًا التسلسل المطلوب (عام ← حوكمة/قواعد ← منهجيات ← تطبيق/أدوات ← متابعة)، إذ تتضمن كل منهجية تفصيلية فقرة «موقع المنهجية ضمن دورة الاستراتيجية» الخاصة بها. غير أن الفصل الأخير يجمع ثلاث وظائف متمايزة (الحوكمة والأدوار / الأدوات التشغيلية والملاحق / المتابعة وإعادة التقييم والتصعيد) دون فواصل بصرية بارزة بينها. القرار: لم يُعَد ترتيب أي فقرة فعليًا تفاديًا لتفكيك محتوى مترابط، واكتُفي بعناوين فرعية أوضح وفواصل تصميمية تُبرز الوظائف الثلاث ضمن الفصل نفسه.</w:t>
      </w:r>
    </w:p>
    <w:p>
      <w:pPr>
        <w:pStyle w:val="Heading2"/>
        <w:bidi w:val="1"/>
        <w:jc w:val="right"/>
      </w:pPr>
      <w:r>
        <w:rPr>
          <w:rFonts w:ascii="Tajawal" w:hAnsi="Tajawal" w:cs="Tajawal" w:eastAsia="Tajawal"/>
          <w:rtl w:val="1"/>
        </w:rPr>
        <w:t>3. الحدود بين الدليل والمنهجيات</w:t>
      </w:r>
    </w:p>
    <w:p>
      <w:pPr>
        <w:bidi w:val="1"/>
        <w:spacing w:before="0" w:after="160" w:line="317" w:lineRule="auto"/>
        <w:jc w:val="right"/>
      </w:pPr>
      <w:r>
        <w:rPr>
          <w:rFonts w:ascii="Tajawal" w:hAnsi="Tajawal" w:cs="Tajawal" w:eastAsia="Tajawal"/>
          <w:b w:val="0"/>
          <w:bCs w:val="0"/>
          <w:color w:val="242424"/>
          <w:sz w:val="22"/>
          <w:szCs w:val="22"/>
          <w:rtl w:val="1"/>
        </w:rPr>
        <w:t>واضحة إلى حد جيد في النسخة الأصلية: كل منهجية تفصيلية (المؤشرات / المشاريع) مستقلة بفصلها الخاص، والفصل الختامي (التطبيق والحوكمة) يتعامل حصرًا مع قواعد التطبيق والحوكمة والحالات الخاصة دون إعادة شرح آليات التقييم نفسها، بل يحيل إليها صراحة («يُرجع في التقييم التفصيلي إلى المنهجية الخاصة بكل مجال»). لم يُرصد أي موضع يشرح فيه الدليل تفاصيل منهجية بأكثر مما يلزم، ولا العكس.</w:t>
      </w:r>
    </w:p>
    <w:p>
      <w:pPr>
        <w:pStyle w:val="Heading2"/>
        <w:bidi w:val="1"/>
        <w:jc w:val="right"/>
      </w:pPr>
      <w:r>
        <w:rPr>
          <w:rFonts w:ascii="Tajawal" w:hAnsi="Tajawal" w:cs="Tajawal" w:eastAsia="Tajawal"/>
          <w:rtl w:val="1"/>
        </w:rPr>
        <w:t>4. أجزاء تحتاج توضيحًا (دون تعديلها)</w:t>
      </w:r>
    </w:p>
    <w:p>
      <w:pPr>
        <w:keepLines w:val="1"/>
        <w:pBdr>
          <w:top w:val="single" w:sz="6" w:space="10" w:color="1a5c38"/>
          <w:left w:val="single" w:sz="6" w:space="10" w:color="1a5c38"/>
          <w:bottom w:val="single" w:sz="6" w:space="10" w:color="1a5c38"/>
          <w:right w:val="single" w:sz="6" w:space="10" w:color="1a5c38"/>
        </w:pBdr>
        <w:shd w:val="clear" w:color="auto" w:fill="eef3ee"/>
        <w:bidi w:val="1"/>
        <w:spacing w:before="240" w:after="40" w:line="312" w:lineRule="auto"/>
        <w:ind w:right="54000" w:left="54000"/>
        <w:jc w:val="right"/>
      </w:pPr>
      <w:r>
        <w:rPr>
          <w:rFonts w:ascii="Tajawal" w:hAnsi="Tajawal" w:cs="Tajawal" w:eastAsia="Tajawal"/>
          <w:b/>
          <w:bCs w:val="1"/>
          <w:color w:val="1A5C38"/>
          <w:sz w:val="22"/>
          <w:szCs w:val="22"/>
          <w:rtl w:val="1"/>
        </w:rPr>
        <w:t>ⓘ  إشارة ضمنية إلى «مرحلة ثانية» غير معنونة صراحة</w:t>
      </w:r>
    </w:p>
    <w:p>
      <w:pPr>
        <w:pBdr>
          <w:left w:val="single" w:sz="6" w:space="10" w:color="1a5c38"/>
          <w:bottom w:val="single" w:sz="6" w:space="10" w:color="1a5c38"/>
          <w:right w:val="single" w:sz="6" w:space="10" w:color="1a5c38"/>
        </w:pBdr>
        <w:shd w:val="clear" w:color="auto" w:fill="eef3ee"/>
        <w:bidi w:val="1"/>
        <w:spacing w:before="0" w:after="200" w:line="312" w:lineRule="auto"/>
        <w:ind w:right="54000" w:left="54000"/>
        <w:jc w:val="right"/>
      </w:pPr>
      <w:r>
        <w:rPr>
          <w:rFonts w:ascii="Tajawal" w:hAnsi="Tajawal" w:cs="Tajawal" w:eastAsia="Tajawal"/>
          <w:color w:val="242424"/>
          <w:sz w:val="21"/>
          <w:szCs w:val="21"/>
          <w:rtl w:val="1"/>
        </w:rPr>
        <w:t>يذكر قسم «المرحلة الأولى: تحديد دور المؤشر» رقمه صراحة، لكن لا يوجد لاحقًا قسم بعنوان «المرحلة الثانية» — يبدو أن منهجية «تحديد المؤشرات الاستراتيجية» بأكملها تمثل عمليًا هذه المرحلة الثانية، دون أن يُذكر ذلك صراحة في النص الأصلي. لم يُعدَّل النص، واكتُفي في النسخة الجديدة بوضع الفصلين في تسلسل متجاور واضح.</w:t>
      </w:r>
    </w:p>
    <w:p>
      <w:r>
        <w:br w:type="page"/>
      </w:r>
    </w:p>
    <w:p>
      <w:pPr>
        <w:pStyle w:val="Heading1"/>
        <w:bidi w:val="1"/>
        <w:jc w:val="right"/>
      </w:pPr>
      <w:r>
        <w:rPr>
          <w:rFonts w:ascii="Tajawal" w:hAnsi="Tajawal" w:cs="Tajawal" w:eastAsia="Tajawal"/>
          <w:rtl w:val="1"/>
        </w:rPr>
        <w:t>ثانيًا: مصفوفة مراجعة التكرار</w:t>
      </w:r>
    </w:p>
    <w:p>
      <w:pPr>
        <w:bidi w:val="1"/>
        <w:spacing w:before="0" w:after="160" w:line="317" w:lineRule="auto"/>
        <w:jc w:val="right"/>
      </w:pPr>
      <w:r>
        <w:rPr>
          <w:rFonts w:ascii="Tajawal" w:hAnsi="Tajawal" w:cs="Tajawal" w:eastAsia="Tajawal"/>
          <w:b w:val="0"/>
          <w:bCs w:val="0"/>
          <w:color w:val="242424"/>
          <w:sz w:val="22"/>
          <w:szCs w:val="22"/>
          <w:rtl w:val="1"/>
        </w:rPr>
        <w:t>توثّق هذه المصفوفة كل حالة تكرار حقيقي أو وظيفي رُصدت أثناء المراجعة، والقرار المتخذ بشأن كل حالة قبل أي تعديل على الملف.</w:t>
      </w:r>
    </w:p>
    <w:tbl>
      <w:tblPr>
        <w:bidiVisual/>
        <w:tblW w:type="dxa" w:w="8787"/>
        <w:jc w:val="center"/>
        <w:tblLayout w:type="fixed"/>
        <w:tblLook w:firstColumn="1" w:firstRow="1" w:lastColumn="0" w:lastRow="0" w:noHBand="0" w:noVBand="1" w:val="04A0"/>
      </w:tblPr>
      <w:tblGrid>
        <w:gridCol w:w="2041"/>
        <w:gridCol w:w="1701"/>
        <w:gridCol w:w="1701"/>
        <w:gridCol w:w="1587"/>
        <w:gridCol w:w="1757"/>
      </w:tblGrid>
      <w:tr>
        <w:tc>
          <w:tcPr>
            <w:tcW w:type="dxa" w:w="2041"/>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المحتوى</w:t>
            </w:r>
          </w:p>
        </w:tc>
        <w:tc>
          <w:tcPr>
            <w:tcW w:type="dxa" w:w="1701"/>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الموقع الأول</w:t>
            </w:r>
          </w:p>
        </w:tc>
        <w:tc>
          <w:tcPr>
            <w:tcW w:type="dxa" w:w="1701"/>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الموقع الثاني</w:t>
            </w:r>
          </w:p>
        </w:tc>
        <w:tc>
          <w:tcPr>
            <w:tcW w:type="dxa" w:w="1587"/>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نوع العلاقة</w:t>
            </w:r>
          </w:p>
        </w:tc>
        <w:tc>
          <w:tcPr>
            <w:tcW w:type="dxa" w:w="1757"/>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القرار</w:t>
            </w:r>
          </w:p>
        </w:tc>
      </w:tr>
      <w:tr>
        <w:tc>
          <w:tcPr>
            <w:tcW w:type="dxa" w:w="204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سلسلة «التوجه الاستراتيجي ← … ← الأثر»</w:t>
            </w:r>
          </w:p>
        </w:tc>
        <w:tc>
          <w:tcPr>
            <w:tcW w:type="dxa" w:w="170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مقدمة الدليل / إطار الاتساق (3 مواضع)</w:t>
            </w:r>
          </w:p>
        </w:tc>
        <w:tc>
          <w:tcPr>
            <w:tcW w:type="dxa" w:w="170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منهجية المؤشرات / منهجية المشاريع</w:t>
            </w:r>
          </w:p>
        </w:tc>
        <w:tc>
          <w:tcPr>
            <w:tcW w:type="dxa" w:w="158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تكرار وظيفي مقصود للربط والتوجيه</w:t>
            </w:r>
          </w:p>
        </w:tc>
        <w:tc>
          <w:tcPr>
            <w:tcW w:type="dxa" w:w="175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إبقاء + توحيد الشكل البصري (مسار تدفّق موحّد)</w:t>
            </w:r>
          </w:p>
        </w:tc>
      </w:tr>
      <w:tr>
        <w:tc>
          <w:tcPr>
            <w:tcW w:type="dxa" w:w="204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جدول تصنيف دور المؤشر (استراتيجي/تنفيذي/تشغيلي/داعم)</w:t>
            </w:r>
          </w:p>
        </w:tc>
        <w:tc>
          <w:tcPr>
            <w:tcW w:type="dxa" w:w="170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المرحلة الأولى: تحديد دور المؤشر</w:t>
            </w:r>
          </w:p>
        </w:tc>
        <w:tc>
          <w:tcPr>
            <w:tcW w:type="dxa" w:w="170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منهجية تحديد المؤشرات — مستويات المؤشرات وأدوارها</w:t>
            </w:r>
          </w:p>
        </w:tc>
        <w:tc>
          <w:tcPr>
            <w:tcW w:type="dxa" w:w="158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تكرار حقيقي جزئي</w:t>
            </w:r>
          </w:p>
        </w:tc>
        <w:tc>
          <w:tcPr>
            <w:tcW w:type="dxa" w:w="175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دمج مرجعي: اعتماد الجدول الأكثر تفصيلًا، إبقاء الإجراء التطبيقي في الموضع الأول</w:t>
            </w:r>
          </w:p>
        </w:tc>
      </w:tr>
      <w:tr>
        <w:tc>
          <w:tcPr>
            <w:tcW w:type="dxa" w:w="204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«المؤشر ليس هو المشروع…»</w:t>
            </w:r>
          </w:p>
        </w:tc>
        <w:tc>
          <w:tcPr>
            <w:tcW w:type="dxa" w:w="170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إطار الاتساق الاستراتيجي</w:t>
            </w:r>
          </w:p>
        </w:tc>
        <w:tc>
          <w:tcPr>
            <w:tcW w:type="dxa" w:w="170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علاقة المؤشر بالتدخلات والمشاريع</w:t>
            </w:r>
          </w:p>
        </w:tc>
        <w:tc>
          <w:tcPr>
            <w:tcW w:type="dxa" w:w="158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تكرار حرفي شبه تام (تذكير مقصود)</w:t>
            </w:r>
          </w:p>
        </w:tc>
        <w:tc>
          <w:tcPr>
            <w:tcW w:type="dxa" w:w="175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إبقاء في الموضعين + توصية بتوحيد الصياغة اللفظية</w:t>
            </w:r>
          </w:p>
        </w:tc>
      </w:tr>
      <w:tr>
        <w:tc>
          <w:tcPr>
            <w:tcW w:type="dxa" w:w="204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أدوار الجهة المالكة ومكتب إدارة الاستراتيجية</w:t>
            </w:r>
          </w:p>
        </w:tc>
        <w:tc>
          <w:tcPr>
            <w:tcW w:type="dxa" w:w="170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أدوار الجهات في تطبيق المنهجية (فصل المؤشرات)</w:t>
            </w:r>
          </w:p>
        </w:tc>
        <w:tc>
          <w:tcPr>
            <w:tcW w:type="dxa" w:w="170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7.6 الحوكمة والأدوار (فصل التطبيق)</w:t>
            </w:r>
          </w:p>
        </w:tc>
        <w:tc>
          <w:tcPr>
            <w:tcW w:type="dxa" w:w="158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تكامل وظيفي (نطاقان مختلفان)</w:t>
            </w:r>
          </w:p>
        </w:tc>
        <w:tc>
          <w:tcPr>
            <w:tcW w:type="dxa" w:w="175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إبقاء مزدوج مع توضيح اختلاف النطاق</w:t>
            </w:r>
          </w:p>
        </w:tc>
      </w:tr>
      <w:tr>
        <w:tc>
          <w:tcPr>
            <w:tcW w:type="dxa" w:w="204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«القاعدة: الربط لا يعني الاتساق» / خلاصتها اللاحقة</w:t>
            </w:r>
          </w:p>
        </w:tc>
        <w:tc>
          <w:tcPr>
            <w:tcW w:type="dxa" w:w="170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مطلع فصل إطار الاتساق</w:t>
            </w:r>
          </w:p>
        </w:tc>
        <w:tc>
          <w:tcPr>
            <w:tcW w:type="dxa" w:w="1701"/>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نهاية الفصل بعد الحالات التطبيقية (كخلاصة)</w:t>
            </w:r>
          </w:p>
        </w:tc>
        <w:tc>
          <w:tcPr>
            <w:tcW w:type="dxa" w:w="158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تكرار وظيفي (تقديم ثم خلاصة)</w:t>
            </w:r>
          </w:p>
        </w:tc>
        <w:tc>
          <w:tcPr>
            <w:tcW w:type="dxa" w:w="175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إبقاء دون تعديل</w:t>
            </w:r>
          </w:p>
        </w:tc>
      </w:tr>
      <w:tr>
        <w:tc>
          <w:tcPr>
            <w:tcW w:type="dxa" w:w="204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تصنيف نتيجة الاتساق A/B/C/D</w:t>
            </w:r>
          </w:p>
        </w:tc>
        <w:tc>
          <w:tcPr>
            <w:tcW w:type="dxa" w:w="170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إطار الاتساق الاستراتيجي (موضع واحد)</w:t>
            </w:r>
          </w:p>
        </w:tc>
        <w:tc>
          <w:tcPr>
            <w:tcW w:type="dxa" w:w="1701"/>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w:t>
            </w:r>
          </w:p>
        </w:tc>
        <w:tc>
          <w:tcPr>
            <w:tcW w:type="dxa" w:w="158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لا يوجد تكرار فعلي</w:t>
            </w:r>
          </w:p>
        </w:tc>
        <w:tc>
          <w:tcPr>
            <w:tcW w:type="dxa" w:w="175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إبقاء كما هو؛ أُدرج للتنويه فقط</w:t>
            </w:r>
          </w:p>
        </w:tc>
      </w:tr>
    </w:tbl>
    <w:p>
      <w:pPr>
        <w:spacing w:before="0" w:after="80"/>
      </w:pPr>
    </w:p>
    <w:p>
      <w:r>
        <w:br w:type="page"/>
      </w:r>
    </w:p>
    <w:p>
      <w:pPr>
        <w:pStyle w:val="Heading1"/>
        <w:bidi w:val="1"/>
        <w:jc w:val="right"/>
      </w:pPr>
      <w:r>
        <w:rPr>
          <w:rFonts w:ascii="Tajawal" w:hAnsi="Tajawal" w:cs="Tajawal" w:eastAsia="Tajawal"/>
          <w:rtl w:val="1"/>
        </w:rPr>
        <w:t>ثالثًا: سجل التعديلات الجوهرية</w:t>
      </w:r>
    </w:p>
    <w:p>
      <w:pPr>
        <w:bidi w:val="1"/>
        <w:spacing w:before="0" w:after="160" w:line="317" w:lineRule="auto"/>
        <w:jc w:val="right"/>
      </w:pPr>
      <w:r>
        <w:rPr>
          <w:rFonts w:ascii="Tajawal" w:hAnsi="Tajawal" w:cs="Tajawal" w:eastAsia="Tajawal"/>
          <w:b w:val="0"/>
          <w:bCs w:val="0"/>
          <w:color w:val="242424"/>
          <w:sz w:val="22"/>
          <w:szCs w:val="22"/>
          <w:rtl w:val="1"/>
        </w:rPr>
        <w:t>كل تعديل أثّر في العرض الهيكلي أو التصنيفي للمحتوى (وليس في نص المحتوى نفسه) مسجَّل هنا مع سببه. النص الأصلي لكل فقرة وجدول ظل كما هو حرفيًا في جميع الحالات، ما لم يُذكر خلاف ذلك صراحة.</w:t>
      </w:r>
    </w:p>
    <w:tbl>
      <w:tblPr>
        <w:bidiVisual/>
        <w:tblW w:type="dxa" w:w="8787"/>
        <w:jc w:val="center"/>
        <w:tblLayout w:type="fixed"/>
        <w:tblLook w:firstColumn="1" w:firstRow="1" w:lastColumn="0" w:lastRow="0" w:noHBand="0" w:noVBand="1" w:val="04A0"/>
      </w:tblPr>
      <w:tblGrid>
        <w:gridCol w:w="397"/>
        <w:gridCol w:w="2438"/>
        <w:gridCol w:w="1474"/>
        <w:gridCol w:w="2835"/>
        <w:gridCol w:w="1644"/>
      </w:tblGrid>
      <w:tr>
        <w:tc>
          <w:tcPr>
            <w:tcW w:type="dxa" w:w="397"/>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w:t>
            </w:r>
          </w:p>
        </w:tc>
        <w:tc>
          <w:tcPr>
            <w:tcW w:type="dxa" w:w="2438"/>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التعديل</w:t>
            </w:r>
          </w:p>
        </w:tc>
        <w:tc>
          <w:tcPr>
            <w:tcW w:type="dxa" w:w="147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الموضع</w:t>
            </w:r>
          </w:p>
        </w:tc>
        <w:tc>
          <w:tcPr>
            <w:tcW w:type="dxa" w:w="2835"/>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السبب / المبرر</w:t>
            </w:r>
          </w:p>
        </w:tc>
        <w:tc>
          <w:tcPr>
            <w:tcW w:type="dxa" w:w="164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نوع التعديل</w:t>
            </w:r>
          </w:p>
        </w:tc>
      </w:tr>
      <w:tr>
        <w:tc>
          <w:tcPr>
            <w:tcW w:type="dxa" w:w="39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1</w:t>
            </w:r>
          </w:p>
        </w:tc>
        <w:tc>
          <w:tcPr>
            <w:tcW w:type="dxa" w:w="2438"/>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تصحيح مستوى 47 عنوانًا (البوابات، المجالات، المعايير C1–C9)</w:t>
            </w:r>
          </w:p>
        </w:tc>
        <w:tc>
          <w:tcPr>
            <w:tcW w:type="dxa" w:w="147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منهجيتا المؤشرات والمشاريع</w:t>
            </w:r>
          </w:p>
        </w:tc>
        <w:tc>
          <w:tcPr>
            <w:tcW w:type="dxa" w:w="283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عدم اتساق أصلي في مستويات عناوين متوازية وظيفيًا؛ ضروري لفهرس تلقائي سليم</w:t>
            </w:r>
          </w:p>
        </w:tc>
        <w:tc>
          <w:tcPr>
            <w:tcW w:type="dxa" w:w="164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هيكلي (مستوى عنوان فقط)</w:t>
            </w:r>
          </w:p>
        </w:tc>
      </w:tr>
      <w:tr>
        <w:tc>
          <w:tcPr>
            <w:tcW w:type="dxa" w:w="39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2</w:t>
            </w:r>
          </w:p>
        </w:tc>
        <w:tc>
          <w:tcPr>
            <w:tcW w:type="dxa" w:w="2438"/>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حذف 111 عنوان Heading-1 فارغًا كانت تُستخدم لفرض فواصل صفحات</w:t>
            </w:r>
          </w:p>
        </w:tc>
        <w:tc>
          <w:tcPr>
            <w:tcW w:type="dxa" w:w="147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عبر الدليل بالكامل</w:t>
            </w:r>
          </w:p>
        </w:tc>
        <w:tc>
          <w:tcPr>
            <w:tcW w:type="dxa" w:w="2835"/>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حيلة تنسيقية غير سليمة، استُبدلت بفواصل صفحات/فصول حقيقية</w:t>
            </w:r>
          </w:p>
        </w:tc>
        <w:tc>
          <w:tcPr>
            <w:tcW w:type="dxa" w:w="164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تنسيقي (لا فقد محتوى؛ العناوين فارغة أصلًا)</w:t>
            </w:r>
          </w:p>
        </w:tc>
      </w:tr>
      <w:tr>
        <w:tc>
          <w:tcPr>
            <w:tcW w:type="dxa" w:w="39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3</w:t>
            </w:r>
          </w:p>
        </w:tc>
        <w:tc>
          <w:tcPr>
            <w:tcW w:type="dxa" w:w="2438"/>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استبدال الفهرس اليدوي الثابت بحقل فهرس Word تلقائي</w:t>
            </w:r>
          </w:p>
        </w:tc>
        <w:tc>
          <w:tcPr>
            <w:tcW w:type="dxa" w:w="147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مطلع الدليل</w:t>
            </w:r>
          </w:p>
        </w:tc>
        <w:tc>
          <w:tcPr>
            <w:tcW w:type="dxa" w:w="283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الفهرس الأصلي لم يعد يعكس كل عناوين المتن الفعلية</w:t>
            </w:r>
          </w:p>
        </w:tc>
        <w:tc>
          <w:tcPr>
            <w:tcW w:type="dxa" w:w="164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تنسيقي</w:t>
            </w:r>
          </w:p>
        </w:tc>
      </w:tr>
      <w:tr>
        <w:tc>
          <w:tcPr>
            <w:tcW w:type="dxa" w:w="39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4</w:t>
            </w:r>
          </w:p>
        </w:tc>
        <w:tc>
          <w:tcPr>
            <w:tcW w:type="dxa" w:w="2438"/>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استخراج نص 3 رسوم SmartArt (12 عنصرًا) وعرضها كبطاقات نصية ظاهرة</w:t>
            </w:r>
          </w:p>
        </w:tc>
        <w:tc>
          <w:tcPr>
            <w:tcW w:type="dxa" w:w="147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منطق البوابات الثلاث لتقييم المؤشرات</w:t>
            </w:r>
          </w:p>
        </w:tc>
        <w:tc>
          <w:tcPr>
            <w:tcW w:type="dxa" w:w="2835"/>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المعلومة كانت موجودة فقط داخل كائن رسومي غير قابل للقراءة النصية</w:t>
            </w:r>
          </w:p>
        </w:tc>
        <w:tc>
          <w:tcPr>
            <w:tcW w:type="dxa" w:w="164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إضافة عرض بصري لمحتوى موجود أصلًا (SmartArt)</w:t>
            </w:r>
          </w:p>
        </w:tc>
      </w:tr>
      <w:tr>
        <w:tc>
          <w:tcPr>
            <w:tcW w:type="dxa" w:w="39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5</w:t>
            </w:r>
          </w:p>
        </w:tc>
        <w:tc>
          <w:tcPr>
            <w:tcW w:type="dxa" w:w="2438"/>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إضافة رسم «مسار التصعيد» المرئي</w:t>
            </w:r>
          </w:p>
        </w:tc>
        <w:tc>
          <w:tcPr>
            <w:tcW w:type="dxa" w:w="147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فصل التطبيق والحوكمة</w:t>
            </w:r>
          </w:p>
        </w:tc>
        <w:tc>
          <w:tcPr>
            <w:tcW w:type="dxa" w:w="283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تجسيد بصري لأدوار موجودة نصيًا أصلًا؛ دون إضافة أي حكم منهجي جديد</w:t>
            </w:r>
          </w:p>
        </w:tc>
        <w:tc>
          <w:tcPr>
            <w:tcW w:type="dxa" w:w="164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إضافة بصرية (Flowchart) لمحتوى قائم</w:t>
            </w:r>
          </w:p>
        </w:tc>
      </w:tr>
      <w:tr>
        <w:tc>
          <w:tcPr>
            <w:tcW w:type="dxa" w:w="39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6</w:t>
            </w:r>
          </w:p>
        </w:tc>
        <w:tc>
          <w:tcPr>
            <w:tcW w:type="dxa" w:w="2438"/>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تطبيع تنسيقي لعلامات الترقيم والمسافات (%، الشرطات، الترقيم الفرعي، التصاق الأرقام بالعربية)</w:t>
            </w:r>
          </w:p>
        </w:tc>
        <w:tc>
          <w:tcPr>
            <w:tcW w:type="dxa" w:w="147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عبر الدليل بالكامل</w:t>
            </w:r>
          </w:p>
        </w:tc>
        <w:tc>
          <w:tcPr>
            <w:tcW w:type="dxa" w:w="2835"/>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اتساق لغوي وبصري دون أي تغيير في الكلمات أو المعنى</w:t>
            </w:r>
          </w:p>
        </w:tc>
        <w:tc>
          <w:tcPr>
            <w:tcW w:type="dxa" w:w="164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لغوي/تنسيقي بحت</w:t>
            </w:r>
          </w:p>
        </w:tc>
      </w:tr>
      <w:tr>
        <w:tc>
          <w:tcPr>
            <w:tcW w:type="dxa" w:w="39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7</w:t>
            </w:r>
          </w:p>
        </w:tc>
        <w:tc>
          <w:tcPr>
            <w:tcW w:type="dxa" w:w="2438"/>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استعادة البريد الإلكتروني (malotaibi43@moh.gov.sa) من رابط تشعبي لم يظهر في الاستخراج الأولي</w:t>
            </w:r>
          </w:p>
        </w:tc>
        <w:tc>
          <w:tcPr>
            <w:tcW w:type="dxa" w:w="147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قسم «للاستفسارات والتواصل»</w:t>
            </w:r>
          </w:p>
        </w:tc>
        <w:tc>
          <w:tcPr>
            <w:tcW w:type="dxa" w:w="283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الرابط التشعبي لم يلتقطه الاستخراج الآلي الأول؛ تم رصده وتصحيحه يدويًا قبل التسليم</w:t>
            </w:r>
          </w:p>
        </w:tc>
        <w:tc>
          <w:tcPr>
            <w:tcW w:type="dxa" w:w="164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تصحيح فقد محتوى (تم رصده وإصلاحه ذاتيًا)</w:t>
            </w:r>
          </w:p>
        </w:tc>
      </w:tr>
      <w:tr>
        <w:tc>
          <w:tcPr>
            <w:tcW w:type="dxa" w:w="397"/>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8</w:t>
            </w:r>
          </w:p>
        </w:tc>
        <w:tc>
          <w:tcPr>
            <w:tcW w:type="dxa" w:w="2438"/>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تحويل عنوان «للاستفسارات والتواصل» وفقرته من عرض كبطاقتَي «قاعدة» إلى عنوان فرعي عادي</w:t>
            </w:r>
          </w:p>
        </w:tc>
        <w:tc>
          <w:tcPr>
            <w:tcW w:type="dxa" w:w="147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نهاية الدليل</w:t>
            </w:r>
          </w:p>
        </w:tc>
        <w:tc>
          <w:tcPr>
            <w:tcW w:type="dxa" w:w="2835"/>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اكتشاف تلقائي خاطئ صنّف بيانات التواصل كقاعدة منهجية؛ صُحِّح شكل العرض فقط</w:t>
            </w:r>
          </w:p>
        </w:tc>
        <w:tc>
          <w:tcPr>
            <w:tcW w:type="dxa" w:w="164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18"/>
                <w:szCs w:val="18"/>
                <w:rtl w:val="1"/>
              </w:rPr>
              <w:t>تنسيقي بحت</w:t>
            </w:r>
          </w:p>
        </w:tc>
      </w:tr>
    </w:tbl>
    <w:p>
      <w:pPr>
        <w:spacing w:before="0" w:after="80"/>
      </w:pPr>
    </w:p>
    <w:p>
      <w:r>
        <w:br w:type="page"/>
      </w:r>
    </w:p>
    <w:p>
      <w:pPr>
        <w:pStyle w:val="Heading1"/>
        <w:bidi w:val="1"/>
        <w:jc w:val="right"/>
      </w:pPr>
      <w:r>
        <w:rPr>
          <w:rFonts w:ascii="Tajawal" w:hAnsi="Tajawal" w:cs="Tajawal" w:eastAsia="Tajawal"/>
          <w:rtl w:val="1"/>
        </w:rPr>
        <w:t>رابعًا: قائمة التحقق النهائية</w:t>
      </w:r>
    </w:p>
    <w:tbl>
      <w:tblPr>
        <w:bidiVisual/>
        <w:tblW w:type="dxa" w:w="8787"/>
        <w:tblLayout w:type="fixed"/>
        <w:tblLook w:firstColumn="1" w:firstRow="1" w:lastColumn="0" w:lastRow="0" w:noHBand="0" w:noVBand="1" w:val="04A0"/>
      </w:tblPr>
      <w:tblGrid>
        <w:gridCol w:w="850"/>
        <w:gridCol w:w="7937"/>
      </w:tblGrid>
      <w:t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لا يوجد محتوى جوهري مفقود — تم التحقق آليًا بمطابقة كل فقرة وجدول من الأصل (1249 عنصرًا)، بما يشمل نص الرسوم البيانية المضمَّنة (SmartArt) والروابط التشعبية</w:t>
            </w:r>
          </w:p>
        </w:tc>
      </w:tr>
      <w:t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لا يوجد تكرار غير مبرر — كل حالة تكرار موثقة في مصفوفة المراجعة أعلاه مع القرار المتخذ بشأنها</w:t>
            </w:r>
          </w:p>
        </w:tc>
      </w:tr>
      <w:t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المنهجيات واضحة — جميع المعايير والأوزان والبوابات وسلالم التقييم محفوظة حرفيًا دون أي تعديل في الأرقام أو الشروط</w:t>
            </w:r>
          </w:p>
        </w:tc>
      </w:tr>
      <w:t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الحدود بين الدليل والمنهجيات واضحة (راجع القسم الثالث من تقرير المراجعة)</w:t>
            </w:r>
          </w:p>
        </w:tc>
      </w:tr>
      <w:t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الفهرس يعمل — حقل فهرس Word تلقائي حقيقي؛ يحتاج تحديثًا يدويًا واحدًا عند أول فتح (Ctrl+A ثم F9)، أو الموافقة على تحديث الحقول الذي يطلبه Word تلقائيًا عند فتح الملف</w:t>
            </w:r>
          </w:p>
        </w:tc>
      </w:tr>
      <w:t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جميع العناوين منظمة — تسلسل هرمي مصحَّح من المستوى الأول إلى الرابع</w:t>
            </w:r>
          </w:p>
        </w:tc>
      </w:tr>
      <w:t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اتجاه RTL صحيح — اتجاه الصفحة والفقرات، الجداول bidiVisual، وتشكيل الخط العربي مضبوط عبر خاصيتي sz وszCs معًا</w:t>
            </w:r>
          </w:p>
        </w:tc>
      </w:tr>
      <w:t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الجداول سليمة — جميع الجداول العشرين الأصلية منسّقة، وسجلات الحالات/القرارات الفارغة زُوِّدت بصفوف قابلة للتعبئة</w:t>
            </w:r>
          </w:p>
        </w:tc>
      </w:tr>
      <w:t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المخططات قابلة للتعديل — جميع الرسوم التخطيطية بُنيت كجداول/فقرات Word حقيقية قابلة للتحرير، لا صورًا مسطحة</w:t>
            </w:r>
          </w:p>
        </w:tc>
      </w:tr>
      <w:t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الهوية البصرية موحدة — نظام تصميم واحد (ألوان، خطوط Tajawal، عناوين، صناديق) مطبَّق عبر الدليل كاملًا</w:t>
            </w:r>
          </w:p>
        </w:tc>
      </w:tr>
      <w:t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الملف قابل للطباعة — تنسيق A4، هوامش موحدة، ترقيم صفحات، رأس وتذييل</w:t>
            </w:r>
          </w:p>
        </w:tc>
      </w:tr>
      <w:t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الملف قابل للتحرير — Word حقيقي بأنماط (Styles) وجداول حقيقية، بلا صور مسطحة لأي صفحة</w:t>
            </w:r>
          </w:p>
        </w:tc>
      </w:tr>
      <w:t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التصميم مؤسسي وليس عرضًا تقديميًا — كثافة بصرية معتدلة، الأولوية للنص والمحتوى</w:t>
            </w:r>
          </w:p>
        </w:tc>
      </w:tr>
      <w:tr>
        <w:tc>
          <w:tcPr>
            <w:tcW w:type="dxa" w:w="850"/>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w:t>
            </w:r>
          </w:p>
        </w:tc>
        <w:tc>
          <w:tcPr>
            <w:tcW w:type="dxa" w:w="7937"/>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sz w:val="21"/>
                <w:szCs w:val="21"/>
                <w:rtl w:val="1"/>
              </w:rPr>
              <w:t>المحتوى لم يُختصر لتحسين الشكل — كل نص أصلي محفوظ حرفيًا؛ التعديلات الوحيدة موثّقة في سجل التعديلات (مستوى عنوان، شكل عرض، تطبيع ترقيم)</w:t>
            </w:r>
          </w:p>
        </w:tc>
      </w:tr>
    </w:tbl>
    <w:p>
      <w:pPr>
        <w:spacing w:before="0" w:after="80"/>
      </w:pPr>
    </w:p>
    <w:p>
      <w:pPr>
        <w:bidi w:val="1"/>
        <w:spacing w:before="160" w:after="0"/>
        <w:jc w:val="right"/>
      </w:pPr>
      <w:r>
        <w:rPr>
          <w:rFonts w:ascii="Tajawal" w:hAnsi="Tajawal" w:cs="Tajawal" w:eastAsia="Tajawal"/>
          <w:i/>
          <w:iCs w:val="1"/>
          <w:color w:val="9A9A94"/>
          <w:sz w:val="18"/>
          <w:szCs w:val="18"/>
          <w:rtl w:val="1"/>
        </w:rPr>
        <w:t>ملاحظة ختامية: هذا التقرير وثيقة عمل داخلية مرافقة للنسخة المُعاد تصميمها، ولا يُعدّ جزءًا من الدليل المعتمد نفسه.</w:t>
      </w:r>
    </w:p>
    <w:sectPr w:rsidR="00FC693F" w:rsidRPr="0006063C" w:rsidSect="00034616">
      <w:headerReference w:type="default" r:id="rId10"/>
      <w:footerReference w:type="default" r:id="rId11"/>
      <w:pgSz w:w="11906" w:h="16838"/>
      <w:pgMar w:top="1304" w:right="1247" w:bottom="1134" w:left="1247" w:header="624" w:footer="567" w:gutter="0"/>
      <w:cols w:space="720"/>
      <w:bidi/>
      <w:docGrid w:linePitch="360"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bidiVisual/>
      <w:tblW w:type="dxa" w:w="9411"/>
      <w:tblLayout w:type="fixed"/>
      <w:tblLook w:firstColumn="1" w:firstRow="1" w:lastColumn="0" w:lastRow="0" w:noHBand="0" w:noVBand="1" w:val="04A0"/>
    </w:tblPr>
    <w:tblGrid>
      <w:gridCol w:w="4706"/>
      <w:gridCol w:w="4706"/>
    </w:tblGrid>
    <w:tr>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left"/>
          </w:pPr>
          <w:r>
            <w:rPr>
              <w:rFonts w:ascii="Tajawal" w:hAnsi="Tajawal" w:cs="Tajawal" w:eastAsia="Tajawal"/>
              <w:b/>
              <w:bCs w:val="1"/>
              <w:color w:val="9A9A94"/>
              <w:sz w:val="17"/>
              <w:szCs w:val="17"/>
              <w:rtl w:val="1"/>
            </w:rPr>
            <w:fldChar w:fldCharType="begin"/>
          </w:r>
          <w:r>
            <w:rPr>
              <w:rFonts w:ascii="Tajawal" w:hAnsi="Tajawal" w:cs="Tajawal" w:eastAsia="Tajawal"/>
              <w:b/>
              <w:bCs w:val="1"/>
              <w:color w:val="9A9A94"/>
              <w:sz w:val="17"/>
              <w:szCs w:val="17"/>
              <w:rtl w:val="1"/>
            </w:rPr>
            <w:instrText xml:space="preserve">PAGE \* ARABIC</w:instrText>
          </w:r>
          <w:r>
            <w:rPr>
              <w:rFonts w:ascii="Tajawal" w:hAnsi="Tajawal" w:cs="Tajawal" w:eastAsia="Tajawal"/>
              <w:b/>
              <w:bCs w:val="1"/>
              <w:color w:val="9A9A94"/>
              <w:sz w:val="17"/>
              <w:szCs w:val="17"/>
              <w:rtl w:val="1"/>
            </w:rPr>
            <w:fldChar w:fldCharType="separate"/>
          </w:r>
          <w:r>
            <w:rPr>
              <w:rFonts w:ascii="Tajawal" w:hAnsi="Tajawal" w:cs="Tajawal" w:eastAsia="Tajawal"/>
              <w:b/>
              <w:bCs w:val="1"/>
              <w:color w:val="9A9A94"/>
              <w:sz w:val="17"/>
              <w:szCs w:val="17"/>
              <w:rtl w:val="1"/>
            </w:rPr>
            <w:t>1</w:t>
          </w:r>
          <w:r>
            <w:rPr>
              <w:rFonts w:ascii="Tajawal" w:hAnsi="Tajawal" w:cs="Tajawal" w:eastAsia="Tajawal"/>
              <w:b/>
              <w:bCs w:val="1"/>
              <w:color w:val="9A9A94"/>
              <w:sz w:val="17"/>
              <w:szCs w:val="17"/>
              <w:rtl w:val="1"/>
            </w:rPr>
            <w:fldChar w:fldCharType="end"/>
          </w:r>
        </w:p>
      </w:tc>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right"/>
          </w:pPr>
          <w:r>
            <w:rPr>
              <w:rFonts w:ascii="Tajawal" w:hAnsi="Tajawal" w:cs="Tajawal" w:eastAsia="Tajawal"/>
              <w:color w:val="9A9A94"/>
              <w:sz w:val="16"/>
              <w:szCs w:val="16"/>
              <w:rtl w:val="1"/>
            </w:rPr>
            <w:t>تقرير المراجعة الشاملة — دليل المؤشرات والمشاريع</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bidiVisual/>
      <w:tblW w:type="dxa" w:w="9411"/>
      <w:tblLayout w:type="fixed"/>
      <w:tblLook w:firstColumn="1" w:firstRow="1" w:lastColumn="0" w:lastRow="0" w:noHBand="0" w:noVBand="1" w:val="04A0"/>
    </w:tblPr>
    <w:tblGrid>
      <w:gridCol w:w="7143"/>
      <w:gridCol w:w="2268"/>
    </w:tblGrid>
    <w:tr>
      <w:tc>
        <w:tcPr>
          <w:tcW w:type="dxa" w:w="7143"/>
          <w:tcBorders>
            <w:top w:val="single" w:sz="0" w:color="ffffff"/>
            <w:start w:val="single" w:sz="0" w:color="ffffff"/>
            <w:bottom w:val="single" w:sz="0" w:color="ffffff"/>
            <w:end w:val="single" w:sz="0" w:color="ffffff"/>
          </w:tcBorders>
          <w:tcMar>
            <w:top w:w="20" w:type="dxa"/>
            <w:start w:w="0" w:type="dxa"/>
            <w:bottom w:w="20" w:type="dxa"/>
            <w:end w:w="0" w:type="dxa"/>
          </w:tcMar>
          <w:vAlign w:val="center"/>
        </w:tcPr>
        <w:p>
          <w:pPr>
            <w:bidi w:val="1"/>
            <w:jc w:val="right"/>
          </w:pPr>
          <w:r>
            <w:rPr>
              <w:rFonts w:ascii="Tajawal" w:hAnsi="Tajawal" w:cs="Tajawal" w:eastAsia="Tajawal"/>
              <w:b/>
              <w:bCs w:val="1"/>
              <w:color w:val="1A5C38"/>
              <w:sz w:val="19"/>
              <w:szCs w:val="19"/>
              <w:rtl w:val="1"/>
            </w:rPr>
            <w:t>تقرير المراجعة</w:t>
          </w:r>
        </w:p>
      </w:tc>
      <w:tc>
        <w:tcPr>
          <w:tcW w:type="dxa" w:w="2268"/>
          <w:tcBorders>
            <w:top w:val="single" w:sz="0" w:color="ffffff"/>
            <w:start w:val="single" w:sz="0" w:color="ffffff"/>
            <w:bottom w:val="single" w:sz="0" w:color="ffffff"/>
            <w:end w:val="single" w:sz="0" w:color="ffffff"/>
          </w:tcBorders>
          <w:tcMar>
            <w:top w:w="20" w:type="dxa"/>
            <w:start w:w="60" w:type="dxa"/>
            <w:bottom w:w="20" w:type="dxa"/>
            <w:end w:w="0" w:type="dxa"/>
          </w:tcMar>
          <w:vAlign w:val="center"/>
        </w:tcPr>
        <w:p>
          <w:pPr>
            <w:bidi w:val="1"/>
            <w:jc w:val="left"/>
          </w:pPr>
          <w:r>
            <w:drawing>
              <wp:inline xmlns:a="http://schemas.openxmlformats.org/drawingml/2006/main" xmlns:pic="http://schemas.openxmlformats.org/drawingml/2006/picture">
                <wp:extent cx="415385" cy="37800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415385" cy="378000"/>
                        </a:xfrm>
                        <a:prstGeom prst="rect"/>
                      </pic:spPr>
                    </pic:pic>
                  </a:graphicData>
                </a:graphic>
              </wp:inline>
            </w:drawing>
          </w:r>
        </w:p>
      </w:tc>
    </w:tr>
  </w:tbl>
  <w:p>
    <w:pPr>
      <w:pBdr>
        <w:bottom w:val="single" w:sz="6" w:space="3" w:color="c9a84c"/>
      </w:pBdr>
      <w:spacing w:before="4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spacing w:after="160" w:line="317" w:lineRule="auto"/>
      <w:jc w:val="both"/>
    </w:pPr>
    <w:rPr>
      <w:rFonts w:ascii="Tajawal" w:hAnsi="Tajawal" w:cs="Tajawal" w:eastAsia="Tajawal"/>
      <w:color w:val="242424"/>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6" w:color="c9a84c"/>
      </w:pBdr>
      <w:bidi w:val="1"/>
      <w:spacing w:before="80" w:after="280"/>
      <w:jc w:val="right"/>
      <w:outlineLvl w:val="0"/>
    </w:pPr>
    <w:rPr>
      <w:rFonts w:asciiTheme="majorHAnsi" w:eastAsiaTheme="majorEastAsia" w:hAnsiTheme="majorHAnsi" w:cstheme="majorBidi" w:ascii="Tajawal" w:hAnsi="Tajawal" w:cs="Tajawal" w:eastAsia="Tajawal"/>
      <w:b/>
      <w:bCs w:val="1"/>
      <w:color w:val="1A5C38"/>
      <w:sz w:val="44"/>
      <w:szCs w:val="44"/>
    </w:rPr>
  </w:style>
  <w:style w:type="paragraph" w:styleId="Heading2">
    <w:name w:val="heading 2"/>
    <w:basedOn w:val="Normal"/>
    <w:next w:val="Normal"/>
    <w:link w:val="Heading2Char"/>
    <w:uiPriority w:val="9"/>
    <w:unhideWhenUsed/>
    <w:qFormat/>
    <w:rsid w:val="00FC693F"/>
    <w:pPr>
      <w:keepNext/>
      <w:keepLines/>
      <w:bidi w:val="1"/>
      <w:spacing w:before="400" w:after="200"/>
      <w:jc w:val="right"/>
      <w:outlineLvl w:val="1"/>
    </w:pPr>
    <w:rPr>
      <w:rFonts w:asciiTheme="majorHAnsi" w:eastAsiaTheme="majorEastAsia" w:hAnsiTheme="majorHAnsi" w:cstheme="majorBidi" w:ascii="Tajawal" w:hAnsi="Tajawal" w:cs="Tajawal" w:eastAsia="Tajawal"/>
      <w:b/>
      <w:bCs w:val="1"/>
      <w:color w:val="1A5C38"/>
      <w:sz w:val="32"/>
      <w:szCs w:val="32"/>
    </w:rPr>
  </w:style>
  <w:style w:type="paragraph" w:styleId="Heading3">
    <w:name w:val="heading 3"/>
    <w:basedOn w:val="Normal"/>
    <w:next w:val="Normal"/>
    <w:link w:val="Heading3Char"/>
    <w:uiPriority w:val="9"/>
    <w:unhideWhenUsed/>
    <w:qFormat/>
    <w:rsid w:val="00FC693F"/>
    <w:pPr>
      <w:keepNext/>
      <w:keepLines/>
      <w:bidi w:val="1"/>
      <w:spacing w:before="280" w:after="120"/>
      <w:jc w:val="right"/>
      <w:outlineLvl w:val="2"/>
    </w:pPr>
    <w:rPr>
      <w:rFonts w:asciiTheme="majorHAnsi" w:eastAsiaTheme="majorEastAsia" w:hAnsiTheme="majorHAnsi" w:cstheme="majorBidi" w:ascii="Tajawal" w:hAnsi="Tajawal" w:cs="Tajawal" w:eastAsia="Tajawal"/>
      <w:b/>
      <w:bCs w:val="1"/>
      <w:color w:val="7A5C3A"/>
      <w:sz w:val="26"/>
      <w:szCs w:val="26"/>
    </w:rPr>
  </w:style>
  <w:style w:type="paragraph" w:styleId="Heading4">
    <w:name w:val="heading 4"/>
    <w:basedOn w:val="Normal"/>
    <w:next w:val="Normal"/>
    <w:link w:val="Heading4Char"/>
    <w:uiPriority w:val="9"/>
    <w:semiHidden/>
    <w:unhideWhenUsed/>
    <w:qFormat/>
    <w:rsid w:val="00FC693F"/>
    <w:pPr>
      <w:keepNext/>
      <w:keepLines/>
      <w:bidi w:val="1"/>
      <w:spacing w:before="200" w:after="80"/>
      <w:jc w:val="right"/>
      <w:outlineLvl w:val="3"/>
    </w:pPr>
    <w:rPr>
      <w:rFonts w:asciiTheme="majorHAnsi" w:eastAsiaTheme="majorEastAsia" w:hAnsiTheme="majorHAnsi" w:cstheme="majorBidi" w:ascii="Tajawal" w:hAnsi="Tajawal" w:cs="Tajawal" w:eastAsia="Tajawal"/>
      <w:b/>
      <w:bCs w:val="1"/>
      <w:i/>
      <w:iCs/>
      <w:color w:val="4A4A4A"/>
      <w:sz w:val="23"/>
      <w:szCs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line="307" w:lineRule="auto"/>
      <w:ind w:left="720"/>
      <w:contextualSpacing/>
    </w:pPr>
    <w:rPr>
      <w:rFonts w:ascii="Tajawal" w:hAnsi="Tajawal"/>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