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240" w:lineRule="auto"/>
        <w:rPr>
          <w:color w:val="6aa84f"/>
        </w:rPr>
      </w:pPr>
      <w:r w:rsidDel="00000000" w:rsidR="00000000" w:rsidRPr="00000000">
        <w:rPr>
          <w:rFonts w:ascii="Times New Roman" w:cs="Times New Roman" w:eastAsia="Times New Roman" w:hAnsi="Times New Roman"/>
          <w:b w:val="1"/>
          <w:bCs w:val="1"/>
          <w:i w:val="1"/>
          <w:iCs w:val="1"/>
          <w:color w:val="6aa84f"/>
          <w:sz w:val="22"/>
          <w:szCs w:val="22"/>
          <w:rtl w:val="0"/>
        </w:rPr>
        <w:t xml:space="preserve">11th International Conference on Advanced Technology and Applied Sciences (ICaTAS 2026)</w:t>
      </w:r>
      <w:r w:rsidDel="00000000" w:rsidR="00000000" w:rsidRPr="00000000">
        <w:rPr>
          <w:rtl w:val="0"/>
        </w:rPr>
      </w:r>
    </w:p>
    <w:p w:rsidR="00000000" w:rsidDel="00000000" w:rsidP="00000000" w:rsidRDefault="00000000" w:rsidRPr="00000000" w14:paraId="00000002">
      <w:pPr>
        <w:spacing w:after="40" w:before="0" w:line="240" w:lineRule="auto"/>
        <w:ind w:hanging="425.1968503937008"/>
        <w:jc w:val="center"/>
        <w:rPr/>
      </w:pPr>
      <w:r w:rsidDel="00000000" w:rsidR="00000000" w:rsidRPr="00000000">
        <w:rPr>
          <w:rFonts w:ascii="Times New Roman" w:cs="Times New Roman" w:eastAsia="Times New Roman" w:hAnsi="Times New Roman"/>
          <w:b w:val="0"/>
          <w:bCs w:val="0"/>
          <w:i w:val="0"/>
          <w:iCs w:val="0"/>
          <w:sz w:val="18"/>
          <w:szCs w:val="18"/>
          <w:rtl w:val="0"/>
        </w:rPr>
        <w:t xml:space="preserve">Theme: Advancing Engineering, Science and Technology for a Resilient and Sustainable Future </w:t>
      </w:r>
      <w:r w:rsidDel="00000000" w:rsidR="00000000" w:rsidRPr="00000000">
        <w:rPr>
          <w:rtl w:val="0"/>
        </w:rPr>
        <w:t xml:space="preserve">7–9 October 2026, Kuala Lumpur</w:t>
      </w:r>
      <w:r w:rsidDel="00000000" w:rsidR="00000000" w:rsidRPr="00000000">
        <w:rPr>
          <w:rFonts w:ascii="Times New Roman" w:cs="Times New Roman" w:eastAsia="Times New Roman" w:hAnsi="Times New Roman"/>
          <w:b w:val="0"/>
          <w:bCs w:val="0"/>
          <w:i w:val="0"/>
          <w:iCs w:val="0"/>
          <w:sz w:val="18"/>
          <w:szCs w:val="18"/>
          <w:rtl w:val="0"/>
        </w:rPr>
        <w:br w:type="textWrapping"/>
        <w:br w:type="textWrapping"/>
      </w:r>
      <w:r w:rsidDel="00000000" w:rsidR="00000000" w:rsidRPr="00000000">
        <w:rPr>
          <w:rtl w:val="0"/>
        </w:rPr>
      </w:r>
    </w:p>
    <w:p w:rsidR="00000000" w:rsidDel="00000000" w:rsidP="00000000" w:rsidRDefault="00000000" w:rsidRPr="00000000" w14:paraId="00000003">
      <w:pPr>
        <w:spacing w:after="160" w:before="0" w:line="240" w:lineRule="auto"/>
        <w:jc w:val="center"/>
        <w:rPr/>
      </w:pPr>
      <w:r w:rsidDel="00000000" w:rsidR="00000000" w:rsidRPr="00000000">
        <w:rPr>
          <w:rtl w:val="0"/>
        </w:rPr>
      </w:r>
    </w:p>
    <w:p w:rsidR="00000000" w:rsidDel="00000000" w:rsidP="00000000" w:rsidRDefault="00000000" w:rsidRPr="00000000" w14:paraId="00000004">
      <w:pPr>
        <w:spacing w:after="160" w:before="40" w:line="240" w:lineRule="auto"/>
        <w:rPr/>
      </w:pPr>
      <w:r w:rsidDel="00000000" w:rsidR="00000000" w:rsidRPr="00000000">
        <w:rPr>
          <w:rFonts w:ascii="Times New Roman" w:cs="Times New Roman" w:eastAsia="Times New Roman" w:hAnsi="Times New Roman"/>
          <w:b w:val="1"/>
          <w:bCs w:val="1"/>
          <w:i w:val="0"/>
          <w:iCs w:val="0"/>
          <w:sz w:val="18"/>
          <w:szCs w:val="18"/>
          <w:rtl w:val="0"/>
        </w:rPr>
        <w:t xml:space="preserve">RESEARCH ARTICLE</w:t>
      </w:r>
      <w:r w:rsidDel="00000000" w:rsidR="00000000" w:rsidRPr="00000000">
        <w:rPr>
          <w:rtl w:val="0"/>
        </w:rPr>
      </w:r>
    </w:p>
    <w:p w:rsidR="00000000" w:rsidDel="00000000" w:rsidP="00000000" w:rsidRDefault="00000000" w:rsidRPr="00000000" w14:paraId="00000005">
      <w:pPr>
        <w:spacing w:after="0" w:before="0" w:line="240" w:lineRule="auto"/>
        <w:rPr>
          <w:highlight w:val="red"/>
        </w:rPr>
      </w:pPr>
      <w:r w:rsidDel="00000000" w:rsidR="00000000" w:rsidRPr="00000000">
        <w:rPr>
          <w:rFonts w:ascii="Times New Roman" w:cs="Times New Roman" w:eastAsia="Times New Roman" w:hAnsi="Times New Roman"/>
          <w:b w:val="1"/>
          <w:bCs w:val="1"/>
          <w:i w:val="1"/>
          <w:iCs w:val="1"/>
          <w:sz w:val="30"/>
          <w:szCs w:val="30"/>
          <w:rtl w:val="0"/>
        </w:rPr>
        <w:t xml:space="preserve">Enhanced Passive ISAR Drone Surveillance Using Micro-</w:t>
      </w:r>
      <w:r w:rsidDel="00000000" w:rsidR="00000000" w:rsidRPr="00000000">
        <w:rPr>
          <w:rtl w:val="0"/>
        </w:rPr>
      </w:r>
    </w:p>
    <w:p w:rsidR="00000000" w:rsidDel="00000000" w:rsidP="00000000" w:rsidRDefault="00000000" w:rsidRPr="00000000" w14:paraId="00000006">
      <w:pPr>
        <w:spacing w:after="100" w:before="0" w:line="240" w:lineRule="auto"/>
        <w:rPr>
          <w:color w:val="ff0000"/>
        </w:rPr>
      </w:pPr>
      <w:r w:rsidDel="00000000" w:rsidR="00000000" w:rsidRPr="00000000">
        <w:rPr>
          <w:rFonts w:ascii="Times New Roman" w:cs="Times New Roman" w:eastAsia="Times New Roman" w:hAnsi="Times New Roman"/>
          <w:b w:val="1"/>
          <w:bCs w:val="1"/>
          <w:i w:val="1"/>
          <w:iCs w:val="1"/>
          <w:sz w:val="30"/>
          <w:szCs w:val="30"/>
          <w:rtl w:val="0"/>
        </w:rPr>
        <w:t xml:space="preserve">Doppler-Assisted Multi-Bernoulli TBD Filtering</w:t>
        <w:br w:type="textWrapping"/>
      </w:r>
      <w:r w:rsidDel="00000000" w:rsidR="00000000" w:rsidRPr="00000000">
        <w:rPr>
          <w:rFonts w:ascii="Times New Roman" w:cs="Times New Roman" w:eastAsia="Times New Roman" w:hAnsi="Times New Roman"/>
          <w:b w:val="1"/>
          <w:bCs w:val="1"/>
          <w:i w:val="1"/>
          <w:iCs w:val="1"/>
          <w:color w:val="ff0000"/>
          <w:sz w:val="30"/>
          <w:szCs w:val="30"/>
          <w:rtl w:val="0"/>
        </w:rPr>
        <w:t xml:space="preserve">NAME:</w:t>
        <w:br w:type="textWrapping"/>
        <w:t xml:space="preserve">ID:</w:t>
      </w:r>
      <w:r w:rsidDel="00000000" w:rsidR="00000000" w:rsidRPr="00000000">
        <w:rPr>
          <w:rtl w:val="0"/>
        </w:rPr>
      </w:r>
    </w:p>
    <w:p w:rsidR="00000000" w:rsidDel="00000000" w:rsidP="00000000" w:rsidRDefault="00000000" w:rsidRPr="00000000" w14:paraId="00000007">
      <w:pPr>
        <w:spacing w:after="140" w:before="0" w:line="24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² Department of Electronics and Communication, Arab Academy for Science Technology and Maritime Transport, Cairo, Egypt</w:t>
      </w:r>
      <w:r w:rsidDel="00000000" w:rsidR="00000000" w:rsidRPr="00000000">
        <w:rPr>
          <w:rtl w:val="0"/>
        </w:rPr>
      </w:r>
    </w:p>
    <w:tbl>
      <w:tblPr>
        <w:tblStyle w:val="Table1"/>
        <w:tblW w:w="9533.0" w:type="dxa"/>
        <w:jc w:val="center"/>
        <w:tblLayout w:type="fixed"/>
        <w:tblLook w:val="0400"/>
      </w:tblPr>
      <w:tblGrid>
        <w:gridCol w:w="6653"/>
        <w:gridCol w:w="2880"/>
        <w:tblGridChange w:id="0">
          <w:tblGrid>
            <w:gridCol w:w="6653"/>
            <w:gridCol w:w="2880"/>
          </w:tblGrid>
        </w:tblGridChange>
      </w:tblGrid>
      <w:tr>
        <w:trPr>
          <w:cantSplit w:val="0"/>
          <w:trHeight w:val="2047.83203125" w:hRule="atLeast"/>
          <w:tblHeader w:val="0"/>
        </w:trPr>
        <w:tc>
          <w:tcPr>
            <w:tcMar>
              <w:top w:w="40.0" w:type="dxa"/>
              <w:bottom w:w="40.0" w:type="dxa"/>
            </w:tcMar>
            <w:vAlign w:val="top"/>
          </w:tcPr>
          <w:p w:rsidR="00000000" w:rsidDel="00000000" w:rsidP="00000000" w:rsidRDefault="00000000" w:rsidRPr="00000000" w14:paraId="00000008">
            <w:pPr>
              <w:spacing w:after="40" w:lineRule="auto"/>
              <w:rPr>
                <w:color w:val="741b47"/>
              </w:rPr>
            </w:pPr>
            <w:r w:rsidDel="00000000" w:rsidR="00000000" w:rsidRPr="00000000">
              <w:rPr>
                <w:rFonts w:ascii="Times New Roman" w:cs="Times New Roman" w:eastAsia="Times New Roman" w:hAnsi="Times New Roman"/>
                <w:b w:val="1"/>
                <w:bCs w:val="1"/>
                <w:i w:val="0"/>
                <w:iCs w:val="0"/>
                <w:sz w:val="16"/>
                <w:szCs w:val="16"/>
                <w:rtl w:val="0"/>
              </w:rPr>
              <w:t xml:space="preserve">ABSTRACT – </w:t>
            </w:r>
            <w:r w:rsidDel="00000000" w:rsidR="00000000" w:rsidRPr="00000000">
              <w:rPr>
                <w:rFonts w:ascii="Times New Roman" w:cs="Times New Roman" w:eastAsia="Times New Roman" w:hAnsi="Times New Roman"/>
                <w:b w:val="0"/>
                <w:bCs w:val="0"/>
                <w:i w:val="0"/>
                <w:iCs w:val="0"/>
                <w:sz w:val="16"/>
                <w:szCs w:val="16"/>
                <w:rtl w:val="0"/>
              </w:rPr>
              <w:t xml:space="preserve">Passive Inverse Synthetic Aperture Radar (ISAR) systems provide an effective solution for covert drone surveillance in cluttered environments. However, tracking drones inside Doppler-blind zones (DBZs) remains challenging because target Doppler signatures overlap with stationary clutter under</w:t>
            </w:r>
            <w:r w:rsidDel="00000000" w:rsidR="00000000" w:rsidRPr="00000000">
              <w:rPr>
                <w:rFonts w:ascii="Times New Roman" w:cs="Times New Roman" w:eastAsia="Times New Roman" w:hAnsi="Times New Roman"/>
                <w:b w:val="0"/>
                <w:bCs w:val="0"/>
                <w:i w:val="0"/>
                <w:iCs w:val="0"/>
                <w:color w:val="f1c232"/>
                <w:sz w:val="16"/>
                <w:szCs w:val="16"/>
                <w:rtl w:val="0"/>
              </w:rPr>
              <w:t xml:space="preserve"> low signal-to-noise ratio (SNR) conditions. This paper proposes a Micro-Doppler-Assisted Track-Before-Detect Multi-Bernoulli Filter (mD-TBD-MBF) for passive ISAR drone tracking in DBZ environments. The proposed framework combines micro-Doppler harmonic extraction, TBD processing, and MB Random Finite Set filtering to improve weak target detection and tracking continuity</w:t>
            </w:r>
            <w:r w:rsidDel="00000000" w:rsidR="00000000" w:rsidRPr="00000000">
              <w:rPr>
                <w:rFonts w:ascii="Times New Roman" w:cs="Times New Roman" w:eastAsia="Times New Roman" w:hAnsi="Times New Roman"/>
                <w:b w:val="0"/>
                <w:bCs w:val="0"/>
                <w:i w:val="0"/>
                <w:iCs w:val="0"/>
                <w:sz w:val="16"/>
                <w:szCs w:val="16"/>
                <w:rtl w:val="0"/>
              </w:rPr>
              <w:t xml:space="preserve">. An adaptive harmonic-guided particle redistribution mechanism is introduced to enhance clutter robustness and preserve target observability during Doppler-blind-zone crossings. Simulation results demonstrate improved detection probability, </w:t>
            </w:r>
            <w:r w:rsidDel="00000000" w:rsidR="00000000" w:rsidRPr="00000000">
              <w:rPr>
                <w:rFonts w:ascii="Times New Roman" w:cs="Times New Roman" w:eastAsia="Times New Roman" w:hAnsi="Times New Roman"/>
                <w:b w:val="0"/>
                <w:bCs w:val="0"/>
                <w:i w:val="0"/>
                <w:iCs w:val="0"/>
                <w:color w:val="741b47"/>
                <w:sz w:val="16"/>
                <w:szCs w:val="16"/>
                <w:rtl w:val="0"/>
              </w:rPr>
              <w:t xml:space="preserve">reduced false alarms, and enhanced trajectory estimation accuracy compared with conventional tracking filters.</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09">
            <w:pPr>
              <w:spacing w:after="60" w:lineRule="auto"/>
              <w:rPr/>
            </w:pPr>
            <w:r w:rsidDel="00000000" w:rsidR="00000000" w:rsidRPr="00000000">
              <w:rPr>
                <w:rFonts w:ascii="Times New Roman" w:cs="Times New Roman" w:eastAsia="Times New Roman" w:hAnsi="Times New Roman"/>
                <w:b w:val="1"/>
                <w:bCs w:val="1"/>
                <w:i w:val="0"/>
                <w:iCs w:val="0"/>
                <w:sz w:val="16"/>
                <w:szCs w:val="16"/>
                <w:rtl w:val="0"/>
              </w:rPr>
              <w:t xml:space="preserve">ARTICLE HISTORY</w:t>
            </w:r>
            <w:r w:rsidDel="00000000" w:rsidR="00000000" w:rsidRPr="00000000">
              <w:rPr>
                <w:rtl w:val="0"/>
              </w:rPr>
            </w:r>
          </w:p>
          <w:p w:rsidR="00000000" w:rsidDel="00000000" w:rsidP="00000000" w:rsidRDefault="00000000" w:rsidRPr="00000000" w14:paraId="0000000A">
            <w:pPr>
              <w:spacing w:after="20" w:lineRule="auto"/>
              <w:rPr/>
            </w:pPr>
            <w:r w:rsidDel="00000000" w:rsidR="00000000" w:rsidRPr="00000000">
              <w:rPr>
                <w:rFonts w:ascii="Times New Roman" w:cs="Times New Roman" w:eastAsia="Times New Roman" w:hAnsi="Times New Roman"/>
                <w:b w:val="0"/>
                <w:bCs w:val="0"/>
                <w:i w:val="0"/>
                <w:iCs w:val="0"/>
                <w:sz w:val="14"/>
                <w:szCs w:val="14"/>
                <w:rtl w:val="0"/>
              </w:rPr>
              <w:t xml:space="preserve">Received   : #</w:t>
            </w:r>
            <w:r w:rsidDel="00000000" w:rsidR="00000000" w:rsidRPr="00000000">
              <w:rPr>
                <w:rtl w:val="0"/>
              </w:rPr>
            </w:r>
          </w:p>
          <w:p w:rsidR="00000000" w:rsidDel="00000000" w:rsidP="00000000" w:rsidRDefault="00000000" w:rsidRPr="00000000" w14:paraId="0000000B">
            <w:pPr>
              <w:spacing w:after="20" w:lineRule="auto"/>
              <w:rPr/>
            </w:pPr>
            <w:r w:rsidDel="00000000" w:rsidR="00000000" w:rsidRPr="00000000">
              <w:rPr>
                <w:rFonts w:ascii="Times New Roman" w:cs="Times New Roman" w:eastAsia="Times New Roman" w:hAnsi="Times New Roman"/>
                <w:b w:val="0"/>
                <w:bCs w:val="0"/>
                <w:i w:val="0"/>
                <w:iCs w:val="0"/>
                <w:sz w:val="14"/>
                <w:szCs w:val="14"/>
                <w:rtl w:val="0"/>
              </w:rPr>
              <w:t xml:space="preserve">Revised    : #</w:t>
            </w:r>
            <w:r w:rsidDel="00000000" w:rsidR="00000000" w:rsidRPr="00000000">
              <w:rPr>
                <w:rtl w:val="0"/>
              </w:rPr>
            </w:r>
          </w:p>
          <w:p w:rsidR="00000000" w:rsidDel="00000000" w:rsidP="00000000" w:rsidRDefault="00000000" w:rsidRPr="00000000" w14:paraId="0000000C">
            <w:pPr>
              <w:spacing w:after="20" w:lineRule="auto"/>
              <w:rPr/>
            </w:pPr>
            <w:r w:rsidDel="00000000" w:rsidR="00000000" w:rsidRPr="00000000">
              <w:rPr>
                <w:rFonts w:ascii="Times New Roman" w:cs="Times New Roman" w:eastAsia="Times New Roman" w:hAnsi="Times New Roman"/>
                <w:b w:val="0"/>
                <w:bCs w:val="0"/>
                <w:i w:val="0"/>
                <w:iCs w:val="0"/>
                <w:sz w:val="14"/>
                <w:szCs w:val="14"/>
                <w:rtl w:val="0"/>
              </w:rPr>
              <w:t xml:space="preserve">Accepted   : #</w:t>
            </w:r>
            <w:r w:rsidDel="00000000" w:rsidR="00000000" w:rsidRPr="00000000">
              <w:rPr>
                <w:rtl w:val="0"/>
              </w:rPr>
            </w:r>
          </w:p>
          <w:p w:rsidR="00000000" w:rsidDel="00000000" w:rsidP="00000000" w:rsidRDefault="00000000" w:rsidRPr="00000000" w14:paraId="0000000D">
            <w:pPr>
              <w:spacing w:after="20" w:lineRule="auto"/>
              <w:rPr/>
            </w:pPr>
            <w:r w:rsidDel="00000000" w:rsidR="00000000" w:rsidRPr="00000000">
              <w:rPr>
                <w:rFonts w:ascii="Times New Roman" w:cs="Times New Roman" w:eastAsia="Times New Roman" w:hAnsi="Times New Roman"/>
                <w:b w:val="0"/>
                <w:bCs w:val="0"/>
                <w:i w:val="0"/>
                <w:iCs w:val="0"/>
                <w:sz w:val="14"/>
                <w:szCs w:val="14"/>
                <w:rtl w:val="0"/>
              </w:rPr>
              <w:t xml:space="preserve">Published : #</w:t>
            </w:r>
            <w:r w:rsidDel="00000000" w:rsidR="00000000" w:rsidRPr="00000000">
              <w:rPr>
                <w:rtl w:val="0"/>
              </w:rPr>
            </w:r>
          </w:p>
          <w:p w:rsidR="00000000" w:rsidDel="00000000" w:rsidP="00000000" w:rsidRDefault="00000000" w:rsidRPr="00000000" w14:paraId="0000000E">
            <w:pPr>
              <w:spacing w:after="40" w:before="120" w:lineRule="auto"/>
              <w:rPr/>
            </w:pPr>
            <w:r w:rsidDel="00000000" w:rsidR="00000000" w:rsidRPr="00000000">
              <w:rPr>
                <w:rFonts w:ascii="Times New Roman" w:cs="Times New Roman" w:eastAsia="Times New Roman" w:hAnsi="Times New Roman"/>
                <w:b w:val="1"/>
                <w:bCs w:val="1"/>
                <w:i w:val="0"/>
                <w:iCs w:val="0"/>
                <w:sz w:val="16"/>
                <w:szCs w:val="16"/>
                <w:rtl w:val="0"/>
              </w:rPr>
              <w:t xml:space="preserve">KEYWORDS</w:t>
            </w: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Passive ISAR radar</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Track-Before-Detect</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micro- Doppler</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MB filter</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UAV tracking</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Doppler-blind zone</w:t>
            </w:r>
          </w:p>
        </w:tc>
      </w:tr>
    </w:tbl>
    <w:p w:rsidR="00000000" w:rsidDel="00000000" w:rsidP="00000000" w:rsidRDefault="00000000" w:rsidRPr="00000000" w14:paraId="00000015">
      <w:pPr>
        <w:spacing w:after="0" w:before="0" w:line="240" w:lineRule="auto"/>
        <w:rPr/>
      </w:pPr>
      <w:r w:rsidDel="00000000" w:rsidR="00000000" w:rsidRPr="00000000">
        <w:rPr>
          <w:rtl w:val="0"/>
        </w:rPr>
      </w:r>
    </w:p>
    <w:p w:rsidR="00000000" w:rsidDel="00000000" w:rsidP="00000000" w:rsidRDefault="00000000" w:rsidRPr="00000000" w14:paraId="00000016">
      <w:pPr>
        <w:keepNext w:val="1"/>
        <w:spacing w:after="60" w:before="4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1.       INTRODUCTION</w:t>
      </w:r>
      <w:r w:rsidDel="00000000" w:rsidR="00000000" w:rsidRPr="00000000">
        <w:rPr>
          <w:rtl w:val="0"/>
        </w:rPr>
      </w:r>
    </w:p>
    <w:tbl>
      <w:tblPr>
        <w:tblStyle w:val="Table2"/>
        <w:tblW w:w="9360.0" w:type="dxa"/>
        <w:jc w:val="center"/>
        <w:tblLayout w:type="fixed"/>
        <w:tblLook w:val="0400"/>
      </w:tblPr>
      <w:tblGrid>
        <w:gridCol w:w="4980"/>
        <w:gridCol w:w="4380"/>
        <w:tblGridChange w:id="0">
          <w:tblGrid>
            <w:gridCol w:w="4980"/>
            <w:gridCol w:w="4380"/>
          </w:tblGrid>
        </w:tblGridChange>
      </w:tblGrid>
      <w:tr>
        <w:trPr>
          <w:cantSplit w:val="0"/>
          <w:tblHeader w:val="0"/>
        </w:trPr>
        <w:tc>
          <w:tcPr>
            <w:tcMar>
              <w:top w:w="20.0" w:type="dxa"/>
              <w:bottom w:w="20.0" w:type="dxa"/>
            </w:tcMar>
            <w:vAlign w:val="top"/>
          </w:tcPr>
          <w:p w:rsidR="00000000" w:rsidDel="00000000" w:rsidP="00000000" w:rsidRDefault="00000000" w:rsidRPr="00000000" w14:paraId="00000017">
            <w:pPr>
              <w:spacing w:after="40" w:lineRule="auto"/>
              <w:rPr/>
            </w:pPr>
            <w:r w:rsidDel="00000000" w:rsidR="00000000" w:rsidRPr="00000000">
              <w:rPr>
                <w:rFonts w:ascii="Times New Roman" w:cs="Times New Roman" w:eastAsia="Times New Roman" w:hAnsi="Times New Roman"/>
                <w:b w:val="0"/>
                <w:bCs w:val="0"/>
                <w:i w:val="0"/>
                <w:iCs w:val="0"/>
                <w:sz w:val="16"/>
                <w:szCs w:val="16"/>
                <w:rtl w:val="0"/>
              </w:rPr>
              <w:t xml:space="preserve">The rapid proliferation of small unmanned aerial vehicles (UAVs) has created major challenges for modern radar surveillance systems. Commercial and military drones are increasingly being used in applications such as aerial photography, environmental monitoring, cargo transportation, precision agriculture, border patrol, and tactical reconnaissance [1].</w:t>
            </w:r>
            <w:r w:rsidDel="00000000" w:rsidR="00000000" w:rsidRPr="00000000">
              <w:rPr>
                <w:rtl w:val="0"/>
              </w:rPr>
            </w:r>
          </w:p>
          <w:p w:rsidR="00000000" w:rsidDel="00000000" w:rsidP="00000000" w:rsidRDefault="00000000" w:rsidRPr="00000000" w14:paraId="00000018">
            <w:pPr>
              <w:spacing w:before="80" w:lineRule="auto"/>
              <w:rPr/>
            </w:pPr>
            <w:r w:rsidDel="00000000" w:rsidR="00000000" w:rsidRPr="00000000">
              <w:rPr>
                <w:rFonts w:ascii="Times New Roman" w:cs="Times New Roman" w:eastAsia="Times New Roman" w:hAnsi="Times New Roman"/>
                <w:b w:val="0"/>
                <w:bCs w:val="0"/>
                <w:i w:val="0"/>
                <w:iCs w:val="0"/>
                <w:sz w:val="16"/>
                <w:szCs w:val="16"/>
                <w:rtl w:val="0"/>
              </w:rPr>
              <w:t xml:space="preserve">Despite their operational benefits, the widespread accessibility of UAV platforms has also introduced</w:t>
            </w:r>
            <w:r w:rsidDel="00000000" w:rsidR="00000000" w:rsidRPr="00000000">
              <w:rPr>
                <w:rtl w:val="0"/>
              </w:rPr>
            </w:r>
          </w:p>
        </w:tc>
        <w:tc>
          <w:tcPr>
            <w:tcMar>
              <w:top w:w="20.0" w:type="dxa"/>
              <w:bottom w:w="20.0" w:type="dxa"/>
            </w:tcMar>
            <w:vAlign w:val="top"/>
          </w:tcPr>
          <w:p w:rsidR="00000000" w:rsidDel="00000000" w:rsidP="00000000" w:rsidRDefault="00000000" w:rsidRPr="00000000" w14:paraId="00000019">
            <w:pPr>
              <w:spacing w:after="40" w:lineRule="auto"/>
              <w:jc w:val="center"/>
              <w:rPr/>
            </w:pPr>
            <w:r w:rsidDel="00000000" w:rsidR="00000000" w:rsidRPr="00000000">
              <w:rPr>
                <w:b w:val="1"/>
                <w:bCs w:val="1"/>
                <w:sz w:val="18"/>
                <w:szCs w:val="18"/>
              </w:rPr>
              <w:drawing>
                <wp:inline distB="114300" distT="114300" distL="114300" distR="114300">
                  <wp:extent cx="2628900" cy="14478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628900" cy="1447800"/>
                          </a:xfrm>
                          <a:prstGeom prst="rect"/>
                          <a:ln/>
                        </pic:spPr>
                      </pic:pic>
                    </a:graphicData>
                  </a:graphic>
                </wp:inline>
              </w:drawing>
            </w:r>
            <w:r w:rsidDel="00000000" w:rsidR="00000000" w:rsidRPr="00000000">
              <w:rPr>
                <w:b w:val="1"/>
                <w:bCs w:val="1"/>
                <w:sz w:val="18"/>
                <w:szCs w:val="18"/>
                <w:rtl w:val="0"/>
              </w:rPr>
              <w:br w:type="textWrapping"/>
            </w:r>
            <w:r w:rsidDel="00000000" w:rsidR="00000000" w:rsidRPr="00000000">
              <w:rPr>
                <w:rtl w:val="0"/>
              </w:rPr>
            </w:r>
          </w:p>
        </w:tc>
      </w:tr>
    </w:tbl>
    <w:p w:rsidR="00000000" w:rsidDel="00000000" w:rsidP="00000000" w:rsidRDefault="00000000" w:rsidRPr="00000000" w14:paraId="0000001A">
      <w:pPr>
        <w:keepNext w:val="1"/>
        <w:spacing w:after="60" w:before="4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3"/>
        <w:tblW w:w="9720.0" w:type="dxa"/>
        <w:jc w:val="center"/>
        <w:tblLayout w:type="fixed"/>
        <w:tblLook w:val="0600"/>
      </w:tblPr>
      <w:tblGrid>
        <w:gridCol w:w="9720"/>
        <w:tblGridChange w:id="0">
          <w:tblGrid>
            <w:gridCol w:w="9720"/>
          </w:tblGrid>
        </w:tblGridChange>
      </w:tblGrid>
      <w:tr>
        <w:trPr>
          <w:cantSplit w:val="0"/>
          <w:trHeight w:val="660" w:hRule="atLeast"/>
          <w:tblHeader w:val="0"/>
        </w:trPr>
        <w:tc>
          <w:tcPr>
            <w:vMerge w:val="restart"/>
            <w:tcMar>
              <w:top w:w="20.0" w:type="dxa"/>
              <w:bottom w:w="20.0" w:type="dxa"/>
            </w:tcMar>
          </w:tcPr>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b w:val="1"/>
                <w:bCs w:val="1"/>
                <w:sz w:val="18"/>
                <w:szCs w:val="18"/>
                <w:rtl w:val="0"/>
              </w:rPr>
              <w:t xml:space="preserve">3.1       ISAR-TBD Observation Model</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i w:val="1"/>
                <w:iCs w:val="1"/>
                <w:color w:val="5a5a5a"/>
                <w:sz w:val="20"/>
                <w:szCs w:val="20"/>
                <w:rtl w:val="0"/>
              </w:rPr>
              <w:t xml:space="preserve">Despite their operational benefits, the widespread</w:t>
            </w:r>
            <w:r w:rsidDel="00000000" w:rsidR="00000000" w:rsidRPr="00000000">
              <w:rPr>
                <w:i w:val="1"/>
                <w:iCs w:val="1"/>
                <w:color w:val="5a5a5a"/>
                <w:sz w:val="20"/>
                <w:szCs w:val="20"/>
              </w:rPr>
              <w:drawing>
                <wp:inline distB="114300" distT="114300" distL="114300" distR="114300">
                  <wp:extent cx="2057083" cy="1133475"/>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057083"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i w:val="1"/>
                <w:iCs w:val="1"/>
                <w:color w:val="5a5a5a"/>
                <w:sz w:val="20"/>
                <w:szCs w:val="20"/>
                <w:rtl w:val="0"/>
              </w:rPr>
              <w:t xml:space="preserve"> accessibility of UAV platforms has also introduced</w:t>
            </w:r>
            <w:r w:rsidDel="00000000" w:rsidR="00000000" w:rsidRPr="00000000">
              <w:rPr>
                <w:rtl w:val="0"/>
              </w:rPr>
            </w:r>
          </w:p>
          <w:p w:rsidR="00000000" w:rsidDel="00000000" w:rsidP="00000000" w:rsidRDefault="00000000" w:rsidRPr="00000000" w14:paraId="00000020">
            <w:pPr>
              <w:spacing w:after="40" w:before="120" w:lineRule="auto"/>
              <w:rPr/>
            </w:pPr>
            <w:r w:rsidDel="00000000" w:rsidR="00000000" w:rsidRPr="00000000">
              <w:rPr>
                <w:sz w:val="28"/>
                <w:szCs w:val="28"/>
                <w:rtl w:val="0"/>
              </w:rPr>
              <w:t xml:space="preserve">fᴅ = (1 ⁄ λ) (d ⁄ dt) (Rₜ + Rᵣ)       (1)</w:t>
            </w:r>
            <w:r w:rsidDel="00000000" w:rsidR="00000000" w:rsidRPr="00000000">
              <w:rPr>
                <w:rtl w:val="0"/>
              </w:rPr>
            </w:r>
          </w:p>
          <w:p w:rsidR="00000000" w:rsidDel="00000000" w:rsidP="00000000" w:rsidRDefault="00000000" w:rsidRPr="00000000" w14:paraId="00000021">
            <w:pPr>
              <w:spacing w:after="40" w:lineRule="auto"/>
              <w:rPr/>
            </w:pPr>
            <w:r w:rsidDel="00000000" w:rsidR="00000000" w:rsidRPr="00000000">
              <w:rPr>
                <w:sz w:val="28"/>
                <w:szCs w:val="28"/>
                <w:rtl w:val="0"/>
              </w:rPr>
              <w:t xml:space="preserve">sᴹᴰ(t) = Σᵢ₌₁ᴺᵇ Aᵢ cos(2π fᵣ,ᵢ t + ϕᵢ)       (2)</w:t>
            </w:r>
            <w:r w:rsidDel="00000000" w:rsidR="00000000" w:rsidRPr="00000000">
              <w:rPr>
                <w:rtl w:val="0"/>
              </w:rPr>
            </w:r>
          </w:p>
          <w:p w:rsidR="00000000" w:rsidDel="00000000" w:rsidP="00000000" w:rsidRDefault="00000000" w:rsidRPr="00000000" w14:paraId="00000022">
            <w:pPr>
              <w:spacing w:after="40" w:lineRule="auto"/>
              <w:jc w:val="center"/>
              <w:rPr/>
            </w:pPr>
            <w:r w:rsidDel="00000000" w:rsidR="00000000" w:rsidRPr="00000000">
              <w:rPr>
                <w:rtl w:val="0"/>
              </w:rPr>
            </w:r>
          </w:p>
        </w:tc>
      </w:tr>
      <w:tr>
        <w:trPr>
          <w:cantSplit w:val="0"/>
          <w:tblHeader w:val="0"/>
        </w:trPr>
        <w:tc>
          <w:tcPr>
            <w:vMerge w:val="continue"/>
            <w:tcMar>
              <w:top w:w="20.0" w:type="dxa"/>
              <w:bottom w:w="20.0" w:type="dxa"/>
            </w:tcMar>
          </w:tcPr>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widowControl w:val="0"/>
        <w:spacing w:line="276" w:lineRule="auto"/>
        <w:rPr/>
      </w:pPr>
      <w:r w:rsidDel="00000000" w:rsidR="00000000" w:rsidRPr="00000000">
        <w:rPr/>
        <w:drawing>
          <wp:inline distB="114300" distT="114300" distL="114300" distR="114300">
            <wp:extent cx="6248083" cy="1676400"/>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6248083" cy="1676400"/>
                    </a:xfrm>
                    <a:prstGeom prst="rect"/>
                    <a:ln/>
                  </pic:spPr>
                </pic:pic>
              </a:graphicData>
            </a:graphic>
          </wp:inline>
        </w:drawing>
      </w:r>
      <w:r w:rsidDel="00000000" w:rsidR="00000000" w:rsidRPr="00000000">
        <w:rPr>
          <w:rtl w:val="0"/>
        </w:rPr>
      </w:r>
    </w:p>
    <w:sectPr>
      <w:footerReference r:id="rId9" w:type="default"/>
      <w:pgSz w:h="16834" w:w="11909" w:orient="portrait"/>
      <w:pgMar w:bottom="547" w:top="605" w:left="893" w:right="8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14"/>
        <w:szCs w:val="14"/>
        <w:u w:val="none"/>
        <w:shd w:fill="auto" w:val="clear"/>
        <w:vertAlign w:val="baseline"/>
        <w:rtl w:val="0"/>
      </w:rPr>
      <w:t xml:space="preserve">*CORRESPONDING AUTHOR | Mohamed Barbary | ✉ mohamed.barbary@akhbaracademy.edu.eg</w:t>
    </w:r>
    <w:r w:rsidDel="00000000" w:rsidR="00000000" w:rsidRPr="00000000">
      <w:rPr>
        <w:rtl w:val="0"/>
      </w:rPr>
    </w:r>
  </w:p>
  <w:p w:rsidR="00000000" w:rsidDel="00000000" w:rsidP="00000000" w:rsidRDefault="00000000" w:rsidRPr="00000000" w14:paraId="00000026">
    <w:pPr>
      <w:spacing w:after="0" w:lineRule="auto"/>
      <w:jc w:val="center"/>
      <w:rPr/>
    </w:pPr>
    <w:r w:rsidDel="00000000" w:rsidR="00000000" w:rsidRPr="00000000">
      <w:rPr>
        <w:rFonts w:ascii="Times New Roman" w:cs="Times New Roman" w:eastAsia="Times New Roman" w:hAnsi="Times New Roman"/>
        <w:b w:val="0"/>
        <w:bCs w:val="0"/>
        <w:i w:val="0"/>
        <w:iCs w:val="0"/>
        <w:sz w:val="12"/>
        <w:szCs w:val="12"/>
        <w:rtl w:val="0"/>
      </w:rPr>
      <w:t xml:space="preserve">© 2026 The Author(s). Published by Malaysia-Japan International Institute of Technology Press. This is an open access article under the CC BY-NC 4.0 International license   1</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6"/>
        <w:szCs w:val="1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