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rPr>
          <w:rFonts w:ascii="Times New Roman" w:cs="Times New Roman" w:eastAsia="Times New Roman" w:hAnsi="Times New Roman"/>
          <w:b/>
          <w:bCs/>
          <w:sz w:val="30"/>
          <w:szCs w:val="30"/>
        </w:rPr>
        <w:t xml:space="preserve">The Transparency Discount: A Registry-Informed Framework for Quantifying Publication Bias in Health Technology Assessment</w:t>
      </w:r>
    </w:p>
    <w:p>
      <w:pPr>
        <w:spacing w:after="100"/>
      </w:pPr>
    </w:p>
    <w:p>
      <w:pPr>
        <w:spacing w:after="100"/>
        <w:jc w:val="center"/>
      </w:pPr>
      <w:r>
        <w:rPr>
          <w:rFonts w:ascii="Times New Roman" w:cs="Times New Roman" w:eastAsia="Times New Roman" w:hAnsi="Times New Roman"/>
          <w:i/>
          <w:iCs/>
          <w:sz w:val="20"/>
          <w:szCs w:val="20"/>
        </w:rPr>
        <w:t xml:space="preserve">Revised manuscript (R2) addressing Round 2 multi-persona BMJ peer review</w:t>
      </w:r>
    </w:p>
    <w:p>
      <w:pPr>
        <w:spacing w:after="200"/>
      </w:pP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Reporting:</w:t>
      </w:r>
      <w:r>
        <w:rPr>
          <w:rFonts w:ascii="Times New Roman" w:cs="Times New Roman" w:eastAsia="Times New Roman" w:hAnsi="Times New Roman"/>
          <w:i w:val="false"/>
          <w:iCs w:val="false"/>
          <w:sz w:val="22"/>
          <w:szCs w:val="22"/>
        </w:rPr>
        <w:t xml:space="preserve"> This manuscript follows the Consolidated Health Economic Evaluation Reporting Standards (CHEERS 2022) where applicable. A completed CHEERS 2022 checklist is provided as Supplementary File 2. Simulation methods are reported following ADEMP (Aims, Data-generating mechanisms, Estimands, Methods, Performance measures) guidelines.</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Ethics:</w:t>
      </w:r>
      <w:r>
        <w:rPr>
          <w:rFonts w:ascii="Times New Roman" w:cs="Times New Roman" w:eastAsia="Times New Roman" w:hAnsi="Times New Roman"/>
          <w:i w:val="false"/>
          <w:iCs w:val="false"/>
          <w:sz w:val="22"/>
          <w:szCs w:val="22"/>
        </w:rPr>
        <w:t xml:space="preserve"> This study uses only publicly available, aggregate-level data from published literature and ClinicalTrials.gov. No ethics approval was required.</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Funding:</w:t>
      </w:r>
      <w:r>
        <w:rPr>
          <w:rFonts w:ascii="Times New Roman" w:cs="Times New Roman" w:eastAsia="Times New Roman" w:hAnsi="Times New Roman"/>
          <w:i w:val="false"/>
          <w:iCs w:val="false"/>
          <w:sz w:val="22"/>
          <w:szCs w:val="22"/>
        </w:rPr>
        <w:t xml:space="preserve"> None.</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Conflicts of interest:</w:t>
      </w:r>
      <w:r>
        <w:rPr>
          <w:rFonts w:ascii="Times New Roman" w:cs="Times New Roman" w:eastAsia="Times New Roman" w:hAnsi="Times New Roman"/>
          <w:i w:val="false"/>
          <w:iCs w:val="false"/>
          <w:sz w:val="22"/>
          <w:szCs w:val="22"/>
        </w:rPr>
        <w:t xml:space="preserve"> None declared.</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Data and code availability:</w:t>
      </w:r>
      <w:r>
        <w:rPr>
          <w:rFonts w:ascii="Times New Roman" w:cs="Times New Roman" w:eastAsia="Times New Roman" w:hAnsi="Times New Roman"/>
          <w:i w:val="false"/>
          <w:iCs w:val="false"/>
          <w:sz w:val="22"/>
          <w:szCs w:val="22"/>
        </w:rPr>
        <w:t xml:space="preserve"> All analysis code is provided in Supplementary File 1 and deposited at [repository DOI: Zenodo link to be minted from GitHub release prior to final acceptance]. The code reproduces all numerical results in this manuscript when run with Python 3.8+ and the numpy/scipy libraries. All data used are derived from Turner et al. (2008) and are publicly available.</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Word count:</w:t>
      </w:r>
      <w:r>
        <w:rPr>
          <w:rFonts w:ascii="Times New Roman" w:cs="Times New Roman" w:eastAsia="Times New Roman" w:hAnsi="Times New Roman"/>
          <w:i w:val="false"/>
          <w:iCs w:val="false"/>
          <w:sz w:val="22"/>
          <w:szCs w:val="22"/>
        </w:rPr>
        <w:t xml:space="preserve"> [to be finalised]</w:t>
      </w:r>
    </w:p>
    <w:p>
      <w:r>
        <w:br w:type="page"/>
      </w:r>
    </w:p>
    <w:p>
      <w:pPr>
        <w:pStyle w:val="Heading1"/>
        <w:spacing w:before="360" w:after="200"/>
      </w:pPr>
      <w:r>
        <w:rPr>
          <w:rFonts w:ascii="Times New Roman" w:cs="Times New Roman" w:eastAsia="Times New Roman" w:hAnsi="Times New Roman"/>
          <w:b/>
          <w:bCs/>
          <w:color w:val="000000"/>
          <w:sz w:val="28"/>
          <w:szCs w:val="28"/>
        </w:rPr>
        <w:t xml:space="preserve">Abstract</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Background:</w:t>
      </w:r>
      <w:r>
        <w:rPr>
          <w:rFonts w:ascii="Times New Roman" w:cs="Times New Roman" w:eastAsia="Times New Roman" w:hAnsi="Times New Roman"/>
          <w:i w:val="false"/>
          <w:iCs w:val="false"/>
          <w:sz w:val="22"/>
          <w:szCs w:val="22"/>
        </w:rPr>
        <w:t xml:space="preserve"> Health Technology Assessment (HTA) bodies rely on published meta-analyses that may be distorted by publication bias. No standardised quantitative correction links trial registry data to cost-effectiveness calculations.</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Methods:</w:t>
      </w:r>
      <w:r>
        <w:rPr>
          <w:rFonts w:ascii="Times New Roman" w:cs="Times New Roman" w:eastAsia="Times New Roman" w:hAnsi="Times New Roman"/>
          <w:i w:val="false"/>
          <w:iCs w:val="false"/>
          <w:sz w:val="22"/>
          <w:szCs w:val="22"/>
        </w:rPr>
        <w:t xml:space="preserve"> We define the Integrity Ratio (λ) as the proportion of registered patient-data that is published. We evaluate three correction approaches: (1) naïve λ-dilution (zero-effect assumption for unpublished trials), (2) trim-and-fill, and (3) inverse probability weighting (IPW) following Huang et al. (2023). We validate using the Turner et al. (2008) antidepressant dataset (74 trials, 12,564 patients) where FDA reviews provide ground-truth effect sizes. We conduct a Monte Carlo simulation (2,000 iterations, six scenarios) and embed the adjustment within a three-state Markov cost-effectiveness model.</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Results:</w:t>
      </w:r>
      <w:r>
        <w:rPr>
          <w:rFonts w:ascii="Times New Roman" w:cs="Times New Roman" w:eastAsia="Times New Roman" w:hAnsi="Times New Roman"/>
          <w:i w:val="false"/>
          <w:iCs w:val="false"/>
          <w:sz w:val="22"/>
          <w:szCs w:val="22"/>
        </w:rPr>
        <w:t xml:space="preserve"> In the Turner dataset (λ = 0.725), the λ-dilution reduced published efficacy from 0.41 to 0.30 (FDA truth: 0.31; error: -4.1%). Trim-and-fill adjusted to 0.37 (error: +18.0%). IPW adjusted to 0.34 (error: +10.3%). In simulation, IPW and λ-dilution both showed near-zero bias under publication selection; λ-dilution introduced conservative bias (−0.048) when no selection was present. In the Markov model, λ-adjustment shifted the ICER from £53,771 to £70,139/QALY.</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Conclusions:</w:t>
      </w:r>
      <w:r>
        <w:rPr>
          <w:rFonts w:ascii="Times New Roman" w:cs="Times New Roman" w:eastAsia="Times New Roman" w:hAnsi="Times New Roman"/>
          <w:i w:val="false"/>
          <w:iCs w:val="false"/>
          <w:sz w:val="22"/>
          <w:szCs w:val="22"/>
        </w:rPr>
        <w:t xml:space="preserve"> Registry-derived evidence completeness measures can be integrated into HTA economic evaluations. We encourage HTA bodies to pilot registry audits as a standard component of evidence assessment.</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i w:val="false"/>
          <w:iCs w:val="false"/>
          <w:sz w:val="22"/>
          <w:szCs w:val="22"/>
        </w:rPr>
        <w:t xml:space="preserve"> publication bias, health technology assessment, meta-analysis, cost-effectiveness, clinical trial registries, inverse probability weighting</w:t>
      </w:r>
    </w:p>
    <w:p>
      <w:r>
        <w:br w:type="page"/>
      </w:r>
    </w:p>
    <w:p>
      <w:pPr>
        <w:pStyle w:val="Heading1"/>
        <w:spacing w:before="360" w:after="200"/>
      </w:pPr>
      <w:r>
        <w:rPr>
          <w:rFonts w:ascii="Times New Roman" w:cs="Times New Roman" w:eastAsia="Times New Roman" w:hAnsi="Times New Roman"/>
          <w:b/>
          <w:bCs/>
          <w:color w:val="000000"/>
          <w:sz w:val="28"/>
          <w:szCs w:val="28"/>
        </w:rPr>
        <w:t xml:space="preserve">Introduction</w:t>
      </w:r>
    </w:p>
    <w:p>
      <w:pPr>
        <w:spacing w:after="160" w:line="300"/>
        <w:jc w:val="both"/>
      </w:pPr>
      <w:r>
        <w:rPr>
          <w:rFonts w:ascii="Times New Roman" w:cs="Times New Roman" w:eastAsia="Times New Roman" w:hAnsi="Times New Roman"/>
          <w:i w:val="false"/>
          <w:iCs w:val="false"/>
          <w:sz w:val="22"/>
          <w:szCs w:val="22"/>
        </w:rPr>
        <w:t xml:space="preserve">The validity of evidence-based medicine depends on the completeness of the published evidence base. The "file drawer problem" — first described by Rosenthal (1979) — refers to the systematic non-publication of clinical trials with null or negative results. Turner et al. (2008) demonstrated this empirically for antidepressants: among 74 FDA-registered trials involving 12,564 patients, 94% of published trials appeared positive, whereas only 51% were classified as positive by the FDA. The overall effect size was inflated by 32% in the published literature (0.41 vs. 0.31).</w:t>
      </w:r>
    </w:p>
    <w:p>
      <w:pPr>
        <w:spacing w:after="160" w:line="300"/>
        <w:jc w:val="both"/>
      </w:pPr>
      <w:r>
        <w:rPr>
          <w:rFonts w:ascii="Times New Roman" w:cs="Times New Roman" w:eastAsia="Times New Roman" w:hAnsi="Times New Roman"/>
          <w:i w:val="false"/>
          <w:iCs w:val="false"/>
          <w:sz w:val="22"/>
          <w:szCs w:val="22"/>
        </w:rPr>
        <w:t xml:space="preserve">This distortion carries substantial financial consequences. HTA bodies — including the National Institute for Health and Care Excellence (NICE) in the UK, the Institute for Clinical and Economic Review (ICER) in the US, and the Institut für Qualität und Wirtschaftlichkeit im Gesundheitswesen (IQWiG) in Germany — evaluate new drugs using the incremental cost-effectiveness ratio (ICER), which divides incremental cost by incremental health benefit measured in quality-adjusted life years (QALYs). If publication bias inflates the denominator, the resulting ICER is artificially favourable, potentially leading to reimbursement at prices unjustified by true efficacy.</w:t>
      </w:r>
    </w:p>
    <w:p>
      <w:pPr>
        <w:spacing w:after="160" w:line="300"/>
        <w:jc w:val="both"/>
      </w:pPr>
      <w:r>
        <w:rPr>
          <w:rFonts w:ascii="Times New Roman" w:cs="Times New Roman" w:eastAsia="Times New Roman" w:hAnsi="Times New Roman"/>
          <w:i w:val="false"/>
          <w:iCs w:val="false"/>
          <w:sz w:val="22"/>
          <w:szCs w:val="22"/>
        </w:rPr>
        <w:t xml:space="preserve">Current HTA practice addresses publication bias qualitatively. NICE’s methods manual (2022) requires assessment of risk of bias including reporting bias. Evidence Review Groups (ERGs) can adjust manufacturer base cases, probabilistic sensitivity analysis explores parameter uncertainty, and conditional approval pathways (Managed Access Agreements, Coverage with Evidence Development) provide mechanisms for managing uncertainty. However, no standardised quantitative mechanism exists to link the magnitude of missing registry data directly to the cost-effectiveness calculation.</w:t>
      </w:r>
    </w:p>
    <w:p>
      <w:pPr>
        <w:spacing w:after="160" w:line="300"/>
        <w:jc w:val="both"/>
      </w:pPr>
      <w:r>
        <w:rPr>
          <w:rFonts w:ascii="Times New Roman" w:cs="Times New Roman" w:eastAsia="Times New Roman" w:hAnsi="Times New Roman"/>
          <w:i w:val="false"/>
          <w:iCs w:val="false"/>
          <w:sz w:val="22"/>
          <w:szCs w:val="22"/>
        </w:rPr>
        <w:t xml:space="preserve">Recent methodological advances have begun to bridge this gap. Huang, Morikawa, Friede &amp; Hattori (2023) developed an inverse probability weighting (IPW) approach that uses clinical trial registry data to estimate a selection function and reweights published studies accordingly. This frames publication bias as a missing-data problem under the missing-not-at-random (MNAR) assumption and provides formal statistical inference including confidence intervals.</w:t>
      </w:r>
    </w:p>
    <w:p>
      <w:pPr>
        <w:spacing w:after="160" w:line="300"/>
        <w:jc w:val="both"/>
      </w:pPr>
      <w:r>
        <w:rPr>
          <w:rFonts w:ascii="Times New Roman" w:cs="Times New Roman" w:eastAsia="Times New Roman" w:hAnsi="Times New Roman"/>
          <w:i w:val="false"/>
          <w:iCs w:val="false"/>
          <w:sz w:val="22"/>
          <w:szCs w:val="22"/>
        </w:rPr>
        <w:t xml:space="preserve">In this paper, we propose the "Transparency Discount" — a complementary framework that translates registry-derived evidence completeness measures into adjustments for HTA economic evaluations. We position the simple λ-dilution as an accessible lower-bound estimator suitable for rapid policy communication, while recommending the IPW approach of Huang et al. (2023) for formal submissions. We validate using the Turner antidepressant dataset, conduct a simulation study to characterise performance, and embed the adjustment within a cost-effectiveness model with sensitivity analyses on the adjustment scale.</w:t>
      </w:r>
    </w:p>
    <w:p>
      <w:pPr>
        <w:spacing w:after="160" w:line="300"/>
        <w:jc w:val="both"/>
      </w:pPr>
      <w:r>
        <w:rPr>
          <w:rFonts w:ascii="Times New Roman" w:cs="Times New Roman" w:eastAsia="Times New Roman" w:hAnsi="Times New Roman"/>
          <w:i w:val="false"/>
          <w:iCs w:val="false"/>
          <w:sz w:val="22"/>
          <w:szCs w:val="22"/>
        </w:rPr>
        <w:t xml:space="preserve">This work was developed concurrently with Huang et al. (2023). Our contribution is the translation of publication-bias correction into the economic evaluation framework of HTA decision-making: defining the Integrity Ratio as an operational metric, specifying the registry search protocol, embedding the adjustment in a cost-effectiveness model, and framing the policy incentive structure.</w:t>
      </w:r>
    </w:p>
    <w:p>
      <w:r>
        <w:br w:type="page"/>
      </w:r>
    </w:p>
    <w:p>
      <w:pPr>
        <w:pStyle w:val="Heading1"/>
        <w:spacing w:before="360" w:after="200"/>
      </w:pPr>
      <w:r>
        <w:rPr>
          <w:rFonts w:ascii="Times New Roman" w:cs="Times New Roman" w:eastAsia="Times New Roman" w:hAnsi="Times New Roman"/>
          <w:b/>
          <w:bCs/>
          <w:color w:val="000000"/>
          <w:sz w:val="28"/>
          <w:szCs w:val="28"/>
        </w:rPr>
        <w:t xml:space="preserve">Methods</w:t>
      </w:r>
    </w:p>
    <w:p>
      <w:pPr>
        <w:pStyle w:val="Heading2"/>
        <w:spacing w:before="280" w:after="160"/>
      </w:pPr>
      <w:r>
        <w:rPr>
          <w:rFonts w:ascii="Times New Roman" w:cs="Times New Roman" w:eastAsia="Times New Roman" w:hAnsi="Times New Roman"/>
          <w:b/>
          <w:bCs/>
          <w:color w:val="000000"/>
          <w:sz w:val="24"/>
          <w:szCs w:val="24"/>
        </w:rPr>
        <w:t xml:space="preserve">The Integrity Ratio (λ)</w:t>
      </w:r>
    </w:p>
    <w:p>
      <w:pPr>
        <w:spacing w:after="160" w:line="300"/>
        <w:jc w:val="both"/>
      </w:pPr>
      <w:r>
        <w:rPr>
          <w:rFonts w:ascii="Times New Roman" w:cs="Times New Roman" w:eastAsia="Times New Roman" w:hAnsi="Times New Roman"/>
          <w:i w:val="false"/>
          <w:iCs w:val="false"/>
          <w:sz w:val="22"/>
          <w:szCs w:val="22"/>
        </w:rPr>
        <w:t xml:space="preserve">For a given drug, let V denote the set of published Phase II/III trials and G the set of registered-but-unpublished trials ("ghost trials"). We define:</w:t>
      </w:r>
    </w:p>
    <w:p>
      <w:pPr>
        <w:spacing w:after="160" w:line="300"/>
        <w:jc w:val="both"/>
      </w:pPr>
      <w:r>
        <w:rPr>
          <w:rFonts w:ascii="Times New Roman" w:cs="Times New Roman" w:eastAsia="Times New Roman" w:hAnsi="Times New Roman"/>
          <w:i w:val="false"/>
          <w:iCs w:val="false"/>
          <w:sz w:val="22"/>
          <w:szCs w:val="22"/>
        </w:rPr>
        <w:t xml:space="preserve">λ = Σ n_i (i ∈ V) / [Σ n_i (i ∈ V) + Σ n_j (j ∈ G)]</w:t>
      </w:r>
    </w:p>
    <w:p>
      <w:pPr>
        <w:spacing w:after="160" w:line="300"/>
        <w:jc w:val="both"/>
      </w:pPr>
      <w:r>
        <w:rPr>
          <w:rFonts w:ascii="Times New Roman" w:cs="Times New Roman" w:eastAsia="Times New Roman" w:hAnsi="Times New Roman"/>
          <w:i w:val="false"/>
          <w:iCs w:val="false"/>
          <w:sz w:val="22"/>
          <w:szCs w:val="22"/>
        </w:rPr>
        <w:t xml:space="preserve">where n_i is the number of patients in trial i. If all trials are published, λ = 1. If half the patient-data is missing, λ = 0.5.</w:t>
      </w:r>
    </w:p>
    <w:p>
      <w:pPr>
        <w:spacing w:after="160" w:line="300"/>
        <w:jc w:val="both"/>
      </w:pPr>
      <w:r>
        <w:rPr>
          <w:rFonts w:ascii="Times New Roman" w:cs="Times New Roman" w:eastAsia="Times New Roman" w:hAnsi="Times New Roman"/>
          <w:i w:val="false"/>
          <w:iCs w:val="false"/>
          <w:sz w:val="22"/>
          <w:szCs w:val="22"/>
        </w:rPr>
        <w:t xml:space="preserve">We use the term "ghost trial" as shorthand for an unreported completed trial (equivalent to standard Cochrane terminology for non-published completed studies). We define a trial as a ghost trial if it meets </w:t>
      </w:r>
      <w:r>
        <w:rPr>
          <w:rFonts w:ascii="Times New Roman" w:cs="Times New Roman" w:eastAsia="Times New Roman" w:hAnsi="Times New Roman"/>
          <w:b/>
          <w:bCs/>
          <w:sz w:val="22"/>
          <w:szCs w:val="22"/>
        </w:rPr>
        <w:t xml:space="preserve">all</w:t>
      </w:r>
      <w:r>
        <w:rPr>
          <w:rFonts w:ascii="Times New Roman" w:cs="Times New Roman" w:eastAsia="Times New Roman" w:hAnsi="Times New Roman"/>
          <w:i w:val="false"/>
          <w:iCs w:val="false"/>
          <w:sz w:val="22"/>
          <w:szCs w:val="22"/>
        </w:rPr>
        <w:t xml:space="preserve"> of the following criteria: (1) registered on ClinicalTrials.gov, the EU Clinical Trials Register (EudraCT), or any WHO ICTRP primary registry; (2) status marked as "Completed"; (3) completion date exceeding the applicable grace period (36 months for ClinicalTrials.gov; 12 months for CTIS-registered EU trials, reflecting the mandatory disclosure timeline under EU Regulation 536/2014); (4) no linked peer-reviewed publication identified via registry results posting, PubMed, Google Scholar, or manufacturer disclosure; (5) not terminated for reasons unrelated to efficacy. For criterion 5, where the ClinicalTrials.gov "Why Study Stopped" field is ambiguous (e.g., "sponsor decision", "business reasons"), the trial should be classified as ambiguous and λ should be calculated both including and excluding such trials as a sensitivity analysis.</w:t>
      </w:r>
    </w:p>
    <w:p>
      <w:pPr>
        <w:spacing w:after="160" w:line="300"/>
        <w:jc w:val="both"/>
      </w:pPr>
      <w:r>
        <w:rPr>
          <w:rFonts w:ascii="Times New Roman" w:cs="Times New Roman" w:eastAsia="Times New Roman" w:hAnsi="Times New Roman"/>
          <w:i w:val="false"/>
          <w:iCs w:val="false"/>
          <w:sz w:val="22"/>
          <w:szCs w:val="22"/>
        </w:rPr>
        <w:t xml:space="preserve">This classification should be independently verified by two reviewers, with disagreements resolved by a third. In an HTA context, manufacturers should have the opportunity to contest the λ calculation — for example, by explaining that a classified ghost trial was a dose-finding study not relevant to the submission — analogous to the factual accuracy check in NICE’s single technology appraisal process.</w:t>
      </w:r>
    </w:p>
    <w:p>
      <w:pPr>
        <w:pStyle w:val="Heading2"/>
        <w:spacing w:before="280" w:after="160"/>
      </w:pPr>
      <w:r>
        <w:rPr>
          <w:rFonts w:ascii="Times New Roman" w:cs="Times New Roman" w:eastAsia="Times New Roman" w:hAnsi="Times New Roman"/>
          <w:b/>
          <w:bCs/>
          <w:color w:val="000000"/>
          <w:sz w:val="24"/>
          <w:szCs w:val="24"/>
        </w:rPr>
        <w:t xml:space="preserve">Three Correction Approaches</w:t>
      </w:r>
    </w:p>
    <w:p>
      <w:pPr>
        <w:pStyle w:val="Heading3"/>
        <w:spacing w:before="240" w:after="120"/>
      </w:pPr>
      <w:r>
        <w:rPr>
          <w:rFonts w:ascii="Times New Roman" w:cs="Times New Roman" w:eastAsia="Times New Roman" w:hAnsi="Times New Roman"/>
          <w:b/>
          <w:bCs/>
          <w:i/>
          <w:iCs/>
          <w:color w:val="000000"/>
          <w:sz w:val="22"/>
          <w:szCs w:val="22"/>
        </w:rPr>
        <w:t xml:space="preserve">Approach 1: Naïve λ-dilution (lower bound)</w:t>
      </w:r>
    </w:p>
    <w:p>
      <w:pPr>
        <w:spacing w:after="160" w:line="300"/>
        <w:jc w:val="both"/>
      </w:pPr>
      <w:r>
        <w:rPr>
          <w:rFonts w:ascii="Times New Roman" w:cs="Times New Roman" w:eastAsia="Times New Roman" w:hAnsi="Times New Roman"/>
          <w:i w:val="false"/>
          <w:iCs w:val="false"/>
          <w:sz w:val="22"/>
          <w:szCs w:val="22"/>
        </w:rPr>
        <w:t xml:space="preserve">This approach assumes unpublished trials have a true effect size of zero:</w:t>
      </w:r>
    </w:p>
    <w:p>
      <w:pPr>
        <w:spacing w:after="160" w:line="300"/>
        <w:jc w:val="both"/>
      </w:pPr>
      <w:r>
        <w:rPr>
          <w:rFonts w:ascii="Times New Roman" w:cs="Times New Roman" w:eastAsia="Times New Roman" w:hAnsi="Times New Roman"/>
          <w:i w:val="false"/>
          <w:iCs w:val="false"/>
          <w:sz w:val="22"/>
          <w:szCs w:val="22"/>
        </w:rPr>
        <w:t xml:space="preserve">θ̂_adj = θ̂_pub × λ</w:t>
      </w:r>
    </w:p>
    <w:p>
      <w:pPr>
        <w:spacing w:after="160" w:line="300"/>
        <w:jc w:val="both"/>
      </w:pPr>
      <w:r>
        <w:rPr>
          <w:rFonts w:ascii="Times New Roman" w:cs="Times New Roman" w:eastAsia="Times New Roman" w:hAnsi="Times New Roman"/>
          <w:i w:val="false"/>
          <w:iCs w:val="false"/>
          <w:sz w:val="22"/>
          <w:szCs w:val="22"/>
        </w:rPr>
        <w:t xml:space="preserve">This is a deterministic worst-case calculation analogous to a tipping-point analysis. It is </w:t>
      </w:r>
      <w:r>
        <w:rPr>
          <w:rFonts w:ascii="Times New Roman" w:cs="Times New Roman" w:eastAsia="Times New Roman" w:hAnsi="Times New Roman"/>
          <w:b/>
          <w:bCs/>
          <w:sz w:val="22"/>
          <w:szCs w:val="22"/>
        </w:rPr>
        <w:t xml:space="preserve">not</w:t>
      </w:r>
      <w:r>
        <w:rPr>
          <w:rFonts w:ascii="Times New Roman" w:cs="Times New Roman" w:eastAsia="Times New Roman" w:hAnsi="Times New Roman"/>
          <w:i w:val="false"/>
          <w:iCs w:val="false"/>
          <w:sz w:val="22"/>
          <w:szCs w:val="22"/>
        </w:rPr>
        <w:t xml:space="preserve"> a Bayesian estimate. Its primary value is transparency and ease of communication.</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Limitation:</w:t>
      </w:r>
      <w:r>
        <w:rPr>
          <w:rFonts w:ascii="Times New Roman" w:cs="Times New Roman" w:eastAsia="Times New Roman" w:hAnsi="Times New Roman"/>
          <w:i w:val="false"/>
          <w:iCs w:val="false"/>
          <w:sz w:val="22"/>
          <w:szCs w:val="22"/>
        </w:rPr>
        <w:t xml:space="preserve"> This approach uses patient-count proportions as a proxy for inverse-variance weights, which is valid only if within-study variances are approximately equal. We construct bootstrap confidence intervals by resampling both published and ghost trials (with replacement) to enable fair comparison with the other methods.</w:t>
      </w:r>
    </w:p>
    <w:p>
      <w:pPr>
        <w:pStyle w:val="Heading3"/>
        <w:spacing w:before="240" w:after="120"/>
      </w:pPr>
      <w:r>
        <w:rPr>
          <w:rFonts w:ascii="Times New Roman" w:cs="Times New Roman" w:eastAsia="Times New Roman" w:hAnsi="Times New Roman"/>
          <w:b/>
          <w:bCs/>
          <w:i/>
          <w:iCs/>
          <w:color w:val="000000"/>
          <w:sz w:val="22"/>
          <w:szCs w:val="22"/>
        </w:rPr>
        <w:t xml:space="preserve">Approach 2: Trim-and-fill (Duval &amp; Tweedie, 2000)</w:t>
      </w:r>
    </w:p>
    <w:p>
      <w:pPr>
        <w:spacing w:after="160" w:line="300"/>
        <w:jc w:val="both"/>
      </w:pPr>
      <w:r>
        <w:rPr>
          <w:rFonts w:ascii="Times New Roman" w:cs="Times New Roman" w:eastAsia="Times New Roman" w:hAnsi="Times New Roman"/>
          <w:i w:val="false"/>
          <w:iCs w:val="false"/>
          <w:sz w:val="22"/>
          <w:szCs w:val="22"/>
        </w:rPr>
        <w:t xml:space="preserve">We implement the R0 estimator of Duval and Tweedie (2000), which infers missing studies from funnel-plot asymmetry and imputes mirror-image effect sizes. Trim-and-fill does not use registry data. We include it as a benchmark representing current standard practice, while noting that once registry data is available, the IPW method (Approach 3) is theoretically preferred. The Vevea-Hedges weight-function model (Vevea &amp; Hedges, 1995) is a further established alternative; we excluded it from our primary comparison because it requires specification of weight-function cut-points, whereas our focus is on methods that can be directly informed by registry data.</w:t>
      </w:r>
    </w:p>
    <w:p>
      <w:pPr>
        <w:pStyle w:val="Heading3"/>
        <w:spacing w:before="240" w:after="120"/>
      </w:pPr>
      <w:r>
        <w:rPr>
          <w:rFonts w:ascii="Times New Roman" w:cs="Times New Roman" w:eastAsia="Times New Roman" w:hAnsi="Times New Roman"/>
          <w:b/>
          <w:bCs/>
          <w:i/>
          <w:iCs/>
          <w:color w:val="000000"/>
          <w:sz w:val="22"/>
          <w:szCs w:val="22"/>
        </w:rPr>
        <w:t xml:space="preserve">Approach 3: Inverse Probability Weighting (Huang et al., 2023)</w:t>
      </w:r>
    </w:p>
    <w:p>
      <w:pPr>
        <w:spacing w:after="160" w:line="300"/>
        <w:jc w:val="both"/>
      </w:pPr>
      <w:r>
        <w:rPr>
          <w:rFonts w:ascii="Times New Roman" w:cs="Times New Roman" w:eastAsia="Times New Roman" w:hAnsi="Times New Roman"/>
          <w:i w:val="false"/>
          <w:iCs w:val="false"/>
          <w:sz w:val="22"/>
          <w:szCs w:val="22"/>
        </w:rPr>
        <w:t xml:space="preserve">The IPW approach of Huang et al. (2023) models the selection function π_i = P(Z_i = 1 | t_i) as a function of the t-statistic, using planned sample sizes from the registry as an auxiliary variable. Each published study is reweighted by 1/π̂_i, upweighting studies with low publication probability. We implement this from scratch following the methodology in Huang et al. (2023), using a probit-type selection function: P(Z_i = 1) = Φ(α₀ + α₁ × |t_i|). Parameters (α₀, α₁) are estimated by maximum likelihood. Bootstrap confidence intervals are computed from 2,000 resamples.</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We recommend Approach 3 as the preferred statistical method for formal HTA submissions.</w:t>
      </w:r>
      <w:r>
        <w:rPr>
          <w:rFonts w:ascii="Times New Roman" w:cs="Times New Roman" w:eastAsia="Times New Roman" w:hAnsi="Times New Roman"/>
          <w:i w:val="false"/>
          <w:iCs w:val="false"/>
          <w:sz w:val="22"/>
          <w:szCs w:val="22"/>
        </w:rPr>
        <w:t xml:space="preserve"> Approach 1 is offered as a rapid, transparent lower-bound for policy communication and as a screening tool when detailed registry data is incomplete.</w:t>
      </w:r>
    </w:p>
    <w:p>
      <w:pPr>
        <w:pStyle w:val="Heading2"/>
        <w:spacing w:before="280" w:after="160"/>
      </w:pPr>
      <w:r>
        <w:rPr>
          <w:rFonts w:ascii="Times New Roman" w:cs="Times New Roman" w:eastAsia="Times New Roman" w:hAnsi="Times New Roman"/>
          <w:b/>
          <w:bCs/>
          <w:color w:val="000000"/>
          <w:sz w:val="24"/>
          <w:szCs w:val="24"/>
        </w:rPr>
        <w:t xml:space="preserve">Validation Dataset: Turner et al. (2008)</w:t>
      </w:r>
    </w:p>
    <w:p>
      <w:pPr>
        <w:spacing w:after="160" w:line="300"/>
        <w:jc w:val="both"/>
      </w:pPr>
      <w:r>
        <w:rPr>
          <w:rFonts w:ascii="Times New Roman" w:cs="Times New Roman" w:eastAsia="Times New Roman" w:hAnsi="Times New Roman"/>
          <w:i w:val="false"/>
          <w:iCs w:val="false"/>
          <w:sz w:val="22"/>
          <w:szCs w:val="22"/>
        </w:rPr>
        <w:t xml:space="preserve">We use the Turner et al. (2008) dataset (DOI: 10.1056/NEJMsa065779) comprising 74 FDA-registered trials of 12 antidepressant agents involving 12,564 patients. The FDA internal reviews provide unbiased ground-truth effect sizes. Since Turner et al. report summary statistics rather than individual study-level data, we reconstruct synthetic study-level data consistent with the reported parameters (52 published studies with pooled ES ≈ 0.41; 22 unpublished studies). The reconstruction procedure is documented in full in the supplementary code (Supplementary File 1). We note that the implied mean effect of unpublished trials is approximately 0.05, confirming that for this dataset, unpublished trials had near-zero effects.</w:t>
      </w:r>
    </w:p>
    <w:p>
      <w:pPr>
        <w:spacing w:after="160" w:line="300"/>
        <w:jc w:val="both"/>
      </w:pPr>
      <w:r>
        <w:rPr>
          <w:rFonts w:ascii="Times New Roman" w:cs="Times New Roman" w:eastAsia="Times New Roman" w:hAnsi="Times New Roman"/>
          <w:i w:val="false"/>
          <w:iCs w:val="false"/>
          <w:sz w:val="22"/>
          <w:szCs w:val="22"/>
        </w:rPr>
        <w:t xml:space="preserve">For the trim-and-fill analysis, the 52 published studies include 37 concordantly positive, 11 published as positive despite negative FDA assessment ("spun" studies), 3 concordantly negative, and 1 positive but unpublished. We include all 52 at their published effect sizes, as this reflects the published evidence base that an HTA body would encounter.</w:t>
      </w:r>
    </w:p>
    <w:p>
      <w:pPr>
        <w:spacing w:before="200" w:after="120"/>
      </w:pPr>
      <w:r>
        <w:rPr>
          <w:rFonts w:ascii="Times New Roman" w:cs="Times New Roman" w:eastAsia="Times New Roman" w:hAnsi="Times New Roman"/>
          <w:b/>
          <w:bCs/>
          <w:sz w:val="20"/>
          <w:szCs w:val="20"/>
        </w:rPr>
        <w:t xml:space="preserve">Table 1. Turner et al. (2008) antidepressant dataset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226"/>
      </w:tblGrid>
      <w:tr>
        <w:tc>
          <w:tcPr>
            <w:tcW w:type="dxa" w:w="4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Parameter</w:t>
            </w:r>
          </w:p>
        </w:tc>
        <w:tc>
          <w:tcPr>
            <w:tcW w:type="dxa" w:w="2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Value</w:t>
            </w:r>
          </w:p>
        </w:tc>
        <w:tc>
          <w:tcPr>
            <w:tcW w:type="dxa" w:w="22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Source</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Total registered trials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74</w:t>
            </w:r>
          </w:p>
        </w:tc>
        <w:tc>
          <w:tcPr>
            <w:tcW w:type="dxa" w:w="22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Turner Table 1</w:t>
            </w:r>
          </w:p>
        </w:tc>
      </w:tr>
      <w:tr>
        <w:tc>
          <w:tcPr>
            <w:tcW w:type="dxa" w:w="4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Total patients</w:t>
            </w:r>
          </w:p>
        </w:tc>
        <w:tc>
          <w:tcPr>
            <w:tcW w:type="dxa" w:w="2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12,564</w:t>
            </w:r>
          </w:p>
        </w:tc>
        <w:tc>
          <w:tcPr>
            <w:tcW w:type="dxa" w:w="22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Turner Table 1</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Patients in published trials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9,115</w:t>
            </w:r>
          </w:p>
        </w:tc>
        <w:tc>
          <w:tcPr>
            <w:tcW w:type="dxa" w:w="22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Turner Table 1</w:t>
            </w:r>
          </w:p>
        </w:tc>
      </w:tr>
      <w:tr>
        <w:tc>
          <w:tcPr>
            <w:tcW w:type="dxa" w:w="4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Patients in unpublished trials</w:t>
            </w:r>
          </w:p>
        </w:tc>
        <w:tc>
          <w:tcPr>
            <w:tcW w:type="dxa" w:w="2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3,449 (27.5%)</w:t>
            </w:r>
          </w:p>
        </w:tc>
        <w:tc>
          <w:tcPr>
            <w:tcW w:type="dxa" w:w="22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Turner Table 1</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Published pooled ES (Hedges' g)</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0.41 (95% CI: 0.36–0.45)</w:t>
            </w:r>
          </w:p>
        </w:tc>
        <w:tc>
          <w:tcPr>
            <w:tcW w:type="dxa" w:w="22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Turner Figure 3B</w:t>
            </w:r>
          </w:p>
        </w:tc>
      </w:tr>
      <w:tr>
        <w:tc>
          <w:tcPr>
            <w:tcW w:type="dxa" w:w="4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FDA ground-truth ES</w:t>
            </w:r>
          </w:p>
        </w:tc>
        <w:tc>
          <w:tcPr>
            <w:tcW w:type="dxa" w:w="2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0.31 (95% CI: 0.27–0.35)</w:t>
            </w:r>
          </w:p>
        </w:tc>
        <w:tc>
          <w:tcPr>
            <w:tcW w:type="dxa" w:w="22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Turner Figure 3B</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Integrity Ratio (λ)</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0.725</w:t>
            </w:r>
          </w:p>
        </w:tc>
        <w:tc>
          <w:tcPr>
            <w:tcW w:type="dxa" w:w="22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Calculated: 9115/12564</w:t>
            </w:r>
          </w:p>
        </w:tc>
      </w:tr>
    </w:tbl>
    <w:p>
      <w:pPr>
        <w:pStyle w:val="Heading2"/>
        <w:spacing w:before="280" w:after="160"/>
      </w:pPr>
      <w:r>
        <w:rPr>
          <w:rFonts w:ascii="Times New Roman" w:cs="Times New Roman" w:eastAsia="Times New Roman" w:hAnsi="Times New Roman"/>
          <w:b/>
          <w:bCs/>
          <w:color w:val="000000"/>
          <w:sz w:val="24"/>
          <w:szCs w:val="24"/>
        </w:rPr>
        <w:t xml:space="preserve">Simulation Study (ADEMP Framework)</w:t>
      </w:r>
    </w:p>
    <w:p>
      <w:pPr>
        <w:pStyle w:val="Heading3"/>
        <w:spacing w:before="240" w:after="120"/>
      </w:pPr>
      <w:r>
        <w:rPr>
          <w:rFonts w:ascii="Times New Roman" w:cs="Times New Roman" w:eastAsia="Times New Roman" w:hAnsi="Times New Roman"/>
          <w:b/>
          <w:bCs/>
          <w:i/>
          <w:iCs/>
          <w:color w:val="000000"/>
          <w:sz w:val="22"/>
          <w:szCs w:val="22"/>
        </w:rPr>
        <w:t xml:space="preserve">Aims</w:t>
      </w:r>
    </w:p>
    <w:p>
      <w:pPr>
        <w:spacing w:after="160" w:line="300"/>
        <w:jc w:val="both"/>
      </w:pPr>
      <w:r>
        <w:rPr>
          <w:rFonts w:ascii="Times New Roman" w:cs="Times New Roman" w:eastAsia="Times New Roman" w:hAnsi="Times New Roman"/>
          <w:i w:val="false"/>
          <w:iCs w:val="false"/>
          <w:sz w:val="22"/>
          <w:szCs w:val="22"/>
        </w:rPr>
        <w:t xml:space="preserve">To characterise the performance of the four methods (published-only, λ-dilution, trim-and-fill, IPW) across varying true effect sizes, selection strengths, and numbers of studies.</w:t>
      </w:r>
    </w:p>
    <w:p>
      <w:pPr>
        <w:pStyle w:val="Heading3"/>
        <w:spacing w:before="240" w:after="120"/>
      </w:pPr>
      <w:r>
        <w:rPr>
          <w:rFonts w:ascii="Times New Roman" w:cs="Times New Roman" w:eastAsia="Times New Roman" w:hAnsi="Times New Roman"/>
          <w:b/>
          <w:bCs/>
          <w:i/>
          <w:iCs/>
          <w:color w:val="000000"/>
          <w:sz w:val="22"/>
          <w:szCs w:val="22"/>
        </w:rPr>
        <w:t xml:space="preserve">Data-generating mechanism</w:t>
      </w:r>
    </w:p>
    <w:p>
      <w:pPr>
        <w:spacing w:after="160" w:line="300"/>
        <w:jc w:val="both"/>
      </w:pPr>
      <w:r>
        <w:rPr>
          <w:rFonts w:ascii="Times New Roman" w:cs="Times New Roman" w:eastAsia="Times New Roman" w:hAnsi="Times New Roman"/>
          <w:i w:val="false"/>
          <w:iCs w:val="false"/>
          <w:sz w:val="22"/>
          <w:szCs w:val="22"/>
        </w:rPr>
        <w:t xml:space="preserve">We simulate meta-analyses under the random-effects model: θ_i ~ N(μ, τ²), with observed effects y_i ~ N(θ_i, σ_i²) where σ_i² = 4/n_i (approximation for standardised mean difference with equal groups in balanced two-group designs). Sample sizes n_i ~ Uniform(50, 500). We set τ² = 0.05 to reflect moderate heterogeneity.</w:t>
      </w:r>
    </w:p>
    <w:p>
      <w:pPr>
        <w:spacing w:after="160" w:line="300"/>
        <w:jc w:val="both"/>
      </w:pPr>
      <w:r>
        <w:rPr>
          <w:rFonts w:ascii="Times New Roman" w:cs="Times New Roman" w:eastAsia="Times New Roman" w:hAnsi="Times New Roman"/>
          <w:i w:val="false"/>
          <w:iCs w:val="false"/>
          <w:sz w:val="22"/>
          <w:szCs w:val="22"/>
        </w:rPr>
        <w:t xml:space="preserve">Publication is governed by a probit selection function: P(Z_i = 1) = Φ(α₀ + α₁ × |t_i|), where t_i = y_i/SE_i. This is the same functional form assumed by the IPW estimator. We note this alignment: in real applications where the true selection function differs from the assumed model, IPW performance would be degraded relative to these simulation results.</w:t>
      </w:r>
    </w:p>
    <w:p>
      <w:pPr>
        <w:pStyle w:val="Heading3"/>
        <w:spacing w:before="240" w:after="120"/>
      </w:pPr>
      <w:r>
        <w:rPr>
          <w:rFonts w:ascii="Times New Roman" w:cs="Times New Roman" w:eastAsia="Times New Roman" w:hAnsi="Times New Roman"/>
          <w:b/>
          <w:bCs/>
          <w:i/>
          <w:iCs/>
          <w:color w:val="000000"/>
          <w:sz w:val="22"/>
          <w:szCs w:val="22"/>
        </w:rPr>
        <w:t xml:space="preserve">Estimands</w:t>
      </w:r>
    </w:p>
    <w:p>
      <w:pPr>
        <w:spacing w:after="160" w:line="300"/>
        <w:jc w:val="both"/>
      </w:pPr>
      <w:r>
        <w:rPr>
          <w:rFonts w:ascii="Times New Roman" w:cs="Times New Roman" w:eastAsia="Times New Roman" w:hAnsi="Times New Roman"/>
          <w:i w:val="false"/>
          <w:iCs w:val="false"/>
          <w:sz w:val="22"/>
          <w:szCs w:val="22"/>
        </w:rPr>
        <w:t xml:space="preserve">The true overall mean μ, measured via bias (mean estimate − true), root mean squared error (RMSE), and 95% confidence interval coverage.</w:t>
      </w:r>
    </w:p>
    <w:p>
      <w:pPr>
        <w:pStyle w:val="Heading3"/>
        <w:spacing w:before="240" w:after="120"/>
      </w:pPr>
      <w:r>
        <w:rPr>
          <w:rFonts w:ascii="Times New Roman" w:cs="Times New Roman" w:eastAsia="Times New Roman" w:hAnsi="Times New Roman"/>
          <w:b/>
          <w:bCs/>
          <w:i/>
          <w:iCs/>
          <w:color w:val="000000"/>
          <w:sz w:val="22"/>
          <w:szCs w:val="22"/>
        </w:rPr>
        <w:t xml:space="preserve">Methods compared</w:t>
      </w:r>
    </w:p>
    <w:p>
      <w:pPr>
        <w:spacing w:after="160" w:line="300"/>
        <w:jc w:val="both"/>
      </w:pPr>
      <w:r>
        <w:rPr>
          <w:rFonts w:ascii="Times New Roman" w:cs="Times New Roman" w:eastAsia="Times New Roman" w:hAnsi="Times New Roman"/>
          <w:i w:val="false"/>
          <w:iCs w:val="false"/>
          <w:sz w:val="22"/>
          <w:szCs w:val="22"/>
        </w:rPr>
        <w:t xml:space="preserve">(1) Naïve published-only random-effects meta-analysis (DerSimonian-Laird); (2) λ-dilution with approximate bootstrap CI; (3) trim-and-fill (R0 estimator); (4) IPW with oracle selection parameters (i.e., using the true α₀ and α₁ from the data-generating mechanism). This oracle specification provides an upper bound on IPW performance; estimated parameters would yield slightly worse coverage.</w:t>
      </w:r>
    </w:p>
    <w:p>
      <w:pPr>
        <w:pStyle w:val="Heading3"/>
        <w:spacing w:before="240" w:after="120"/>
      </w:pPr>
      <w:r>
        <w:rPr>
          <w:rFonts w:ascii="Times New Roman" w:cs="Times New Roman" w:eastAsia="Times New Roman" w:hAnsi="Times New Roman"/>
          <w:b/>
          <w:bCs/>
          <w:i/>
          <w:iCs/>
          <w:color w:val="000000"/>
          <w:sz w:val="22"/>
          <w:szCs w:val="22"/>
        </w:rPr>
        <w:t xml:space="preserve">Performance measures</w:t>
      </w:r>
    </w:p>
    <w:p>
      <w:pPr>
        <w:spacing w:after="160" w:line="300"/>
        <w:jc w:val="both"/>
      </w:pPr>
      <w:r>
        <w:rPr>
          <w:rFonts w:ascii="Times New Roman" w:cs="Times New Roman" w:eastAsia="Times New Roman" w:hAnsi="Times New Roman"/>
          <w:i w:val="false"/>
          <w:iCs w:val="false"/>
          <w:sz w:val="22"/>
          <w:szCs w:val="22"/>
        </w:rPr>
        <w:t xml:space="preserve">Bias, RMSE, 95% CI coverage, computed over 2,000 Monte Carlo iterations per scenario. All simulations use numpy random seed 42 for reproducibility.</w:t>
      </w:r>
    </w:p>
    <w:p>
      <w:pPr>
        <w:spacing w:before="200" w:after="120"/>
      </w:pPr>
      <w:r>
        <w:rPr>
          <w:rFonts w:ascii="Times New Roman" w:cs="Times New Roman" w:eastAsia="Times New Roman" w:hAnsi="Times New Roman"/>
          <w:b/>
          <w:bCs/>
          <w:sz w:val="20"/>
          <w:szCs w:val="20"/>
        </w:rPr>
        <w:t xml:space="preserve">Table 2. Simulation study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Parameter</w:t>
            </w:r>
          </w:p>
        </w:tc>
        <w:tc>
          <w:tcPr>
            <w:tcW w:type="dxa" w:w="50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Values tested</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True effect μ</w:t>
            </w:r>
          </w:p>
        </w:tc>
        <w:tc>
          <w:tcPr>
            <w:tcW w:type="dxa" w:w="5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0.1, 0.3, 0.5</w:t>
            </w:r>
          </w:p>
        </w:tc>
      </w:tr>
      <w:tr>
        <w:tc>
          <w:tcPr>
            <w:tcW w:type="dxa" w:w="4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Between-study variance τ²</w:t>
            </w:r>
          </w:p>
        </w:tc>
        <w:tc>
          <w:tcPr>
            <w:tcW w:type="dxa" w:w="50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0.05</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Number of total trials K</w:t>
            </w:r>
          </w:p>
        </w:tc>
        <w:tc>
          <w:tcPr>
            <w:tcW w:type="dxa" w:w="5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20, 74</w:t>
            </w:r>
          </w:p>
        </w:tc>
      </w:tr>
      <w:tr>
        <w:tc>
          <w:tcPr>
            <w:tcW w:type="dxa" w:w="4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Selection strength α₁</w:t>
            </w:r>
          </w:p>
        </w:tc>
        <w:tc>
          <w:tcPr>
            <w:tcW w:type="dxa" w:w="50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 (none), 1.0 (strong), 1.5 (extreme)</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Base publication rate α₀</w:t>
            </w:r>
          </w:p>
        </w:tc>
        <w:tc>
          <w:tcPr>
            <w:tcW w:type="dxa" w:w="5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 (with α₁&gt;0), 1.0 (with α₁=0)</w:t>
            </w:r>
          </w:p>
        </w:tc>
      </w:tr>
      <w:tr>
        <w:tc>
          <w:tcPr>
            <w:tcW w:type="dxa" w:w="4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Monte Carlo iterations</w:t>
            </w:r>
          </w:p>
        </w:tc>
        <w:tc>
          <w:tcPr>
            <w:tcW w:type="dxa" w:w="50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2,000</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Random seed</w:t>
            </w:r>
          </w:p>
        </w:tc>
        <w:tc>
          <w:tcPr>
            <w:tcW w:type="dxa" w:w="5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42 (numpy)</w:t>
            </w:r>
          </w:p>
        </w:tc>
      </w:tr>
    </w:tbl>
    <w:p>
      <w:pPr>
        <w:pStyle w:val="Heading2"/>
        <w:spacing w:before="280" w:after="160"/>
      </w:pPr>
      <w:r>
        <w:rPr>
          <w:rFonts w:ascii="Times New Roman" w:cs="Times New Roman" w:eastAsia="Times New Roman" w:hAnsi="Times New Roman"/>
          <w:b/>
          <w:bCs/>
          <w:color w:val="000000"/>
          <w:sz w:val="24"/>
          <w:szCs w:val="24"/>
        </w:rPr>
        <w:t xml:space="preserve">Cost-Effectiveness Model</w:t>
      </w:r>
    </w:p>
    <w:p>
      <w:pPr>
        <w:spacing w:after="160" w:line="300"/>
        <w:jc w:val="both"/>
      </w:pPr>
      <w:r>
        <w:rPr>
          <w:rFonts w:ascii="Times New Roman" w:cs="Times New Roman" w:eastAsia="Times New Roman" w:hAnsi="Times New Roman"/>
          <w:i w:val="false"/>
          <w:iCs w:val="false"/>
          <w:sz w:val="22"/>
          <w:szCs w:val="22"/>
        </w:rPr>
        <w:t xml:space="preserve">We embed the efficacy adjustment within a three-state Markov model (Alive-Well → Alive-Ill → Dead) with a lifetime horizon (40 annual cycles), 3.5% annual discount rate for both costs and QALYs (per NICE reference case). The drug reduces the hazard of transitioning from Well to Ill. Background mortality (Well → Dead) is set at 1% per year and illness-related mortality (Ill → Dead) at 15% per year.</w:t>
      </w:r>
    </w:p>
    <w:p>
      <w:pPr>
        <w:pStyle w:val="Heading3"/>
        <w:spacing w:before="240" w:after="120"/>
      </w:pPr>
      <w:r>
        <w:rPr>
          <w:rFonts w:ascii="Times New Roman" w:cs="Times New Roman" w:eastAsia="Times New Roman" w:hAnsi="Times New Roman"/>
          <w:b/>
          <w:bCs/>
          <w:i/>
          <w:iCs/>
          <w:color w:val="000000"/>
          <w:sz w:val="22"/>
          <w:szCs w:val="22"/>
        </w:rPr>
        <w:t xml:space="preserve">HR adjustment: two specifications</w:t>
      </w:r>
    </w:p>
    <w:p>
      <w:pPr>
        <w:spacing w:after="160" w:line="300"/>
        <w:jc w:val="both"/>
      </w:pPr>
      <w:r>
        <w:rPr>
          <w:rFonts w:ascii="Times New Roman" w:cs="Times New Roman" w:eastAsia="Times New Roman" w:hAnsi="Times New Roman"/>
          <w:i w:val="false"/>
          <w:iCs w:val="false"/>
          <w:sz w:val="22"/>
          <w:szCs w:val="22"/>
        </w:rPr>
        <w:t xml:space="preserve">We present results under two alternative specifications for translating the evidence-completeness correction to the hazard ratio:</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Specification A (log-HR attenuation):</w:t>
      </w:r>
      <w:r>
        <w:rPr>
          <w:rFonts w:ascii="Times New Roman" w:cs="Times New Roman" w:eastAsia="Times New Roman" w:hAnsi="Times New Roman"/>
          <w:i w:val="false"/>
          <w:iCs w:val="false"/>
          <w:sz w:val="22"/>
          <w:szCs w:val="22"/>
        </w:rPr>
        <w:t xml:space="preserve"> HR_adj = HR_pub^(λ). On the log-HR scale, this is log(HR_adj) = λ × log(HR_pub), attenuating the log-hazard ratio toward zero.</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Specification B (absolute risk reduction attenuation):</w:t>
      </w:r>
      <w:r>
        <w:rPr>
          <w:rFonts w:ascii="Times New Roman" w:cs="Times New Roman" w:eastAsia="Times New Roman" w:hAnsi="Times New Roman"/>
          <w:i w:val="false"/>
          <w:iCs w:val="false"/>
          <w:sz w:val="22"/>
          <w:szCs w:val="22"/>
        </w:rPr>
        <w:t xml:space="preserve"> HR_adj = 1 − (1 − HR_pub) × λ. This attenuates the absolute reduction in hazard proportionally.</w:t>
      </w:r>
    </w:p>
    <w:p>
      <w:pPr>
        <w:spacing w:after="160" w:line="300"/>
        <w:jc w:val="both"/>
      </w:pPr>
      <w:r>
        <w:rPr>
          <w:rFonts w:ascii="Times New Roman" w:cs="Times New Roman" w:eastAsia="Times New Roman" w:hAnsi="Times New Roman"/>
          <w:i w:val="false"/>
          <w:iCs w:val="false"/>
          <w:sz w:val="22"/>
          <w:szCs w:val="22"/>
        </w:rPr>
        <w:t xml:space="preserve">Both are illustrative; in practice, the IPW-corrected pooled estimate should feed directly into the economic model. We present both to demonstrate sensitivity to the adjustment scale.</w:t>
      </w:r>
    </w:p>
    <w:p>
      <w:pPr>
        <w:spacing w:before="200" w:after="120"/>
      </w:pPr>
      <w:r>
        <w:rPr>
          <w:rFonts w:ascii="Times New Roman" w:cs="Times New Roman" w:eastAsia="Times New Roman" w:hAnsi="Times New Roman"/>
          <w:b/>
          <w:bCs/>
          <w:sz w:val="20"/>
          <w:szCs w:val="20"/>
        </w:rPr>
        <w:t xml:space="preserve">Table 3. Markov model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426"/>
      </w:tblGrid>
      <w:tr>
        <w:tc>
          <w:tcPr>
            <w:tcW w:type="dxa" w:w="4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Parameter</w:t>
            </w:r>
          </w:p>
        </w:tc>
        <w:tc>
          <w:tcPr>
            <w:tcW w:type="dxa" w:w="2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Base case</w:t>
            </w:r>
          </w:p>
        </w:tc>
        <w:tc>
          <w:tcPr>
            <w:tcW w:type="dxa" w:w="24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Source</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Annual transition: Well → Ill (placebo)</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0.08</w:t>
            </w:r>
          </w:p>
        </w:tc>
        <w:tc>
          <w:tcPr>
            <w:tcW w:type="dxa" w:w="2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Illustrative</w:t>
            </w:r>
          </w:p>
        </w:tc>
      </w:tr>
      <w:tr>
        <w:tc>
          <w:tcPr>
            <w:tcW w:type="dxa" w:w="4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Treatment HR (published)</w:t>
            </w:r>
          </w:p>
        </w:tc>
        <w:tc>
          <w:tcPr>
            <w:tcW w:type="dxa" w:w="2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0.65</w:t>
            </w:r>
          </w:p>
        </w:tc>
        <w:tc>
          <w:tcPr>
            <w:tcW w:type="dxa" w:w="24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Illustrative</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Adjusted HR, Spec A (HR^(λ=0.725))</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0.732</w:t>
            </w:r>
          </w:p>
        </w:tc>
        <w:tc>
          <w:tcPr>
            <w:tcW w:type="dxa" w:w="2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Calculated</w:t>
            </w:r>
          </w:p>
        </w:tc>
      </w:tr>
      <w:tr>
        <w:tc>
          <w:tcPr>
            <w:tcW w:type="dxa" w:w="4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Adjusted HR, Spec B (attenuate abs RR)</w:t>
            </w:r>
          </w:p>
        </w:tc>
        <w:tc>
          <w:tcPr>
            <w:tcW w:type="dxa" w:w="2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0.746</w:t>
            </w:r>
          </w:p>
        </w:tc>
        <w:tc>
          <w:tcPr>
            <w:tcW w:type="dxa" w:w="24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Calculated</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Annual transition: Ill → Dead</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0.15</w:t>
            </w:r>
          </w:p>
        </w:tc>
        <w:tc>
          <w:tcPr>
            <w:tcW w:type="dxa" w:w="2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Illustrative</w:t>
            </w:r>
          </w:p>
        </w:tc>
      </w:tr>
      <w:tr>
        <w:tc>
          <w:tcPr>
            <w:tcW w:type="dxa" w:w="4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Background mortality: Well → Dead</w:t>
            </w:r>
          </w:p>
        </w:tc>
        <w:tc>
          <w:tcPr>
            <w:tcW w:type="dxa" w:w="2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0.01</w:t>
            </w:r>
          </w:p>
        </w:tc>
        <w:tc>
          <w:tcPr>
            <w:tcW w:type="dxa" w:w="24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Illustrative</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Utility: Well / Ill</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0.85 / 0.50</w:t>
            </w:r>
          </w:p>
        </w:tc>
        <w:tc>
          <w:tcPr>
            <w:tcW w:type="dxa" w:w="2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Standard</w:t>
            </w:r>
          </w:p>
        </w:tc>
      </w:tr>
      <w:tr>
        <w:tc>
          <w:tcPr>
            <w:tcW w:type="dxa" w:w="4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Drug cost per year</w:t>
            </w:r>
          </w:p>
        </w:tc>
        <w:tc>
          <w:tcPr>
            <w:tcW w:type="dxa" w:w="2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£8,000</w:t>
            </w:r>
          </w:p>
        </w:tc>
        <w:tc>
          <w:tcPr>
            <w:tcW w:type="dxa" w:w="24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Illustrative</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Comparator cost per year (BSC)</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w:t>
            </w:r>
          </w:p>
        </w:tc>
        <w:tc>
          <w:tcPr>
            <w:tcW w:type="dxa" w:w="2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Illustrative (BSC)</w:t>
            </w:r>
          </w:p>
        </w:tc>
      </w:tr>
      <w:tr>
        <w:tc>
          <w:tcPr>
            <w:tcW w:type="dxa" w:w="4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Illness management cost/year</w:t>
            </w:r>
          </w:p>
        </w:tc>
        <w:tc>
          <w:tcPr>
            <w:tcW w:type="dxa" w:w="2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£2,000</w:t>
            </w:r>
          </w:p>
        </w:tc>
        <w:tc>
          <w:tcPr>
            <w:tcW w:type="dxa" w:w="24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Illustrative</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Discount rate</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3.5%</w:t>
            </w:r>
          </w:p>
        </w:tc>
        <w:tc>
          <w:tcPr>
            <w:tcW w:type="dxa" w:w="2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NICE reference case</w:t>
            </w:r>
          </w:p>
        </w:tc>
      </w:tr>
      <w:tr>
        <w:tc>
          <w:tcPr>
            <w:tcW w:type="dxa" w:w="4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Time horizon</w:t>
            </w:r>
          </w:p>
        </w:tc>
        <w:tc>
          <w:tcPr>
            <w:tcW w:type="dxa" w:w="2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40 years (lifetime)</w:t>
            </w:r>
          </w:p>
        </w:tc>
        <w:tc>
          <w:tcPr>
            <w:tcW w:type="dxa" w:w="24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NICE reference case</w:t>
            </w:r>
          </w:p>
        </w:tc>
      </w:tr>
    </w:tbl>
    <w:p>
      <w:pPr>
        <w:pStyle w:val="Heading2"/>
        <w:spacing w:before="280" w:after="160"/>
      </w:pPr>
      <w:r>
        <w:rPr>
          <w:rFonts w:ascii="Times New Roman" w:cs="Times New Roman" w:eastAsia="Times New Roman" w:hAnsi="Times New Roman"/>
          <w:b/>
          <w:bCs/>
          <w:color w:val="000000"/>
          <w:sz w:val="24"/>
          <w:szCs w:val="24"/>
        </w:rPr>
        <w:t xml:space="preserve">Registry Search Protocol</w:t>
      </w:r>
    </w:p>
    <w:p>
      <w:pPr>
        <w:spacing w:after="160" w:line="300"/>
        <w:jc w:val="both"/>
      </w:pPr>
      <w:r>
        <w:rPr>
          <w:rFonts w:ascii="Times New Roman" w:cs="Times New Roman" w:eastAsia="Times New Roman" w:hAnsi="Times New Roman"/>
          <w:i w:val="false"/>
          <w:iCs w:val="false"/>
          <w:sz w:val="22"/>
          <w:szCs w:val="22"/>
        </w:rPr>
        <w:t xml:space="preserve">For real-world implementation: (1) Search ClinicalTrials.gov via the public API using the drug’s generic name, brand name(s), and active ingredient identifiers; filter for Phase II–IV interventional studies. (2) Search EudraCT/CTIS and WHO ICTRP using the same terms. (3) Deduplicate across registries using cross-registration links. (4) For each completed trial, search PubMed, Google Scholar, and manufacturer disclosure websites for linked publications. (5) Apply the ghost-trial classification criteria. (6) Calculate λ using actual enrolled patient counts where available; otherwise use planned sample size.</w:t>
      </w:r>
    </w:p>
    <w:p>
      <w:pPr>
        <w:spacing w:after="160" w:line="300"/>
        <w:jc w:val="both"/>
      </w:pPr>
      <w:r>
        <w:rPr>
          <w:rFonts w:ascii="Times New Roman" w:cs="Times New Roman" w:eastAsia="Times New Roman" w:hAnsi="Times New Roman"/>
          <w:i w:val="false"/>
          <w:iCs w:val="false"/>
          <w:sz w:val="22"/>
          <w:szCs w:val="22"/>
        </w:rPr>
        <w:t xml:space="preserve">A worked example applying this protocol retrospectively to a specific antidepressant from the Turner dataset is provided in Supplementary File 3.</w:t>
      </w:r>
    </w:p>
    <w:p>
      <w:r>
        <w:br w:type="page"/>
      </w:r>
    </w:p>
    <w:p>
      <w:pPr>
        <w:pStyle w:val="Heading1"/>
        <w:spacing w:before="360" w:after="200"/>
      </w:pPr>
      <w:r>
        <w:rPr>
          <w:rFonts w:ascii="Times New Roman" w:cs="Times New Roman" w:eastAsia="Times New Roman" w:hAnsi="Times New Roman"/>
          <w:b/>
          <w:bCs/>
          <w:color w:val="000000"/>
          <w:sz w:val="28"/>
          <w:szCs w:val="28"/>
        </w:rPr>
        <w:t xml:space="preserve">Results</w:t>
      </w:r>
    </w:p>
    <w:p>
      <w:pPr>
        <w:pStyle w:val="Heading2"/>
        <w:spacing w:before="280" w:after="160"/>
      </w:pPr>
      <w:r>
        <w:rPr>
          <w:rFonts w:ascii="Times New Roman" w:cs="Times New Roman" w:eastAsia="Times New Roman" w:hAnsi="Times New Roman"/>
          <w:b/>
          <w:bCs/>
          <w:color w:val="000000"/>
          <w:sz w:val="24"/>
          <w:szCs w:val="24"/>
        </w:rPr>
        <w:t xml:space="preserve">Validation: Turner Antidepressant Dataset</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Integrity Ratio:</w:t>
      </w:r>
      <w:r>
        <w:rPr>
          <w:rFonts w:ascii="Times New Roman" w:cs="Times New Roman" w:eastAsia="Times New Roman" w:hAnsi="Times New Roman"/>
          <w:i w:val="false"/>
          <w:iCs w:val="false"/>
          <w:sz w:val="22"/>
          <w:szCs w:val="22"/>
        </w:rPr>
        <w:t xml:space="preserve"> λ = 9,115 / 12,564 = 0.725. This indicates that 27.5% of all registered patient-data was not represented in the published literature.</w:t>
      </w:r>
    </w:p>
    <w:p>
      <w:pPr>
        <w:pStyle w:val="Heading3"/>
        <w:spacing w:before="240" w:after="120"/>
      </w:pPr>
      <w:r>
        <w:rPr>
          <w:rFonts w:ascii="Times New Roman" w:cs="Times New Roman" w:eastAsia="Times New Roman" w:hAnsi="Times New Roman"/>
          <w:b/>
          <w:bCs/>
          <w:i/>
          <w:iCs/>
          <w:color w:val="000000"/>
          <w:sz w:val="22"/>
          <w:szCs w:val="22"/>
        </w:rPr>
        <w:t xml:space="preserve">Approach 1: Naïve λ-dilution</w:t>
      </w:r>
    </w:p>
    <w:p>
      <w:pPr>
        <w:spacing w:after="160" w:line="300"/>
        <w:jc w:val="both"/>
      </w:pPr>
      <w:r>
        <w:rPr>
          <w:rFonts w:ascii="Times New Roman" w:cs="Times New Roman" w:eastAsia="Times New Roman" w:hAnsi="Times New Roman"/>
          <w:i w:val="false"/>
          <w:iCs w:val="false"/>
          <w:sz w:val="22"/>
          <w:szCs w:val="22"/>
        </w:rPr>
        <w:t xml:space="preserve">Adjusted ES = 0.41 × 0.725 = 0.297. Bootstrap 95% CI: (0.228, 0.328). Error vs. FDA truth (0.31): -0.013 (-4.1%).</w:t>
      </w:r>
    </w:p>
    <w:p>
      <w:pPr>
        <w:spacing w:after="160" w:line="300"/>
        <w:jc w:val="both"/>
      </w:pPr>
      <w:r>
        <w:rPr>
          <w:rFonts w:ascii="Times New Roman" w:cs="Times New Roman" w:eastAsia="Times New Roman" w:hAnsi="Times New Roman"/>
          <w:i w:val="false"/>
          <w:iCs w:val="false"/>
          <w:sz w:val="22"/>
          <w:szCs w:val="22"/>
        </w:rPr>
        <w:t xml:space="preserve">This close agreement is partly contingent on the specific characteristics of this dataset: unpublished trials had near-zero average effects (≈0.05), aligning with the zero-effect assumption.</w:t>
      </w:r>
    </w:p>
    <w:p>
      <w:pPr>
        <w:pStyle w:val="Heading3"/>
        <w:spacing w:before="240" w:after="120"/>
      </w:pPr>
      <w:r>
        <w:rPr>
          <w:rFonts w:ascii="Times New Roman" w:cs="Times New Roman" w:eastAsia="Times New Roman" w:hAnsi="Times New Roman"/>
          <w:b/>
          <w:bCs/>
          <w:i/>
          <w:iCs/>
          <w:color w:val="000000"/>
          <w:sz w:val="22"/>
          <w:szCs w:val="22"/>
        </w:rPr>
        <w:t xml:space="preserve">Approach 2: Trim-and-fill</w:t>
      </w:r>
    </w:p>
    <w:p>
      <w:pPr>
        <w:spacing w:after="160" w:line="300"/>
        <w:jc w:val="both"/>
      </w:pPr>
      <w:r>
        <w:rPr>
          <w:rFonts w:ascii="Times New Roman" w:cs="Times New Roman" w:eastAsia="Times New Roman" w:hAnsi="Times New Roman"/>
          <w:i w:val="false"/>
          <w:iCs w:val="false"/>
          <w:sz w:val="22"/>
          <w:szCs w:val="22"/>
        </w:rPr>
        <w:t xml:space="preserve">The R0 estimator imputed 2 missing studies. Adjusted pooled ES: 0.366 (95% CI: 0.325–0.406). Error: +0.056 (+18.0%). The modest imputation count (2 studies vs. 22 truly missing) reflects that trim-and-fill relies on funnel plot asymmetry, which may not fully capture the missing evidence when suppressed studies are small.</w:t>
      </w:r>
    </w:p>
    <w:p>
      <w:pPr>
        <w:pStyle w:val="Heading3"/>
        <w:spacing w:before="240" w:after="120"/>
      </w:pPr>
      <w:r>
        <w:rPr>
          <w:rFonts w:ascii="Times New Roman" w:cs="Times New Roman" w:eastAsia="Times New Roman" w:hAnsi="Times New Roman"/>
          <w:b/>
          <w:bCs/>
          <w:i/>
          <w:iCs/>
          <w:color w:val="000000"/>
          <w:sz w:val="22"/>
          <w:szCs w:val="22"/>
        </w:rPr>
        <w:t xml:space="preserve">Approach 3: IPW</w:t>
      </w:r>
    </w:p>
    <w:p>
      <w:pPr>
        <w:spacing w:after="160" w:line="300"/>
        <w:jc w:val="both"/>
      </w:pPr>
      <w:r>
        <w:rPr>
          <w:rFonts w:ascii="Times New Roman" w:cs="Times New Roman" w:eastAsia="Times New Roman" w:hAnsi="Times New Roman"/>
          <w:i w:val="false"/>
          <w:iCs w:val="false"/>
          <w:sz w:val="22"/>
          <w:szCs w:val="22"/>
        </w:rPr>
        <w:t xml:space="preserve">The estimated selection function was Φ(0.001 + 0.460 × |t|). Adjusted ES: 0.342 (95% CI: 0.270–0.415). Error: +0.032 (+10.3%). The selection function indicates that trials with |t| &lt; 1 had approximately 59% publication probability, rising to 96% for |t| &gt; 2.5.</w:t>
      </w:r>
    </w:p>
    <w:p>
      <w:pPr>
        <w:spacing w:before="200" w:after="120"/>
      </w:pPr>
      <w:r>
        <w:rPr>
          <w:rFonts w:ascii="Times New Roman" w:cs="Times New Roman" w:eastAsia="Times New Roman" w:hAnsi="Times New Roman"/>
          <w:b/>
          <w:bCs/>
          <w:sz w:val="20"/>
          <w:szCs w:val="20"/>
        </w:rPr>
        <w:t xml:space="preserve">Table 4. Comparison of bias-correction methods on the Turner antidepressant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gridCol w:w="1800"/>
        <w:gridCol w:w="1926"/>
      </w:tblGrid>
      <w:tr>
        <w:tc>
          <w:tcPr>
            <w:tcW w:type="dxa" w:w="1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Method</w:t>
            </w:r>
          </w:p>
        </w:tc>
        <w:tc>
          <w:tcPr>
            <w:tcW w:type="dxa" w:w="1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Adjusted ES</w:t>
            </w:r>
          </w:p>
        </w:tc>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95% CI</w:t>
            </w:r>
          </w:p>
        </w:tc>
        <w:tc>
          <w:tcPr>
            <w:tcW w:type="dxa" w:w="1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Error vs. 0.31</w:t>
            </w:r>
          </w:p>
        </w:tc>
        <w:tc>
          <w:tcPr>
            <w:tcW w:type="dxa" w:w="19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Registry data?</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Published-only</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0.385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(0.318–0.452)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+0.075 (+24.2%)</w:t>
            </w:r>
          </w:p>
        </w:tc>
        <w:tc>
          <w:tcPr>
            <w:tcW w:type="dxa" w:w="1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No</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λ-dilution</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0.297</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(0.228–0.328)</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-0.013 (-4.1%)</w:t>
            </w:r>
          </w:p>
        </w:tc>
        <w:tc>
          <w:tcPr>
            <w:tcW w:type="dxa" w:w="19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Yes (N)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Trim-and-fill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0.366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(0.325–0.406)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+0.056 (+18.0%)</w:t>
            </w:r>
          </w:p>
        </w:tc>
        <w:tc>
          <w:tcPr>
            <w:tcW w:type="dxa" w:w="19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No</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IPW</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0.342</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(0.270–0.415)</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+0.032 (+10.3%)</w:t>
            </w:r>
          </w:p>
        </w:tc>
        <w:tc>
          <w:tcPr>
            <w:tcW w:type="dxa" w:w="19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Yes (N, SE)</w:t>
            </w:r>
          </w:p>
        </w:tc>
      </w:tr>
    </w:tbl>
    <w:p>
      <w:pPr>
        <w:spacing w:before="60" w:after="200"/>
      </w:pPr>
      <w:r>
        <w:rPr>
          <w:rFonts w:ascii="Times New Roman" w:cs="Times New Roman" w:eastAsia="Times New Roman" w:hAnsi="Times New Roman"/>
          <w:i/>
          <w:iCs/>
          <w:sz w:val="18"/>
          <w:szCs w:val="18"/>
        </w:rPr>
        <w:t xml:space="preserve">Note: All results computed from synthetic study-level data reconstructed to match Turner summary statistics. Bootstrap CIs (2,000 resamples) for λ-dilution and IPW; fixed-effect CI for trim-and-fill. Full code in Supplementary File 1.</w:t>
      </w:r>
    </w:p>
    <w:p>
      <w:pPr>
        <w:pStyle w:val="Heading2"/>
        <w:spacing w:before="280" w:after="160"/>
      </w:pPr>
      <w:r>
        <w:rPr>
          <w:rFonts w:ascii="Times New Roman" w:cs="Times New Roman" w:eastAsia="Times New Roman" w:hAnsi="Times New Roman"/>
          <w:b/>
          <w:bCs/>
          <w:color w:val="000000"/>
          <w:sz w:val="24"/>
          <w:szCs w:val="24"/>
        </w:rPr>
        <w:t xml:space="preserve">Simulation Study Results</w:t>
      </w:r>
    </w:p>
    <w:p>
      <w:pPr>
        <w:spacing w:after="160" w:line="300"/>
        <w:jc w:val="both"/>
      </w:pPr>
      <w:r>
        <w:rPr>
          <w:rFonts w:ascii="Times New Roman" w:cs="Times New Roman" w:eastAsia="Times New Roman" w:hAnsi="Times New Roman"/>
          <w:i w:val="false"/>
          <w:iCs w:val="false"/>
          <w:sz w:val="22"/>
          <w:szCs w:val="22"/>
        </w:rPr>
        <w:t xml:space="preserve">We present results for the primary scenarios. Full results across all parameter combinations are generated by the code in Supplementary File 1.</w:t>
      </w:r>
    </w:p>
    <w:p>
      <w:pPr>
        <w:spacing w:before="200" w:after="120"/>
      </w:pPr>
      <w:r>
        <w:rPr>
          <w:rFonts w:ascii="Times New Roman" w:cs="Times New Roman" w:eastAsia="Times New Roman" w:hAnsi="Times New Roman"/>
          <w:b/>
          <w:bCs/>
          <w:sz w:val="20"/>
          <w:szCs w:val="20"/>
        </w:rPr>
        <w:t xml:space="preserve">Table 5. Simulation results: bias, RMSE, and coverage (K=74, τ²=0.05, α₁=1.0, 2,000 iterations).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300"/>
        <w:gridCol w:w="1300"/>
        <w:gridCol w:w="1300"/>
        <w:gridCol w:w="2726"/>
      </w:tblGrid>
      <w:tr>
        <w:tc>
          <w:tcPr>
            <w:tcW w:type="dxa" w:w="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True μ</w:t>
            </w:r>
          </w:p>
        </w:tc>
        <w:tc>
          <w:tcPr>
            <w:tcW w:type="dxa" w:w="1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Method</w:t>
            </w:r>
          </w:p>
        </w:tc>
        <w:tc>
          <w:tcPr>
            <w:tcW w:type="dxa" w:w="13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Mean est.</w:t>
            </w:r>
          </w:p>
        </w:tc>
        <w:tc>
          <w:tcPr>
            <w:tcW w:type="dxa" w:w="13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Bias</w:t>
            </w:r>
          </w:p>
        </w:tc>
        <w:tc>
          <w:tcPr>
            <w:tcW w:type="dxa" w:w="13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RMSE</w:t>
            </w:r>
          </w:p>
        </w:tc>
        <w:tc>
          <w:tcPr>
            <w:tcW w:type="dxa" w:w="27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95% CI coverage</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Published-only</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0.115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+0.015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0.037</w:t>
            </w:r>
          </w:p>
        </w:tc>
        <w:tc>
          <w:tcPr>
            <w:tcW w:type="dxa" w:w="27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91.8%</w:t>
            </w:r>
          </w:p>
        </w:tc>
      </w:tr>
      <w:tr>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λ-dilution</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0.100</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+0.000</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0.030</w:t>
            </w:r>
          </w:p>
        </w:tc>
        <w:tc>
          <w:tcPr>
            <w:tcW w:type="dxa" w:w="27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94.4%</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Trim-and-fill</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0.095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-0.005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0.045</w:t>
            </w:r>
          </w:p>
        </w:tc>
        <w:tc>
          <w:tcPr>
            <w:tcW w:type="dxa" w:w="27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49.6%</w:t>
            </w:r>
          </w:p>
        </w:tc>
      </w:tr>
      <w:tr>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IPW</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0.102</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+0.002</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0.033</w:t>
            </w:r>
          </w:p>
        </w:tc>
        <w:tc>
          <w:tcPr>
            <w:tcW w:type="dxa" w:w="27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94.5%</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0.3</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Published-only</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0.322</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+0.022</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0.039</w:t>
            </w:r>
          </w:p>
        </w:tc>
        <w:tc>
          <w:tcPr>
            <w:tcW w:type="dxa" w:w="27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87.4%</w:t>
            </w:r>
          </w:p>
        </w:tc>
      </w:tr>
      <w:tr>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λ-dilution</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0.298</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-0.002</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0.031</w:t>
            </w:r>
          </w:p>
        </w:tc>
        <w:tc>
          <w:tcPr>
            <w:tcW w:type="dxa" w:w="27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93.6%</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Trim-and-fill</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0.299</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-0.001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0.044</w:t>
            </w:r>
          </w:p>
        </w:tc>
        <w:tc>
          <w:tcPr>
            <w:tcW w:type="dxa" w:w="27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47.0%</w:t>
            </w:r>
          </w:p>
        </w:tc>
      </w:tr>
      <w:tr>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IPW</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0.300</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0.000</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0.034</w:t>
            </w:r>
          </w:p>
        </w:tc>
        <w:tc>
          <w:tcPr>
            <w:tcW w:type="dxa" w:w="27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94.2%</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Published-only</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0.514</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+0.014</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0.033</w:t>
            </w:r>
          </w:p>
        </w:tc>
        <w:tc>
          <w:tcPr>
            <w:tcW w:type="dxa" w:w="27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91.8%</w:t>
            </w:r>
          </w:p>
        </w:tc>
      </w:tr>
      <w:tr>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λ-dilution</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0.500</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0.000</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0.031</w:t>
            </w:r>
          </w:p>
        </w:tc>
        <w:tc>
          <w:tcPr>
            <w:tcW w:type="dxa" w:w="27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93.2%</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Trim-and-fill</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0.495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-0.005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0.041</w:t>
            </w:r>
          </w:p>
        </w:tc>
        <w:tc>
          <w:tcPr>
            <w:tcW w:type="dxa" w:w="27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50.6%</w:t>
            </w:r>
          </w:p>
        </w:tc>
      </w:tr>
      <w:tr>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IPW</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0.501</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0.001</w:t>
            </w:r>
          </w:p>
        </w:tc>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0.034</w:t>
            </w:r>
          </w:p>
        </w:tc>
        <w:tc>
          <w:tcPr>
            <w:tcW w:type="dxa" w:w="27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93.9%</w:t>
            </w:r>
          </w:p>
        </w:tc>
      </w:tr>
    </w:tbl>
    <w:p>
      <w:pPr>
        <w:spacing w:before="60" w:after="200"/>
      </w:pPr>
      <w:r>
        <w:rPr>
          <w:rFonts w:ascii="Times New Roman" w:cs="Times New Roman" w:eastAsia="Times New Roman" w:hAnsi="Times New Roman"/>
          <w:i/>
          <w:iCs/>
          <w:sz w:val="18"/>
          <w:szCs w:val="18"/>
        </w:rPr>
        <w:t xml:space="preserve">Note: IPW uses oracle selection parameters. λ-dilution CI is approximate (SE × λ). Trim-and-fill uses fixed-effect CI on the filled dataset.</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Key findings:</w:t>
      </w:r>
      <w:r>
        <w:rPr>
          <w:rFonts w:ascii="Times New Roman" w:cs="Times New Roman" w:eastAsia="Times New Roman" w:hAnsi="Times New Roman"/>
          <w:i w:val="false"/>
          <w:iCs w:val="false"/>
          <w:sz w:val="22"/>
          <w:szCs w:val="22"/>
        </w:rPr>
        <w:t xml:space="preserve"/>
      </w:r>
    </w:p>
    <w:p>
      <w:pPr>
        <w:spacing w:after="160" w:line="300"/>
        <w:jc w:val="both"/>
      </w:pPr>
      <w:r>
        <w:rPr>
          <w:rFonts w:ascii="Times New Roman" w:cs="Times New Roman" w:eastAsia="Times New Roman" w:hAnsi="Times New Roman"/>
          <w:i w:val="false"/>
          <w:iCs w:val="false"/>
          <w:sz w:val="22"/>
          <w:szCs w:val="22"/>
        </w:rPr>
        <w:t xml:space="preserve">(a) </w:t>
      </w:r>
      <w:r>
        <w:rPr>
          <w:rFonts w:ascii="Times New Roman" w:cs="Times New Roman" w:eastAsia="Times New Roman" w:hAnsi="Times New Roman"/>
          <w:b/>
          <w:bCs/>
          <w:sz w:val="22"/>
          <w:szCs w:val="22"/>
        </w:rPr>
        <w:t xml:space="preserve">IPW</w:t>
      </w:r>
      <w:r>
        <w:rPr>
          <w:rFonts w:ascii="Times New Roman" w:cs="Times New Roman" w:eastAsia="Times New Roman" w:hAnsi="Times New Roman"/>
          <w:i w:val="false"/>
          <w:iCs w:val="false"/>
          <w:sz w:val="22"/>
          <w:szCs w:val="22"/>
        </w:rPr>
        <w:t xml:space="preserve"> consistently produced the lowest bias (|≤ 0.002|) with coverage near 94% across all scenarios, confirming the theoretical properties demonstrated by Huang et al. (2023). We note that these results use the oracle (true) selection function; estimated parameters would yield slightly wider CIs and potentially lower coverage.</w:t>
      </w:r>
    </w:p>
    <w:p>
      <w:pPr>
        <w:spacing w:after="160" w:line="300"/>
        <w:jc w:val="both"/>
      </w:pPr>
      <w:r>
        <w:rPr>
          <w:rFonts w:ascii="Times New Roman" w:cs="Times New Roman" w:eastAsia="Times New Roman" w:hAnsi="Times New Roman"/>
          <w:i w:val="false"/>
          <w:iCs w:val="false"/>
          <w:sz w:val="22"/>
          <w:szCs w:val="22"/>
        </w:rPr>
        <w:t xml:space="preserve">(b) </w:t>
      </w:r>
      <w:r>
        <w:rPr>
          <w:rFonts w:ascii="Times New Roman" w:cs="Times New Roman" w:eastAsia="Times New Roman" w:hAnsi="Times New Roman"/>
          <w:b/>
          <w:bCs/>
          <w:sz w:val="22"/>
          <w:szCs w:val="22"/>
        </w:rPr>
        <w:t xml:space="preserve">λ-dilution</w:t>
      </w:r>
      <w:r>
        <w:rPr>
          <w:rFonts w:ascii="Times New Roman" w:cs="Times New Roman" w:eastAsia="Times New Roman" w:hAnsi="Times New Roman"/>
          <w:i w:val="false"/>
          <w:iCs w:val="false"/>
          <w:sz w:val="22"/>
          <w:szCs w:val="22"/>
        </w:rPr>
        <w:t xml:space="preserve"> performed comparably well under publication selection, with bias |≤ 0.002| for μ = 0.1–0.5. However, under no selection (α₁ = 0), λ-dilution introduced a systematic conservative bias of -0.048 with coverage of only 57.7%. This occurs because random non-publication (even without selection) still produces λ &lt; 1, and the correction is applied regardless.</w:t>
      </w:r>
    </w:p>
    <w:p>
      <w:pPr>
        <w:spacing w:after="160" w:line="300"/>
        <w:jc w:val="both"/>
      </w:pPr>
      <w:r>
        <w:rPr>
          <w:rFonts w:ascii="Times New Roman" w:cs="Times New Roman" w:eastAsia="Times New Roman" w:hAnsi="Times New Roman"/>
          <w:i w:val="false"/>
          <w:iCs w:val="false"/>
          <w:sz w:val="22"/>
          <w:szCs w:val="22"/>
        </w:rPr>
        <w:t xml:space="preserve">(c) </w:t>
      </w:r>
      <w:r>
        <w:rPr>
          <w:rFonts w:ascii="Times New Roman" w:cs="Times New Roman" w:eastAsia="Times New Roman" w:hAnsi="Times New Roman"/>
          <w:b/>
          <w:bCs/>
          <w:sz w:val="22"/>
          <w:szCs w:val="22"/>
        </w:rPr>
        <w:t xml:space="preserve">Trim-and-fill</w:t>
      </w:r>
      <w:r>
        <w:rPr>
          <w:rFonts w:ascii="Times New Roman" w:cs="Times New Roman" w:eastAsia="Times New Roman" w:hAnsi="Times New Roman"/>
          <w:i w:val="false"/>
          <w:iCs w:val="false"/>
          <w:sz w:val="22"/>
          <w:szCs w:val="22"/>
        </w:rPr>
        <w:t xml:space="preserve"> produced moderate bias but consistently poor coverage (50–51%) because the CI is computed on the filled dataset assuming the imputed studies are known, not estimated. This is a well-documented limitation of trim-and-fill.</w:t>
      </w:r>
    </w:p>
    <w:p>
      <w:pPr>
        <w:spacing w:after="160" w:line="300"/>
        <w:jc w:val="both"/>
      </w:pPr>
      <w:r>
        <w:rPr>
          <w:rFonts w:ascii="Times New Roman" w:cs="Times New Roman" w:eastAsia="Times New Roman" w:hAnsi="Times New Roman"/>
          <w:i w:val="false"/>
          <w:iCs w:val="false"/>
          <w:sz w:val="22"/>
          <w:szCs w:val="22"/>
        </w:rPr>
        <w:t xml:space="preserve">(d) With fewer studies (K=20), all methods showed wider RMSE, and λ-dilution and IPW coverage dropped to approximately 91% and 91% respectively, reflecting increased sampling variability.</w:t>
      </w:r>
    </w:p>
    <w:p>
      <w:pPr>
        <w:pStyle w:val="Heading2"/>
        <w:spacing w:before="280" w:after="160"/>
      </w:pPr>
      <w:r>
        <w:rPr>
          <w:rFonts w:ascii="Times New Roman" w:cs="Times New Roman" w:eastAsia="Times New Roman" w:hAnsi="Times New Roman"/>
          <w:b/>
          <w:bCs/>
          <w:color w:val="000000"/>
          <w:sz w:val="24"/>
          <w:szCs w:val="24"/>
        </w:rPr>
        <w:t xml:space="preserve">Economic Impact: Markov Model Results</w:t>
      </w:r>
    </w:p>
    <w:p>
      <w:pPr>
        <w:spacing w:before="200" w:after="120"/>
      </w:pPr>
      <w:r>
        <w:rPr>
          <w:rFonts w:ascii="Times New Roman" w:cs="Times New Roman" w:eastAsia="Times New Roman" w:hAnsi="Times New Roman"/>
          <w:b/>
          <w:bCs/>
          <w:sz w:val="20"/>
          <w:szCs w:val="20"/>
        </w:rPr>
        <w:t xml:space="preserve">Table 6. Cost-effectiveness results under different correction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400"/>
        <w:gridCol w:w="1600"/>
        <w:gridCol w:w="2626"/>
      </w:tblGrid>
      <w:tr>
        <w:tc>
          <w:tcPr>
            <w:tcW w:type="dxa" w:w="2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Scenario</w:t>
            </w:r>
          </w:p>
        </w:tc>
        <w:tc>
          <w:tcPr>
            <w:tcW w:type="dxa" w:w="1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HR</w:t>
            </w:r>
          </w:p>
        </w:tc>
        <w:tc>
          <w:tcPr>
            <w:tcW w:type="dxa" w:w="1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Incr. QALYs</w:t>
            </w:r>
          </w:p>
        </w:tc>
        <w:tc>
          <w:tcPr>
            <w:tcW w:type="dxa" w:w="1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Incr. Cost</w:t>
            </w:r>
          </w:p>
        </w:tc>
        <w:tc>
          <w:tcPr>
            <w:tcW w:type="dxa" w:w="26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ICER (£/QALY)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Published efficacy</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0.650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1.52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£81,861</w:t>
            </w:r>
          </w:p>
        </w:tc>
        <w:tc>
          <w:tcPr>
            <w:tcW w:type="dxa" w:w="26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£53,771</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λ-adjusted, Spec A (log-HR)</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0.732</w:t>
            </w:r>
          </w:p>
        </w:tc>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1.10</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£77,450</w:t>
            </w:r>
          </w:p>
        </w:tc>
        <w:tc>
          <w:tcPr>
            <w:tcW w:type="dxa" w:w="26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£70,139</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λ-adjusted, Spec B (abs RR)</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0.746</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1.03</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£76,717</w:t>
            </w:r>
          </w:p>
        </w:tc>
        <w:tc>
          <w:tcPr>
            <w:tcW w:type="dxa" w:w="26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£74,149</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Extreme (λ = 0.5)</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0.806</w:t>
            </w:r>
          </w:p>
        </w:tc>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0.76</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£73,818</w:t>
            </w:r>
          </w:p>
        </w:tc>
        <w:tc>
          <w:tcPr>
            <w:tcW w:type="dxa" w:w="26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£97,239</w:t>
            </w:r>
          </w:p>
        </w:tc>
      </w:tr>
    </w:tbl>
    <w:p>
      <w:pPr>
        <w:spacing w:before="60" w:after="200"/>
      </w:pPr>
      <w:r>
        <w:rPr>
          <w:rFonts w:ascii="Times New Roman" w:cs="Times New Roman" w:eastAsia="Times New Roman" w:hAnsi="Times New Roman"/>
          <w:i/>
          <w:iCs/>
          <w:sz w:val="18"/>
          <w:szCs w:val="18"/>
        </w:rPr>
        <w:t xml:space="preserve">Note: Specification A: HR_adj = HR_pub^(λ). Specification B: HR_adj = 1 − (1 − HR_pub) × λ. Drug cost £8,000/year; comparator = BSC (£0).</w:t>
      </w:r>
    </w:p>
    <w:p>
      <w:pPr>
        <w:spacing w:after="160" w:line="300"/>
        <w:jc w:val="both"/>
      </w:pPr>
      <w:r>
        <w:rPr>
          <w:rFonts w:ascii="Times New Roman" w:cs="Times New Roman" w:eastAsia="Times New Roman" w:hAnsi="Times New Roman"/>
          <w:i w:val="false"/>
          <w:iCs w:val="false"/>
          <w:sz w:val="22"/>
          <w:szCs w:val="22"/>
        </w:rPr>
        <w:t xml:space="preserve">Under published efficacy, the ICER is £53,771/QALY — already above the £50,000/QALY upper threshold for NICE. Applying the λ-adjustment raises the ICER substantially: to £70,139 under Specification A (log-HR) and £74,149 under Specification B (absolute RR). The difference between the two specifications (£4,010) demonstrates sensitivity to the adjustment scale.</w:t>
      </w:r>
    </w:p>
    <w:p>
      <w:pPr>
        <w:pStyle w:val="Heading3"/>
        <w:spacing w:before="240" w:after="120"/>
      </w:pPr>
      <w:r>
        <w:rPr>
          <w:rFonts w:ascii="Times New Roman" w:cs="Times New Roman" w:eastAsia="Times New Roman" w:hAnsi="Times New Roman"/>
          <w:b/>
          <w:bCs/>
          <w:i/>
          <w:iCs/>
          <w:color w:val="000000"/>
          <w:sz w:val="22"/>
          <w:szCs w:val="22"/>
        </w:rPr>
        <w:t xml:space="preserve">Threshold pricing analysis</w:t>
      </w:r>
    </w:p>
    <w:p>
      <w:pPr>
        <w:spacing w:after="160" w:line="300"/>
        <w:jc w:val="both"/>
      </w:pPr>
      <w:r>
        <w:rPr>
          <w:rFonts w:ascii="Times New Roman" w:cs="Times New Roman" w:eastAsia="Times New Roman" w:hAnsi="Times New Roman"/>
          <w:i w:val="false"/>
          <w:iCs w:val="false"/>
          <w:sz w:val="22"/>
          <w:szCs w:val="22"/>
        </w:rPr>
        <w:t xml:space="preserve">We compute the maximum annual drug price consistent with a £30,000/QALY willingness-to-pay threshold at each level of λ:</w:t>
      </w:r>
    </w:p>
    <w:p>
      <w:pPr>
        <w:spacing w:before="200" w:after="120"/>
      </w:pPr>
      <w:r>
        <w:rPr>
          <w:rFonts w:ascii="Times New Roman" w:cs="Times New Roman" w:eastAsia="Times New Roman" w:hAnsi="Times New Roman"/>
          <w:b/>
          <w:bCs/>
          <w:sz w:val="20"/>
          <w:szCs w:val="20"/>
        </w:rPr>
        <w:t xml:space="preserve">Table 7. Threshold pricing: maximum drug price at £30,000/QALY WTP.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λ</w:t>
            </w:r>
          </w:p>
        </w:tc>
        <w:tc>
          <w:tcPr>
            <w:tcW w:type="dxa" w:w="3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HR (Spec A)</w:t>
            </w:r>
          </w:p>
        </w:tc>
        <w:tc>
          <w:tcPr>
            <w:tcW w:type="dxa" w:w="40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Max annual price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1.000</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0.650</w:t>
            </w:r>
          </w:p>
        </w:tc>
        <w:tc>
          <w:tcPr>
            <w:tcW w:type="dxa" w:w="4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£4,516</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0.900</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0.679</w:t>
            </w:r>
          </w:p>
        </w:tc>
        <w:tc>
          <w:tcPr>
            <w:tcW w:type="dxa" w:w="40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£4,152</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0.800</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0.708</w:t>
            </w:r>
          </w:p>
        </w:tc>
        <w:tc>
          <w:tcPr>
            <w:tcW w:type="dxa" w:w="4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£3,770</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0.725 (observed)</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0.732</w:t>
            </w:r>
          </w:p>
        </w:tc>
        <w:tc>
          <w:tcPr>
            <w:tcW w:type="dxa" w:w="40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£3,472</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0.600</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0.772</w:t>
            </w:r>
          </w:p>
        </w:tc>
        <w:tc>
          <w:tcPr>
            <w:tcW w:type="dxa" w:w="4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£2,951</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0.500</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0.806</w:t>
            </w:r>
          </w:p>
        </w:tc>
        <w:tc>
          <w:tcPr>
            <w:tcW w:type="dxa" w:w="402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£2,513</w:t>
            </w:r>
          </w:p>
        </w:tc>
      </w:tr>
    </w:tbl>
    <w:p>
      <w:pPr>
        <w:spacing w:before="60" w:after="200"/>
      </w:pPr>
      <w:r>
        <w:rPr>
          <w:rFonts w:ascii="Times New Roman" w:cs="Times New Roman" w:eastAsia="Times New Roman" w:hAnsi="Times New Roman"/>
          <w:i/>
          <w:iCs/>
          <w:sz w:val="18"/>
          <w:szCs w:val="18"/>
        </w:rPr>
        <w:t xml:space="preserve">Note: Prices computed by bisection search in the Markov model. Full code in Supplementary File 1.</w:t>
      </w:r>
    </w:p>
    <w:p>
      <w:pPr>
        <w:spacing w:after="160" w:line="300"/>
        <w:jc w:val="both"/>
      </w:pPr>
      <w:r>
        <w:rPr>
          <w:rFonts w:ascii="Times New Roman" w:cs="Times New Roman" w:eastAsia="Times New Roman" w:hAnsi="Times New Roman"/>
          <w:i w:val="false"/>
          <w:iCs w:val="false"/>
          <w:sz w:val="22"/>
          <w:szCs w:val="22"/>
        </w:rPr>
        <w:t xml:space="preserve">A drug with complete evidence (λ = 1) can command £4,516/year while remaining cost-effective. At the observed λ of 0.725, this drops to £3,472 — a 23% price reduction. This quantifies the direct financial consequence of evidence incompleteness.</w:t>
      </w:r>
    </w:p>
    <w:p>
      <w:r>
        <w:br w:type="page"/>
      </w:r>
    </w:p>
    <w:p>
      <w:pPr>
        <w:pStyle w:val="Heading1"/>
        <w:spacing w:before="360" w:after="200"/>
      </w:pPr>
      <w:r>
        <w:rPr>
          <w:rFonts w:ascii="Times New Roman" w:cs="Times New Roman" w:eastAsia="Times New Roman" w:hAnsi="Times New Roman"/>
          <w:b/>
          <w:bCs/>
          <w:color w:val="000000"/>
          <w:sz w:val="28"/>
          <w:szCs w:val="28"/>
        </w:rPr>
        <w:t xml:space="preserve">Discussion</w:t>
      </w:r>
    </w:p>
    <w:p>
      <w:pPr>
        <w:pStyle w:val="Heading2"/>
        <w:spacing w:before="280" w:after="160"/>
      </w:pPr>
      <w:r>
        <w:rPr>
          <w:rFonts w:ascii="Times New Roman" w:cs="Times New Roman" w:eastAsia="Times New Roman" w:hAnsi="Times New Roman"/>
          <w:b/>
          <w:bCs/>
          <w:color w:val="000000"/>
          <w:sz w:val="24"/>
          <w:szCs w:val="24"/>
        </w:rPr>
        <w:t xml:space="preserve">Principal Findings</w:t>
      </w:r>
    </w:p>
    <w:p>
      <w:pPr>
        <w:spacing w:after="160" w:line="300"/>
        <w:jc w:val="both"/>
      </w:pPr>
      <w:r>
        <w:rPr>
          <w:rFonts w:ascii="Times New Roman" w:cs="Times New Roman" w:eastAsia="Times New Roman" w:hAnsi="Times New Roman"/>
          <w:i w:val="false"/>
          <w:iCs w:val="false"/>
          <w:sz w:val="22"/>
          <w:szCs w:val="22"/>
        </w:rPr>
        <w:t xml:space="preserve">This study demonstrates that registry-derived measures of evidence completeness can be computed, validated against ground truth, and integrated into HTA economic evaluations. The λ-dilution provides a transparent lower bound that performs well under publication selection but introduces conservative bias when no selection is present. The IPW method provides superior performance with formal confidence intervals. We present both approaches as a tiered system: λ-dilution for preliminary screening, IPW for formal appraisal.</w:t>
      </w:r>
    </w:p>
    <w:p>
      <w:pPr>
        <w:pStyle w:val="Heading2"/>
        <w:spacing w:before="280" w:after="160"/>
      </w:pPr>
      <w:r>
        <w:rPr>
          <w:rFonts w:ascii="Times New Roman" w:cs="Times New Roman" w:eastAsia="Times New Roman" w:hAnsi="Times New Roman"/>
          <w:b/>
          <w:bCs/>
          <w:color w:val="000000"/>
          <w:sz w:val="24"/>
          <w:szCs w:val="24"/>
        </w:rPr>
        <w:t xml:space="preserve">Relationship to Huang et al. (2023)</w:t>
      </w:r>
    </w:p>
    <w:p>
      <w:pPr>
        <w:spacing w:after="160" w:line="300"/>
        <w:jc w:val="both"/>
      </w:pPr>
      <w:r>
        <w:rPr>
          <w:rFonts w:ascii="Times New Roman" w:cs="Times New Roman" w:eastAsia="Times New Roman" w:hAnsi="Times New Roman"/>
          <w:i w:val="false"/>
          <w:iCs w:val="false"/>
          <w:sz w:val="22"/>
          <w:szCs w:val="22"/>
        </w:rPr>
        <w:t xml:space="preserve">Our work was developed concurrently with Huang et al. (2023). We view the two approaches as complementary. Huang et al. provide the statistical machinery: a formal selection model, estimating equations, and the IPW estimator with bootstrap CIs. Our contribution is the economic translation: defining the Integrity Ratio, specifying the registry search protocol, embedding the adjustment in a cost-effectiveness model, and framing the threshold pricing incentive.</w:t>
      </w:r>
    </w:p>
    <w:p>
      <w:pPr>
        <w:spacing w:after="160" w:line="300"/>
        <w:jc w:val="both"/>
      </w:pPr>
      <w:r>
        <w:rPr>
          <w:rFonts w:ascii="Times New Roman" w:cs="Times New Roman" w:eastAsia="Times New Roman" w:hAnsi="Times New Roman"/>
          <w:i w:val="false"/>
          <w:iCs w:val="false"/>
          <w:sz w:val="22"/>
          <w:szCs w:val="22"/>
        </w:rPr>
        <w:t xml:space="preserve">The Huang et al. IPW requires access to planned sample sizes for all registered trials. The λ-dilution requires only aggregate patient counts, making it applicable even when detailed registry data is incomplete. In practice, we recommend IPW where data quality permits, with λ-dilution as a fallback.</w:t>
      </w:r>
    </w:p>
    <w:p>
      <w:pPr>
        <w:pStyle w:val="Heading2"/>
        <w:spacing w:before="280" w:after="160"/>
      </w:pPr>
      <w:r>
        <w:rPr>
          <w:rFonts w:ascii="Times New Roman" w:cs="Times New Roman" w:eastAsia="Times New Roman" w:hAnsi="Times New Roman"/>
          <w:b/>
          <w:bCs/>
          <w:color w:val="000000"/>
          <w:sz w:val="24"/>
          <w:szCs w:val="24"/>
        </w:rPr>
        <w:t xml:space="preserve">Comparison with Existing HTA Practice</w:t>
      </w:r>
    </w:p>
    <w:p>
      <w:pPr>
        <w:spacing w:after="160" w:line="300"/>
        <w:jc w:val="both"/>
      </w:pPr>
      <w:r>
        <w:rPr>
          <w:rFonts w:ascii="Times New Roman" w:cs="Times New Roman" w:eastAsia="Times New Roman" w:hAnsi="Times New Roman"/>
          <w:i w:val="false"/>
          <w:iCs w:val="false"/>
          <w:sz w:val="22"/>
          <w:szCs w:val="22"/>
        </w:rPr>
        <w:t xml:space="preserve">We acknowledge that NICE and other HTA bodies already address evidence uncertainty through multiple mechanisms: ERG critique, probabilistic sensitivity analysis, value-of-information analysis, and conditional approval pathways including Managed Access Agreements and Coverage with Evidence Development. The Transparency Discount complements these mechanisms by providing a standardised, quantitative input derived from registry data that can be computed before the appraisal begins and updated as registry data changes.</w:t>
      </w:r>
    </w:p>
    <w:p>
      <w:pPr>
        <w:spacing w:after="160" w:line="300"/>
        <w:jc w:val="both"/>
      </w:pPr>
      <w:r>
        <w:rPr>
          <w:rFonts w:ascii="Times New Roman" w:cs="Times New Roman" w:eastAsia="Times New Roman" w:hAnsi="Times New Roman"/>
          <w:i w:val="false"/>
          <w:iCs w:val="false"/>
          <w:sz w:val="22"/>
          <w:szCs w:val="22"/>
        </w:rPr>
        <w:t xml:space="preserve">In practice, a drug with low λ could be approved conditionally under a Managed Access Agreement, with the requirement that ghost trials be published within a specified timeframe. Restoration of full evidence completeness (λ → 1.0) would then restore the unadjusted price, creating a direct financial incentive for transparency.</w:t>
      </w:r>
    </w:p>
    <w:p>
      <w:pPr>
        <w:pStyle w:val="Heading2"/>
        <w:spacing w:before="280" w:after="160"/>
      </w:pPr>
      <w:r>
        <w:rPr>
          <w:rFonts w:ascii="Times New Roman" w:cs="Times New Roman" w:eastAsia="Times New Roman" w:hAnsi="Times New Roman"/>
          <w:b/>
          <w:bCs/>
          <w:color w:val="000000"/>
          <w:sz w:val="24"/>
          <w:szCs w:val="24"/>
        </w:rPr>
        <w:t xml:space="preserve">Interpretation of Simulation Results</w:t>
      </w:r>
    </w:p>
    <w:p>
      <w:pPr>
        <w:spacing w:after="160" w:line="300"/>
        <w:jc w:val="both"/>
      </w:pPr>
      <w:r>
        <w:rPr>
          <w:rFonts w:ascii="Times New Roman" w:cs="Times New Roman" w:eastAsia="Times New Roman" w:hAnsi="Times New Roman"/>
          <w:i w:val="false"/>
          <w:iCs w:val="false"/>
          <w:sz w:val="22"/>
          <w:szCs w:val="22"/>
        </w:rPr>
        <w:t xml:space="preserve">Our simulation reveals an important asymmetry. Under publication selection, the λ-dilution performs well because the zero-effect assumption approximately holds for suppressed studies. Under no selection, λ-dilution introduces spurious conservatism because random non-publication still produces λ &lt; 1. IPW correctly identifies no selection and produces unbiased estimates in both cases. This reinforces our recommendation of IPW for formal submissions.</w:t>
      </w:r>
    </w:p>
    <w:p>
      <w:pPr>
        <w:spacing w:after="160" w:line="300"/>
        <w:jc w:val="both"/>
      </w:pPr>
      <w:r>
        <w:rPr>
          <w:rFonts w:ascii="Times New Roman" w:cs="Times New Roman" w:eastAsia="Times New Roman" w:hAnsi="Times New Roman"/>
          <w:i w:val="false"/>
          <w:iCs w:val="false"/>
          <w:sz w:val="22"/>
          <w:szCs w:val="22"/>
        </w:rPr>
        <w:t xml:space="preserve">The poor coverage of trim-and-fill (45–51% across scenarios) reflects its known limitation: the CI treats imputed studies as observed. This does not invalidate trim-and-fill as a diagnostic tool but limits its use for formal inference. Once registry data is available, IPW is theoretically preferred and our results confirm this empirically.</w:t>
      </w:r>
    </w:p>
    <w:p>
      <w:pPr>
        <w:spacing w:after="160" w:line="300"/>
        <w:jc w:val="both"/>
      </w:pPr>
      <w:r>
        <w:rPr>
          <w:rFonts w:ascii="Times New Roman" w:cs="Times New Roman" w:eastAsia="Times New Roman" w:hAnsi="Times New Roman"/>
          <w:i w:val="false"/>
          <w:iCs w:val="false"/>
          <w:sz w:val="22"/>
          <w:szCs w:val="22"/>
        </w:rPr>
        <w:t xml:space="preserve">We note that our IPW simulation uses oracle selection parameters (the true α₀ and α₁), providing an upper bound on performance. In real applications, these parameters must be estimated, which would widen CIs and potentially reduce coverage. This is consistent with the findings of Huang et al. (2023), who report coverage of 92–96% with estimated parameters in their own simulations.</w:t>
      </w:r>
    </w:p>
    <w:p>
      <w:pPr>
        <w:pStyle w:val="Heading2"/>
        <w:spacing w:before="280" w:after="160"/>
      </w:pPr>
      <w:r>
        <w:rPr>
          <w:rFonts w:ascii="Times New Roman" w:cs="Times New Roman" w:eastAsia="Times New Roman" w:hAnsi="Times New Roman"/>
          <w:b/>
          <w:bCs/>
          <w:color w:val="000000"/>
          <w:sz w:val="24"/>
          <w:szCs w:val="24"/>
        </w:rPr>
        <w:t xml:space="preserve">Sensitivity to HR Adjustment Scale</w:t>
      </w:r>
    </w:p>
    <w:p>
      <w:pPr>
        <w:spacing w:after="160" w:line="300"/>
        <w:jc w:val="both"/>
      </w:pPr>
      <w:r>
        <w:rPr>
          <w:rFonts w:ascii="Times New Roman" w:cs="Times New Roman" w:eastAsia="Times New Roman" w:hAnsi="Times New Roman"/>
          <w:i w:val="false"/>
          <w:iCs w:val="false"/>
          <w:sz w:val="22"/>
          <w:szCs w:val="22"/>
        </w:rPr>
        <w:t xml:space="preserve">The Markov model results under the two HR specifications (£70,139 vs. £74,149/QALY) demonstrate that the choice of adjustment scale matters. In practice, this choice should be driven by the outcome metric: log-HR attenuation is appropriate for time-to-event analyses where the effect is on the rate scale; absolute RR attenuation may be more appropriate for binary outcomes. For formal submissions, we recommend that the IPW-corrected pooled estimate be fed directly into the economic model as a corrected effect size, bypassing the need for a generic HR-adjustment formula.</w:t>
      </w:r>
    </w:p>
    <w:p>
      <w:pPr>
        <w:pStyle w:val="Heading2"/>
        <w:spacing w:before="280" w:after="160"/>
      </w:pPr>
      <w:r>
        <w:rPr>
          <w:rFonts w:ascii="Times New Roman" w:cs="Times New Roman" w:eastAsia="Times New Roman" w:hAnsi="Times New Roman"/>
          <w:b/>
          <w:bCs/>
          <w:color w:val="000000"/>
          <w:sz w:val="24"/>
          <w:szCs w:val="24"/>
        </w:rPr>
        <w:t xml:space="preserve">Limitations</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Single validation dataset.</w:t>
      </w:r>
      <w:r>
        <w:rPr>
          <w:rFonts w:ascii="Times New Roman" w:cs="Times New Roman" w:eastAsia="Times New Roman" w:hAnsi="Times New Roman"/>
          <w:i w:val="false"/>
          <w:iCs w:val="false"/>
          <w:sz w:val="22"/>
          <w:szCs w:val="22"/>
        </w:rPr>
        <w:t xml:space="preserve"> We validate on the Turner antidepressant dataset only, reconstructing synthetic study-level data from published summary statistics. Future work should validate on additional drug classes where regulatory ground-truth is available (e.g., Whittington et al. 2004 paediatric SSRIs; Jefferson et al. 2014 oseltamivir; Turner 2022 updated antidepressants).</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Synthetic data reconstruction.</w:t>
      </w:r>
      <w:r>
        <w:rPr>
          <w:rFonts w:ascii="Times New Roman" w:cs="Times New Roman" w:eastAsia="Times New Roman" w:hAnsi="Times New Roman"/>
          <w:i w:val="false"/>
          <w:iCs w:val="false"/>
          <w:sz w:val="22"/>
          <w:szCs w:val="22"/>
        </w:rPr>
        <w:t xml:space="preserve"> Because Turner et al. report aggregate statistics rather than individual trial-level data, we reconstructed study-level effects consistent with the reported parameters. This reconstruction introduces additional uncertainty. The exact numerical results (Table 4) are illustrative of the methods’ behaviour rather than definitive estimates.</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Oracle IPW.</w:t>
      </w:r>
      <w:r>
        <w:rPr>
          <w:rFonts w:ascii="Times New Roman" w:cs="Times New Roman" w:eastAsia="Times New Roman" w:hAnsi="Times New Roman"/>
          <w:i w:val="false"/>
          <w:iCs w:val="false"/>
          <w:sz w:val="22"/>
          <w:szCs w:val="22"/>
        </w:rPr>
        <w:t xml:space="preserve"> Our simulation uses the true selection function parameters for IPW, representing an upper bound on performance. Estimated parameters would yield slightly worse results, as demonstrated by Huang et al. (2023).</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Registry data quality.</w:t>
      </w:r>
      <w:r>
        <w:rPr>
          <w:rFonts w:ascii="Times New Roman" w:cs="Times New Roman" w:eastAsia="Times New Roman" w:hAnsi="Times New Roman"/>
          <w:i w:val="false"/>
          <w:iCs w:val="false"/>
          <w:sz w:val="22"/>
          <w:szCs w:val="22"/>
        </w:rPr>
        <w:t xml:space="preserve"> ClinicalTrials.gov data is variable in quality. Trials may be registered retrospectively, marked with incorrect statuses, or registered with placeholder sample sizes. Our multi-registry search protocol with dual-reviewer verification addresses this partially but cannot eliminate all data quality issues.</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Grace period.</w:t>
      </w:r>
      <w:r>
        <w:rPr>
          <w:rFonts w:ascii="Times New Roman" w:cs="Times New Roman" w:eastAsia="Times New Roman" w:hAnsi="Times New Roman"/>
          <w:i w:val="false"/>
          <w:iCs w:val="false"/>
          <w:sz w:val="22"/>
          <w:szCs w:val="22"/>
        </w:rPr>
        <w:t xml:space="preserve"> We propose a 36-month grace period for ClinicalTrials.gov and 12 months for CTIS-registered EU trials. These periods should be validated against empirical publication lag data for specific therapeutic areas.</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Pre-registration era and trial design.</w:t>
      </w:r>
      <w:r>
        <w:rPr>
          <w:rFonts w:ascii="Times New Roman" w:cs="Times New Roman" w:eastAsia="Times New Roman" w:hAnsi="Times New Roman"/>
          <w:i w:val="false"/>
          <w:iCs w:val="false"/>
          <w:sz w:val="22"/>
          <w:szCs w:val="22"/>
        </w:rPr>
        <w:t xml:space="preserve"> For drugs developed before 2005, λ cannot be reliably calculated. Multi-arm and adaptive designs require careful definition of the unit of analysis.</w:t>
      </w:r>
    </w:p>
    <w:p>
      <w:pPr>
        <w:spacing w:after="160" w:line="300"/>
        <w:jc w:val="both"/>
      </w:pPr>
      <w:r>
        <w:rPr>
          <w:rFonts w:ascii="Times New Roman" w:cs="Times New Roman" w:eastAsia="Times New Roman" w:hAnsi="Times New Roman"/>
          <w:i w:val="false"/>
          <w:iCs w:val="false"/>
          <w:sz w:val="22"/>
          <w:szCs w:val="22"/>
        </w:rPr>
        <w:t xml:space="preserve"/>
      </w:r>
      <w:r>
        <w:rPr>
          <w:rFonts w:ascii="Times New Roman" w:cs="Times New Roman" w:eastAsia="Times New Roman" w:hAnsi="Times New Roman"/>
          <w:b/>
          <w:bCs/>
          <w:sz w:val="22"/>
          <w:szCs w:val="22"/>
        </w:rPr>
        <w:t xml:space="preserve">Proof of concept.</w:t>
      </w:r>
      <w:r>
        <w:rPr>
          <w:rFonts w:ascii="Times New Roman" w:cs="Times New Roman" w:eastAsia="Times New Roman" w:hAnsi="Times New Roman"/>
          <w:i w:val="false"/>
          <w:iCs w:val="false"/>
          <w:sz w:val="22"/>
          <w:szCs w:val="22"/>
        </w:rPr>
        <w:t xml:space="preserve"> This is a proof-of-concept framework. Before adoption, it requires: pilot testing by at least one HTA body (we suggest retrospective application to 5–10 recent technology appraisals), formal stakeholder consultation, and legal review.</w:t>
      </w:r>
    </w:p>
    <w:p>
      <w:pPr>
        <w:pStyle w:val="Heading2"/>
        <w:spacing w:before="280" w:after="160"/>
      </w:pPr>
      <w:r>
        <w:rPr>
          <w:rFonts w:ascii="Times New Roman" w:cs="Times New Roman" w:eastAsia="Times New Roman" w:hAnsi="Times New Roman"/>
          <w:b/>
          <w:bCs/>
          <w:color w:val="000000"/>
          <w:sz w:val="24"/>
          <w:szCs w:val="24"/>
        </w:rPr>
        <w:t xml:space="preserve">Recommendations</w:t>
      </w:r>
    </w:p>
    <w:p>
      <w:pPr>
        <w:spacing w:after="160" w:line="300"/>
        <w:jc w:val="both"/>
      </w:pPr>
      <w:r>
        <w:rPr>
          <w:rFonts w:ascii="Times New Roman" w:cs="Times New Roman" w:eastAsia="Times New Roman" w:hAnsi="Times New Roman"/>
          <w:i w:val="false"/>
          <w:iCs w:val="false"/>
          <w:sz w:val="22"/>
          <w:szCs w:val="22"/>
        </w:rPr>
        <w:t xml:space="preserve">(1) HTA bodies should routinely audit clinical trial registries (ClinicalTrials.gov, EudraCT/CTIS, ICTRP) as part of evidence assessment.</w:t>
      </w:r>
    </w:p>
    <w:p>
      <w:pPr>
        <w:spacing w:after="160" w:line="300"/>
        <w:jc w:val="both"/>
      </w:pPr>
      <w:r>
        <w:rPr>
          <w:rFonts w:ascii="Times New Roman" w:cs="Times New Roman" w:eastAsia="Times New Roman" w:hAnsi="Times New Roman"/>
          <w:i w:val="false"/>
          <w:iCs w:val="false"/>
          <w:sz w:val="22"/>
          <w:szCs w:val="22"/>
        </w:rPr>
        <w:t xml:space="preserve">(2) The Integrity Ratio (λ) should be reported as a standard item in evidence submission templates.</w:t>
      </w:r>
    </w:p>
    <w:p>
      <w:pPr>
        <w:spacing w:after="160" w:line="300"/>
        <w:jc w:val="both"/>
      </w:pPr>
      <w:r>
        <w:rPr>
          <w:rFonts w:ascii="Times New Roman" w:cs="Times New Roman" w:eastAsia="Times New Roman" w:hAnsi="Times New Roman"/>
          <w:i w:val="false"/>
          <w:iCs w:val="false"/>
          <w:sz w:val="22"/>
          <w:szCs w:val="22"/>
        </w:rPr>
        <w:t xml:space="preserve">(3) For formal efficacy adjustment, the IPW method of Huang et al. (2023) should be preferred.</w:t>
      </w:r>
    </w:p>
    <w:p>
      <w:pPr>
        <w:spacing w:after="160" w:line="300"/>
        <w:jc w:val="both"/>
      </w:pPr>
      <w:r>
        <w:rPr>
          <w:rFonts w:ascii="Times New Roman" w:cs="Times New Roman" w:eastAsia="Times New Roman" w:hAnsi="Times New Roman"/>
          <w:i w:val="false"/>
          <w:iCs w:val="false"/>
          <w:sz w:val="22"/>
          <w:szCs w:val="22"/>
        </w:rPr>
        <w:t xml:space="preserve">(4) The λ-dilution may be used as a rapid screening tool and lower-bound estimator for policy communication.</w:t>
      </w:r>
    </w:p>
    <w:p>
      <w:pPr>
        <w:spacing w:after="160" w:line="300"/>
        <w:jc w:val="both"/>
      </w:pPr>
      <w:r>
        <w:rPr>
          <w:rFonts w:ascii="Times New Roman" w:cs="Times New Roman" w:eastAsia="Times New Roman" w:hAnsi="Times New Roman"/>
          <w:i w:val="false"/>
          <w:iCs w:val="false"/>
          <w:sz w:val="22"/>
          <w:szCs w:val="22"/>
        </w:rPr>
        <w:t xml:space="preserve">(5) NICE, ICER, and CADTH should pilot this framework retrospectively on 5–10 recent technology appraisals to assess feasibility and discriminative value.</w:t>
      </w:r>
    </w:p>
    <w:p>
      <w:pPr>
        <w:pStyle w:val="Heading1"/>
        <w:spacing w:before="360" w:after="200"/>
      </w:pPr>
      <w:r>
        <w:rPr>
          <w:rFonts w:ascii="Times New Roman" w:cs="Times New Roman" w:eastAsia="Times New Roman" w:hAnsi="Times New Roman"/>
          <w:b/>
          <w:bCs/>
          <w:color w:val="000000"/>
          <w:sz w:val="28"/>
          <w:szCs w:val="28"/>
        </w:rPr>
        <w:t xml:space="preserve">Conclusion</w:t>
      </w:r>
    </w:p>
    <w:p>
      <w:pPr>
        <w:spacing w:after="160" w:line="300"/>
        <w:jc w:val="both"/>
      </w:pPr>
      <w:r>
        <w:rPr>
          <w:rFonts w:ascii="Times New Roman" w:cs="Times New Roman" w:eastAsia="Times New Roman" w:hAnsi="Times New Roman"/>
          <w:i w:val="false"/>
          <w:iCs w:val="false"/>
          <w:sz w:val="22"/>
          <w:szCs w:val="22"/>
        </w:rPr>
        <w:t xml:space="preserve">The Transparency Discount provides a proof-of-concept framework for integrating clinical trial registry data into HTA economic evaluations. Validation on the Turner antidepressant dataset demonstrates that registry-informed corrections can recover estimates closer to ground truth. Simulation characterises the conditions under which each method performs well. Embedding the adjustment in a cost-effectiveness model shows that the economic consequences of publication bias are substantial and sensitive to the adjustment scale. We encourage HTA bodies to move from qualitative acknowledgment of publication bias to quantitative registry-informed adjustments. The tools to do this now exist.</w:t>
      </w:r>
    </w:p>
    <w:p>
      <w:r>
        <w:br w:type="page"/>
      </w:r>
    </w:p>
    <w:p>
      <w:pPr>
        <w:pStyle w:val="Heading1"/>
        <w:spacing w:before="360" w:after="200"/>
      </w:pPr>
      <w:r>
        <w:rPr>
          <w:rFonts w:ascii="Times New Roman" w:cs="Times New Roman" w:eastAsia="Times New Roman" w:hAnsi="Times New Roman"/>
          <w:b/>
          <w:bCs/>
          <w:color w:val="000000"/>
          <w:sz w:val="28"/>
          <w:szCs w:val="28"/>
        </w:rPr>
        <w:t xml:space="preserve">References</w:t>
      </w:r>
    </w:p>
    <w:p>
      <w:pPr>
        <w:spacing w:after="80" w:line="260"/>
        <w:ind w:left="720" w:hanging="720"/>
      </w:pPr>
      <w:r>
        <w:rPr>
          <w:rFonts w:ascii="Times New Roman" w:cs="Times New Roman" w:eastAsia="Times New Roman" w:hAnsi="Times New Roman"/>
          <w:sz w:val="20"/>
          <w:szCs w:val="20"/>
        </w:rPr>
        <w:t xml:space="preserve">1. Rosenthal R. The file drawer problem and tolerance for null results. Psychol Bull. 1979;86(3):638–641.</w:t>
      </w:r>
    </w:p>
    <w:p>
      <w:pPr>
        <w:spacing w:after="80" w:line="260"/>
        <w:ind w:left="720" w:hanging="720"/>
      </w:pPr>
      <w:r>
        <w:rPr>
          <w:rFonts w:ascii="Times New Roman" w:cs="Times New Roman" w:eastAsia="Times New Roman" w:hAnsi="Times New Roman"/>
          <w:sz w:val="20"/>
          <w:szCs w:val="20"/>
        </w:rPr>
        <w:t xml:space="preserve">2. Turner EH, Matthews AM, Linardatos E, Tell RA, Rosenthal R. Selective publication of antidepressant trials and its influence on apparent efficacy. N Engl J Med. 2008;358(3):252–260. DOI: 10.1056/NEJMsa065779.</w:t>
      </w:r>
    </w:p>
    <w:p>
      <w:pPr>
        <w:spacing w:after="80" w:line="260"/>
        <w:ind w:left="720" w:hanging="720"/>
      </w:pPr>
      <w:r>
        <w:rPr>
          <w:rFonts w:ascii="Times New Roman" w:cs="Times New Roman" w:eastAsia="Times New Roman" w:hAnsi="Times New Roman"/>
          <w:sz w:val="20"/>
          <w:szCs w:val="20"/>
        </w:rPr>
        <w:t xml:space="preserve">3. Huang A, Morikawa K, Friede T, Hattori S. Adjusting for publication bias in meta-analysis via inverse probability weighting using clinical trial registries. Biometrics. 2023;79(3):2089–2102. DOI: 10.1111/biom.13822.</w:t>
      </w:r>
    </w:p>
    <w:p>
      <w:pPr>
        <w:spacing w:after="80" w:line="260"/>
        <w:ind w:left="720" w:hanging="720"/>
      </w:pPr>
      <w:r>
        <w:rPr>
          <w:rFonts w:ascii="Times New Roman" w:cs="Times New Roman" w:eastAsia="Times New Roman" w:hAnsi="Times New Roman"/>
          <w:sz w:val="20"/>
          <w:szCs w:val="20"/>
        </w:rPr>
        <w:t xml:space="preserve">4. Ioannidis JP. Why most published research findings are false. PLoS Med. 2005;2(8):e124.</w:t>
      </w:r>
    </w:p>
    <w:p>
      <w:pPr>
        <w:spacing w:after="80" w:line="260"/>
        <w:ind w:left="720" w:hanging="720"/>
      </w:pPr>
      <w:r>
        <w:rPr>
          <w:rFonts w:ascii="Times New Roman" w:cs="Times New Roman" w:eastAsia="Times New Roman" w:hAnsi="Times New Roman"/>
          <w:sz w:val="20"/>
          <w:szCs w:val="20"/>
        </w:rPr>
        <w:t xml:space="preserve">5. Duval S, Tweedie R. Trim and fill: a simple funnel-plot-based method of testing and adjusting for publication bias in meta-analysis. Biometrics. 2000;56(2):455–463.</w:t>
      </w:r>
    </w:p>
    <w:p>
      <w:pPr>
        <w:spacing w:after="80" w:line="260"/>
        <w:ind w:left="720" w:hanging="720"/>
      </w:pPr>
      <w:r>
        <w:rPr>
          <w:rFonts w:ascii="Times New Roman" w:cs="Times New Roman" w:eastAsia="Times New Roman" w:hAnsi="Times New Roman"/>
          <w:sz w:val="20"/>
          <w:szCs w:val="20"/>
        </w:rPr>
        <w:t xml:space="preserve">6. Copas J, Shi JQ. Meta-analysis, funnel plots and sensitivity analysis. Biostatistics. 2000;1(3):247–262.</w:t>
      </w:r>
    </w:p>
    <w:p>
      <w:pPr>
        <w:spacing w:after="80" w:line="260"/>
        <w:ind w:left="720" w:hanging="720"/>
      </w:pPr>
      <w:r>
        <w:rPr>
          <w:rFonts w:ascii="Times New Roman" w:cs="Times New Roman" w:eastAsia="Times New Roman" w:hAnsi="Times New Roman"/>
          <w:sz w:val="20"/>
          <w:szCs w:val="20"/>
        </w:rPr>
        <w:t xml:space="preserve">7. Whittington CJ, Kendall T, Fonagy P, et al. Selective serotonin reuptake inhibitors in childhood depression: systematic review of published versus unpublished data. Lancet. 2004;363(9418):1341–1345.</w:t>
      </w:r>
    </w:p>
    <w:p>
      <w:pPr>
        <w:spacing w:after="80" w:line="260"/>
        <w:ind w:left="720" w:hanging="720"/>
      </w:pPr>
      <w:r>
        <w:rPr>
          <w:rFonts w:ascii="Times New Roman" w:cs="Times New Roman" w:eastAsia="Times New Roman" w:hAnsi="Times New Roman"/>
          <w:sz w:val="20"/>
          <w:szCs w:val="20"/>
        </w:rPr>
        <w:t xml:space="preserve">8. Jefferson T, Jones MA, Doshi P, et al. Oseltamivir for influenza in adults and children: systematic review of clinical study reports and summary of regulatory comments. BMJ. 2014;348:g2545.</w:t>
      </w:r>
    </w:p>
    <w:p>
      <w:pPr>
        <w:spacing w:after="80" w:line="260"/>
        <w:ind w:left="720" w:hanging="720"/>
      </w:pPr>
      <w:r>
        <w:rPr>
          <w:rFonts w:ascii="Times New Roman" w:cs="Times New Roman" w:eastAsia="Times New Roman" w:hAnsi="Times New Roman"/>
          <w:sz w:val="20"/>
          <w:szCs w:val="20"/>
        </w:rPr>
        <w:t xml:space="preserve">9. Dickersin K. The existence of publication bias and risk factors for its occurrence. JAMA. 1990;263(10):1385–1389.</w:t>
      </w:r>
    </w:p>
    <w:p>
      <w:pPr>
        <w:spacing w:after="80" w:line="260"/>
        <w:ind w:left="720" w:hanging="720"/>
      </w:pPr>
      <w:r>
        <w:rPr>
          <w:rFonts w:ascii="Times New Roman" w:cs="Times New Roman" w:eastAsia="Times New Roman" w:hAnsi="Times New Roman"/>
          <w:sz w:val="20"/>
          <w:szCs w:val="20"/>
        </w:rPr>
        <w:t xml:space="preserve">10. Chan AW, Hróbjartsson A, Haahr MT, et al. Empirical evidence for selective reporting of outcomes in randomized trials. JAMA. 2004;291(20):2457–2465.</w:t>
      </w:r>
    </w:p>
    <w:p>
      <w:pPr>
        <w:spacing w:after="80" w:line="260"/>
        <w:ind w:left="720" w:hanging="720"/>
      </w:pPr>
      <w:r>
        <w:rPr>
          <w:rFonts w:ascii="Times New Roman" w:cs="Times New Roman" w:eastAsia="Times New Roman" w:hAnsi="Times New Roman"/>
          <w:sz w:val="20"/>
          <w:szCs w:val="20"/>
        </w:rPr>
        <w:t xml:space="preserve">11. Sterne JA, Sutton AJ, Ioannidis JP, et al. Recommendations for examining and interpreting funnel plot asymmetry. BMJ. 2011;343:d4002.</w:t>
      </w:r>
    </w:p>
    <w:p>
      <w:pPr>
        <w:spacing w:after="80" w:line="260"/>
        <w:ind w:left="720" w:hanging="720"/>
      </w:pPr>
      <w:r>
        <w:rPr>
          <w:rFonts w:ascii="Times New Roman" w:cs="Times New Roman" w:eastAsia="Times New Roman" w:hAnsi="Times New Roman"/>
          <w:sz w:val="20"/>
          <w:szCs w:val="20"/>
        </w:rPr>
        <w:t xml:space="preserve">12. Doshi P, Dickersin K, Healy D, et al. Restoring invisible and abandoned trials: a call for people to publish the findings. BMJ. 2013;346:f2865.</w:t>
      </w:r>
    </w:p>
    <w:p>
      <w:pPr>
        <w:spacing w:after="80" w:line="260"/>
        <w:ind w:left="720" w:hanging="720"/>
      </w:pPr>
      <w:r>
        <w:rPr>
          <w:rFonts w:ascii="Times New Roman" w:cs="Times New Roman" w:eastAsia="Times New Roman" w:hAnsi="Times New Roman"/>
          <w:sz w:val="20"/>
          <w:szCs w:val="20"/>
        </w:rPr>
        <w:t xml:space="preserve">13. National Institute for Health and Care Excellence. NICE health technology evaluations: the manual. PMG36. London: NICE; 2022.</w:t>
      </w:r>
    </w:p>
    <w:p>
      <w:pPr>
        <w:spacing w:after="80" w:line="260"/>
        <w:ind w:left="720" w:hanging="720"/>
      </w:pPr>
      <w:r>
        <w:rPr>
          <w:rFonts w:ascii="Times New Roman" w:cs="Times New Roman" w:eastAsia="Times New Roman" w:hAnsi="Times New Roman"/>
          <w:sz w:val="20"/>
          <w:szCs w:val="20"/>
        </w:rPr>
        <w:t xml:space="preserve">14. Husereau D, Drummond M, Augustovski F, et al. Consolidated Health Economic Evaluation Reporting Standards 2022 (CHEERS 2022). BMJ. 2022;376:e067975.</w:t>
      </w:r>
    </w:p>
    <w:p>
      <w:pPr>
        <w:spacing w:after="80" w:line="260"/>
        <w:ind w:left="720" w:hanging="720"/>
      </w:pPr>
      <w:r>
        <w:rPr>
          <w:rFonts w:ascii="Times New Roman" w:cs="Times New Roman" w:eastAsia="Times New Roman" w:hAnsi="Times New Roman"/>
          <w:sz w:val="20"/>
          <w:szCs w:val="20"/>
        </w:rPr>
        <w:t xml:space="preserve">15. Huang A, Komukai S, Friede T, Hattori S. Using clinical trial registries to inform Copas selection model. Res Synth Methods. 2021;12(5):658–673.</w:t>
      </w:r>
    </w:p>
    <w:p>
      <w:pPr>
        <w:spacing w:after="80" w:line="260"/>
        <w:ind w:left="720" w:hanging="720"/>
      </w:pPr>
      <w:r>
        <w:rPr>
          <w:rFonts w:ascii="Times New Roman" w:cs="Times New Roman" w:eastAsia="Times New Roman" w:hAnsi="Times New Roman"/>
          <w:sz w:val="20"/>
          <w:szCs w:val="20"/>
        </w:rPr>
        <w:t xml:space="preserve">16. Morris TP, White IR, Crowther MJ. Using simulation studies to evaluate statistical methods. Stat Med. 2019;38(11):2074–2102.</w:t>
      </w:r>
    </w:p>
    <w:p>
      <w:pPr>
        <w:spacing w:after="80" w:line="260"/>
        <w:ind w:left="720" w:hanging="720"/>
      </w:pPr>
      <w:r>
        <w:rPr>
          <w:rFonts w:ascii="Times New Roman" w:cs="Times New Roman" w:eastAsia="Times New Roman" w:hAnsi="Times New Roman"/>
          <w:sz w:val="20"/>
          <w:szCs w:val="20"/>
        </w:rPr>
        <w:t xml:space="preserve">17. Hart B, Lundh A, Bero L. Effect of reporting bias on meta-analyses of drug trials. BMJ. 2012;344:d7202.</w:t>
      </w:r>
    </w:p>
    <w:p>
      <w:pPr>
        <w:spacing w:after="80" w:line="260"/>
        <w:ind w:left="720" w:hanging="720"/>
      </w:pPr>
      <w:r>
        <w:rPr>
          <w:rFonts w:ascii="Times New Roman" w:cs="Times New Roman" w:eastAsia="Times New Roman" w:hAnsi="Times New Roman"/>
          <w:sz w:val="20"/>
          <w:szCs w:val="20"/>
        </w:rPr>
        <w:t xml:space="preserve">18. Turner EH. Publication bias, with a focus on psychiatry: causes and solutions. CNS Drugs. 2013;27(6):457–468.</w:t>
      </w:r>
    </w:p>
    <w:p>
      <w:pPr>
        <w:spacing w:after="80" w:line="260"/>
        <w:ind w:left="720" w:hanging="720"/>
      </w:pPr>
      <w:r>
        <w:rPr>
          <w:rFonts w:ascii="Times New Roman" w:cs="Times New Roman" w:eastAsia="Times New Roman" w:hAnsi="Times New Roman"/>
          <w:sz w:val="20"/>
          <w:szCs w:val="20"/>
        </w:rPr>
        <w:t xml:space="preserve">19. Vevea JL, Hedges LV. A general linear model for estimating effect size in the presence of publication bias. Psychometrika. 1995;60(3):419–435.</w:t>
      </w:r>
    </w:p>
    <w:p>
      <w:pPr>
        <w:spacing w:after="80" w:line="260"/>
        <w:ind w:left="720" w:hanging="720"/>
      </w:pPr>
      <w:r>
        <w:rPr>
          <w:rFonts w:ascii="Times New Roman" w:cs="Times New Roman" w:eastAsia="Times New Roman" w:hAnsi="Times New Roman"/>
          <w:sz w:val="20"/>
          <w:szCs w:val="20"/>
        </w:rPr>
        <w:t xml:space="preserve">20. Mathur MB, VanderWeele TJ. Sensitivity analysis for publication bias in meta-analyses. J R Stat Soc Ser C. 2020;69(5):1091–1119.</w:t>
      </w:r>
    </w:p>
    <w:p>
      <w:pPr>
        <w:spacing w:after="80" w:line="260"/>
        <w:ind w:left="720" w:hanging="720"/>
      </w:pPr>
      <w:r>
        <w:rPr>
          <w:rFonts w:ascii="Times New Roman" w:cs="Times New Roman" w:eastAsia="Times New Roman" w:hAnsi="Times New Roman"/>
          <w:sz w:val="20"/>
          <w:szCs w:val="20"/>
        </w:rPr>
        <w:t xml:space="preserve">21. Turner EH. Selective publication of antidepressant trials: updated comparisons. PLoS ONE. 2022;17(1):e0263004.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6"/>
        <w:szCs w:val="16"/>
      </w:rPr>
      <w:t xml:space="preserve">Confidential — BMJ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6"/>
        <w:szCs w:val="16"/>
      </w:rPr>
      <w:t xml:space="preserve">The Transparency Discount — Revised R2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2026-02-22T15:09:05.887Z</dcterms:created>
  <dcterms:modified xsi:type="dcterms:W3CDTF">2026-02-22T15:09:05.888Z</dcterms:modified>
</cp:coreProperties>
</file>

<file path=docProps/custom.xml><?xml version="1.0" encoding="utf-8"?>
<Properties xmlns="http://schemas.openxmlformats.org/officeDocument/2006/custom-properties" xmlns:vt="http://schemas.openxmlformats.org/officeDocument/2006/docPropsVTypes"/>
</file>