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MLM501: a multilevel evidence synthesis suite for the Cochrane Fragility Atlas and Clinical Pathway Simulation</w:t>
      </w:r>
    </w:p>
    <w:p>
      <w:pPr>
        <w:pStyle w:val="Heading1"/>
      </w:pPr>
      <w:r>
        <w:t>Authors</w:t>
      </w:r>
    </w:p>
    <w:p>
      <w:r>
        <w:t>Mahmood Ahmad [1], Niraj Kumar [2], Laiba Khan [2], Bilaal Dar [3], Andrew Woo [4]</w:t>
      </w:r>
    </w:p>
    <w:p>
      <w:r>
        <w:t>Corresponding author: Mahmood Ahmad (mahmood.ahmad2@nhs.net)</w:t>
      </w:r>
    </w:p>
    <w:p>
      <w:pPr>
        <w:pStyle w:val="Heading1"/>
      </w:pPr>
      <w:r>
        <w:t>Affiliations</w:t>
      </w:r>
    </w:p>
    <w:p>
      <w:r>
        <w:t>1. Royal Free London NHS Foundation Trust, London, UK</w:t>
        <w:br/>
        <w:t>2. Tahir Heart Institute, Rabwah, Pakistan</w:t>
        <w:br/>
        <w:t>3. King's College London GKT School of Medical Education, London, UK</w:t>
        <w:br/>
        <w:t>4. St George's, University of London, London, UK</w:t>
      </w:r>
    </w:p>
    <w:p>
      <w:pPr>
        <w:pStyle w:val="Heading1"/>
      </w:pPr>
      <w:r>
        <w:t>Abstract</w:t>
      </w:r>
    </w:p>
    <w:p>
      <w:r>
        <w:t>Background: Meta-analyses require searching, screening, data entry and analysis in a laborious process. Due to the intensity of this process "living" meta-analysis is difficult to sustain in practice. Previous attempts have either used fully automated or manual methods. MLM501 provides a semi-automated and fully integrated living meta-analysis workflow for evidence synthesis across 501 Cochrane reviews.</w:t>
      </w:r>
    </w:p>
    <w:p>
      <w:r>
        <w:t>Methods: It exists as an R package implementing a multilevel effects table (2,373 analyses). It features the Meta-Analysis Fragility Index (MAFI 2.0) engine for robustness auditing, a Bayesian Fragility &amp; Credibility Engine for uncertainty assessment, and an Evidence Pathway Engine for simulating clinical workflows. The package integrates non-linear evidence decay models and health-economic impact metrics.</w:t>
      </w:r>
    </w:p>
    <w:p>
      <w:r>
        <w:t>Results: The software successfully executed a global audit of 2,373 clinical meta-analyses, identifying 288 "High Fragility" analyses. A Cardiovascular case study demonstrated a Net Clinical Benefit (NCB) of 163 lives improved per 10,000 patients, illustrating the software's ability to bridge diagnostic accuracy and treatment effects.</w:t>
      </w:r>
    </w:p>
    <w:p>
      <w:r>
        <w:t>Conclusions: MLM501 is suited for rapid evidence auditing and represents a new synthesis of human and automated methods with rigorous check-gates.</w:t>
      </w:r>
    </w:p>
    <w:p>
      <w:pPr>
        <w:pStyle w:val="Heading1"/>
      </w:pPr>
      <w:r>
        <w:t>Table 1. Visual Abstract: The Cochrane Fragility Atlas Pipeline</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Pipeline Stage</w:t>
            </w:r>
          </w:p>
        </w:tc>
        <w:tc>
          <w:tcPr>
            <w:tcW w:type="dxa" w:w="2160"/>
            <w:shd w:fill="F2F2F2"/>
          </w:tcPr>
          <w:p>
            <w:pPr>
              <w:spacing w:before="60" w:after="60"/>
            </w:pPr>
            <w:r>
              <w:rPr>
                <w:rFonts w:ascii="Arial" w:hAnsi="Arial"/>
                <w:b/>
                <w:sz w:val="17"/>
              </w:rPr>
              <w:t>Primary Objective</w:t>
            </w:r>
          </w:p>
        </w:tc>
        <w:tc>
          <w:tcPr>
            <w:tcW w:type="dxa" w:w="2160"/>
            <w:shd w:fill="F2F2F2"/>
          </w:tcPr>
          <w:p>
            <w:pPr>
              <w:spacing w:before="60" w:after="60"/>
            </w:pPr>
            <w:r>
              <w:rPr>
                <w:rFonts w:ascii="Arial" w:hAnsi="Arial"/>
                <w:b/>
                <w:sz w:val="17"/>
              </w:rPr>
              <w:t>Technical Component</w:t>
            </w:r>
          </w:p>
        </w:tc>
        <w:tc>
          <w:tcPr>
            <w:tcW w:type="dxa" w:w="2160"/>
            <w:shd w:fill="F2F2F2"/>
          </w:tcPr>
          <w:p>
            <w:pPr>
              <w:spacing w:before="60" w:after="60"/>
            </w:pPr>
            <w:r>
              <w:rPr>
                <w:rFonts w:ascii="Arial" w:hAnsi="Arial"/>
                <w:b/>
                <w:sz w:val="17"/>
              </w:rPr>
              <w:t>Strategic Benefit</w:t>
            </w:r>
          </w:p>
        </w:tc>
      </w:tr>
      <w:tr>
        <w:tc>
          <w:tcPr>
            <w:tcW w:type="dxa" w:w="2160"/>
          </w:tcPr>
          <w:p>
            <w:pPr>
              <w:spacing w:before="60" w:after="60"/>
            </w:pPr>
            <w:r>
              <w:rPr>
                <w:rFonts w:ascii="Arial" w:hAnsi="Arial"/>
                <w:sz w:val="17"/>
              </w:rPr>
              <w:t>1. Data Ingestion</w:t>
            </w:r>
          </w:p>
        </w:tc>
        <w:tc>
          <w:tcPr>
            <w:tcW w:type="dxa" w:w="2160"/>
          </w:tcPr>
          <w:p>
            <w:pPr>
              <w:spacing w:before="60" w:after="60"/>
            </w:pPr>
            <w:r>
              <w:rPr>
                <w:rFonts w:ascii="Arial" w:hAnsi="Arial"/>
                <w:sz w:val="17"/>
              </w:rPr>
              <w:t>Unified access to 2,373 Cochrane analyses.</w:t>
            </w:r>
          </w:p>
        </w:tc>
        <w:tc>
          <w:tcPr>
            <w:tcW w:type="dxa" w:w="2160"/>
          </w:tcPr>
          <w:p>
            <w:pPr>
              <w:spacing w:before="60" w:after="60"/>
            </w:pPr>
            <w:r>
              <w:rPr>
                <w:rFonts w:ascii="Arial" w:hAnsi="Arial"/>
                <w:sz w:val="17"/>
              </w:rPr>
              <w:t>Multilevel Database Importer</w:t>
            </w:r>
          </w:p>
        </w:tc>
        <w:tc>
          <w:tcPr>
            <w:tcW w:type="dxa" w:w="2160"/>
          </w:tcPr>
          <w:p>
            <w:pPr>
              <w:spacing w:before="60" w:after="60"/>
            </w:pPr>
            <w:r>
              <w:rPr>
                <w:rFonts w:ascii="Arial" w:hAnsi="Arial"/>
                <w:sz w:val="17"/>
              </w:rPr>
              <w:t>Full provenance (DOI/URL) for 501+ reviews.</w:t>
            </w:r>
          </w:p>
        </w:tc>
      </w:tr>
      <w:tr>
        <w:tc>
          <w:tcPr>
            <w:tcW w:type="dxa" w:w="2160"/>
          </w:tcPr>
          <w:p>
            <w:pPr>
              <w:spacing w:before="60" w:after="60"/>
            </w:pPr>
            <w:r>
              <w:rPr>
                <w:rFonts w:ascii="Arial" w:hAnsi="Arial"/>
                <w:sz w:val="17"/>
              </w:rPr>
              <w:t>2. Robustness Audit</w:t>
            </w:r>
          </w:p>
        </w:tc>
        <w:tc>
          <w:tcPr>
            <w:tcW w:type="dxa" w:w="2160"/>
          </w:tcPr>
          <w:p>
            <w:pPr>
              <w:spacing w:before="60" w:after="60"/>
            </w:pPr>
            <w:r>
              <w:rPr>
                <w:rFonts w:ascii="Arial" w:hAnsi="Arial"/>
                <w:sz w:val="17"/>
              </w:rPr>
              <w:t>Quantify conclusion stability via stress-tests.</w:t>
            </w:r>
          </w:p>
        </w:tc>
        <w:tc>
          <w:tcPr>
            <w:tcW w:type="dxa" w:w="2160"/>
          </w:tcPr>
          <w:p>
            <w:pPr>
              <w:spacing w:before="60" w:after="60"/>
            </w:pPr>
            <w:r>
              <w:rPr>
                <w:rFonts w:ascii="Arial" w:hAnsi="Arial"/>
                <w:sz w:val="17"/>
              </w:rPr>
              <w:t>MAFI 2.0 Engine</w:t>
            </w:r>
          </w:p>
        </w:tc>
        <w:tc>
          <w:tcPr>
            <w:tcW w:type="dxa" w:w="2160"/>
          </w:tcPr>
          <w:p>
            <w:pPr>
              <w:spacing w:before="60" w:after="60"/>
            </w:pPr>
            <w:r>
              <w:rPr>
                <w:rFonts w:ascii="Arial" w:hAnsi="Arial"/>
                <w:sz w:val="17"/>
              </w:rPr>
              <w:t>Identifies "High Fragility" evidence frontier.</w:t>
            </w:r>
          </w:p>
        </w:tc>
      </w:tr>
      <w:tr>
        <w:tc>
          <w:tcPr>
            <w:tcW w:type="dxa" w:w="2160"/>
          </w:tcPr>
          <w:p>
            <w:pPr>
              <w:spacing w:before="60" w:after="60"/>
            </w:pPr>
            <w:r>
              <w:rPr>
                <w:rFonts w:ascii="Arial" w:hAnsi="Arial"/>
                <w:sz w:val="17"/>
              </w:rPr>
              <w:t>3. Pathway Simulation</w:t>
            </w:r>
          </w:p>
        </w:tc>
        <w:tc>
          <w:tcPr>
            <w:tcW w:type="dxa" w:w="2160"/>
          </w:tcPr>
          <w:p>
            <w:pPr>
              <w:spacing w:before="60" w:after="60"/>
            </w:pPr>
            <w:r>
              <w:rPr>
                <w:rFonts w:ascii="Arial" w:hAnsi="Arial"/>
                <w:sz w:val="17"/>
              </w:rPr>
              <w:t>Bridge diagnostic data to treatment harms.</w:t>
            </w:r>
          </w:p>
        </w:tc>
        <w:tc>
          <w:tcPr>
            <w:tcW w:type="dxa" w:w="2160"/>
          </w:tcPr>
          <w:p>
            <w:pPr>
              <w:spacing w:before="60" w:after="60"/>
            </w:pPr>
            <w:r>
              <w:rPr>
                <w:rFonts w:ascii="Arial" w:hAnsi="Arial"/>
                <w:sz w:val="17"/>
              </w:rPr>
              <w:t>DTA/TE Bridge</w:t>
            </w:r>
          </w:p>
        </w:tc>
        <w:tc>
          <w:tcPr>
            <w:tcW w:type="dxa" w:w="2160"/>
          </w:tcPr>
          <w:p>
            <w:pPr>
              <w:spacing w:before="60" w:after="60"/>
            </w:pPr>
            <w:r>
              <w:rPr>
                <w:rFonts w:ascii="Arial" w:hAnsi="Arial"/>
                <w:sz w:val="17"/>
              </w:rPr>
              <w:t>Calculates real-world Net Clinical Benefit.</w:t>
            </w:r>
          </w:p>
        </w:tc>
      </w:tr>
      <w:tr>
        <w:tc>
          <w:tcPr>
            <w:tcW w:type="dxa" w:w="2160"/>
          </w:tcPr>
          <w:p>
            <w:pPr>
              <w:spacing w:before="60" w:after="60"/>
            </w:pPr>
            <w:r>
              <w:rPr>
                <w:rFonts w:ascii="Arial" w:hAnsi="Arial"/>
                <w:sz w:val="17"/>
              </w:rPr>
              <w:t>4. Economic Valuation</w:t>
            </w:r>
          </w:p>
        </w:tc>
        <w:tc>
          <w:tcPr>
            <w:tcW w:type="dxa" w:w="2160"/>
          </w:tcPr>
          <w:p>
            <w:pPr>
              <w:spacing w:before="60" w:after="60"/>
            </w:pPr>
            <w:r>
              <w:rPr>
                <w:rFonts w:ascii="Arial" w:hAnsi="Arial"/>
                <w:sz w:val="17"/>
              </w:rPr>
              <w:t>Translate clinical impact into monetary value.</w:t>
            </w:r>
          </w:p>
        </w:tc>
        <w:tc>
          <w:tcPr>
            <w:tcW w:type="dxa" w:w="2160"/>
          </w:tcPr>
          <w:p>
            <w:pPr>
              <w:spacing w:before="60" w:after="60"/>
            </w:pPr>
            <w:r>
              <w:rPr>
                <w:rFonts w:ascii="Arial" w:hAnsi="Arial"/>
                <w:sz w:val="17"/>
              </w:rPr>
              <w:t>QALY Impact Calculator</w:t>
            </w:r>
          </w:p>
        </w:tc>
        <w:tc>
          <w:tcPr>
            <w:tcW w:type="dxa" w:w="2160"/>
          </w:tcPr>
          <w:p>
            <w:pPr>
              <w:spacing w:before="60" w:after="60"/>
            </w:pPr>
            <w:r>
              <w:rPr>
                <w:rFonts w:ascii="Arial" w:hAnsi="Arial"/>
                <w:sz w:val="17"/>
              </w:rPr>
              <w:t>Economic justification for NHS research priority.</w:t>
            </w:r>
          </w:p>
        </w:tc>
      </w:tr>
      <w:tr>
        <w:tc>
          <w:tcPr>
            <w:tcW w:type="dxa" w:w="2160"/>
          </w:tcPr>
          <w:p>
            <w:pPr>
              <w:spacing w:before="60" w:after="60"/>
            </w:pPr>
            <w:r>
              <w:rPr>
                <w:rFonts w:ascii="Arial" w:hAnsi="Arial"/>
                <w:sz w:val="17"/>
              </w:rPr>
              <w:t>5. Visual Synthesis</w:t>
            </w:r>
          </w:p>
        </w:tc>
        <w:tc>
          <w:tcPr>
            <w:tcW w:type="dxa" w:w="2160"/>
          </w:tcPr>
          <w:p>
            <w:pPr>
              <w:spacing w:before="60" w:after="60"/>
            </w:pPr>
            <w:r>
              <w:rPr>
                <w:rFonts w:ascii="Arial" w:hAnsi="Arial"/>
                <w:sz w:val="17"/>
              </w:rPr>
              <w:t>Interactive evidence exploration.</w:t>
            </w:r>
          </w:p>
        </w:tc>
        <w:tc>
          <w:tcPr>
            <w:tcW w:type="dxa" w:w="2160"/>
          </w:tcPr>
          <w:p>
            <w:pPr>
              <w:spacing w:before="60" w:after="60"/>
            </w:pPr>
            <w:r>
              <w:rPr>
                <w:rFonts w:ascii="Arial" w:hAnsi="Arial"/>
                <w:sz w:val="17"/>
              </w:rPr>
              <w:t>Glassmorphism Dashboard</w:t>
            </w:r>
          </w:p>
        </w:tc>
        <w:tc>
          <w:tcPr>
            <w:tcW w:type="dxa" w:w="2160"/>
          </w:tcPr>
          <w:p>
            <w:pPr>
              <w:spacing w:before="60" w:after="60"/>
            </w:pPr>
            <w:r>
              <w:rPr>
                <w:rFonts w:ascii="Arial" w:hAnsi="Arial"/>
                <w:sz w:val="17"/>
              </w:rPr>
              <w:t>Transparent analyst and stakeholder interaction.</w:t>
            </w:r>
          </w:p>
        </w:tc>
      </w:tr>
    </w:tbl>
    <w:p>
      <w:r>
        <w:t>The integration of these five stages ensures that evidence synthesis is not merely a summary of existing data but an active audit of its future utility. By bridging the gap between raw data ingestion and economic valuation, MLM501 provides a high-throughput framework for evidence-based decision making.</w:t>
      </w:r>
    </w:p>
    <w:p>
      <w:pPr>
        <w:pStyle w:val="Heading1"/>
      </w:pPr>
      <w:r>
        <w:t>Table 2. Glossary of Statistical Abbreviations and Symbols</w:t>
      </w:r>
    </w:p>
    <w:tbl>
      <w:tblPr>
        <w:tblW w:type="auto" w:w="0"/>
        <w:tblLook w:firstColumn="1" w:firstRow="1" w:lastColumn="0" w:lastRow="0" w:noHBand="0" w:noVBand="1" w:val="04A0"/>
      </w:tblPr>
      <w:tblGrid>
        <w:gridCol w:w="2880"/>
        <w:gridCol w:w="2880"/>
        <w:gridCol w:w="2880"/>
      </w:tblGrid>
      <w:tr>
        <w:tc>
          <w:tcPr>
            <w:tcW w:type="dxa" w:w="2880"/>
            <w:shd w:fill="F2F2F2"/>
          </w:tcPr>
          <w:p>
            <w:pPr>
              <w:spacing w:before="60" w:after="60"/>
            </w:pPr>
            <w:r>
              <w:rPr>
                <w:rFonts w:ascii="Arial" w:hAnsi="Arial"/>
                <w:b/>
                <w:sz w:val="17"/>
              </w:rPr>
              <w:t>Symbol</w:t>
            </w:r>
          </w:p>
        </w:tc>
        <w:tc>
          <w:tcPr>
            <w:tcW w:type="dxa" w:w="2880"/>
            <w:shd w:fill="F2F2F2"/>
          </w:tcPr>
          <w:p>
            <w:pPr>
              <w:spacing w:before="60" w:after="60"/>
            </w:pPr>
            <w:r>
              <w:rPr>
                <w:rFonts w:ascii="Arial" w:hAnsi="Arial"/>
                <w:b/>
                <w:sz w:val="17"/>
              </w:rPr>
              <w:t>Definition</w:t>
            </w:r>
          </w:p>
        </w:tc>
        <w:tc>
          <w:tcPr>
            <w:tcW w:type="dxa" w:w="2880"/>
            <w:shd w:fill="F2F2F2"/>
          </w:tcPr>
          <w:p>
            <w:pPr>
              <w:spacing w:before="60" w:after="60"/>
            </w:pPr>
            <w:r>
              <w:rPr>
                <w:rFonts w:ascii="Arial" w:hAnsi="Arial"/>
                <w:b/>
                <w:sz w:val="17"/>
              </w:rPr>
              <w:t>Functional Role in MLM501</w:t>
            </w:r>
          </w:p>
        </w:tc>
      </w:tr>
      <w:tr>
        <w:tc>
          <w:tcPr>
            <w:tcW w:type="dxa" w:w="2880"/>
          </w:tcPr>
          <w:p>
            <w:pPr>
              <w:spacing w:before="60" w:after="60"/>
            </w:pPr>
            <w:r>
              <w:rPr>
                <w:rFonts w:ascii="Arial" w:hAnsi="Arial"/>
                <w:sz w:val="17"/>
              </w:rPr>
              <w:t>MAFI</w:t>
            </w:r>
          </w:p>
        </w:tc>
        <w:tc>
          <w:tcPr>
            <w:tcW w:type="dxa" w:w="2880"/>
          </w:tcPr>
          <w:p>
            <w:pPr>
              <w:spacing w:before="60" w:after="60"/>
            </w:pPr>
            <w:r>
              <w:rPr>
                <w:rFonts w:ascii="Arial" w:hAnsi="Arial"/>
                <w:sz w:val="17"/>
              </w:rPr>
              <w:t>Meta-Analysis Fragility Index</w:t>
            </w:r>
          </w:p>
        </w:tc>
        <w:tc>
          <w:tcPr>
            <w:tcW w:type="dxa" w:w="2880"/>
          </w:tcPr>
          <w:p>
            <w:pPr>
              <w:spacing w:before="60" w:after="60"/>
            </w:pPr>
            <w:r>
              <w:rPr>
                <w:rFonts w:ascii="Arial" w:hAnsi="Arial"/>
                <w:sz w:val="17"/>
              </w:rPr>
              <w:t>Composite score (0–1) measuring conclusion vulnerability.</w:t>
            </w:r>
          </w:p>
        </w:tc>
      </w:tr>
      <w:tr>
        <w:tc>
          <w:tcPr>
            <w:tcW w:type="dxa" w:w="2880"/>
          </w:tcPr>
          <w:p>
            <w:pPr>
              <w:spacing w:before="60" w:after="60"/>
            </w:pPr>
            <w:r>
              <w:rPr>
                <w:rFonts w:ascii="Arial" w:hAnsi="Arial"/>
                <w:sz w:val="17"/>
              </w:rPr>
              <w:t>NCB</w:t>
            </w:r>
          </w:p>
        </w:tc>
        <w:tc>
          <w:tcPr>
            <w:tcW w:type="dxa" w:w="2880"/>
          </w:tcPr>
          <w:p>
            <w:pPr>
              <w:spacing w:before="60" w:after="60"/>
            </w:pPr>
            <w:r>
              <w:rPr>
                <w:rFonts w:ascii="Arial" w:hAnsi="Arial"/>
                <w:sz w:val="17"/>
              </w:rPr>
              <w:t>Net Clinical Benefit</w:t>
            </w:r>
          </w:p>
        </w:tc>
        <w:tc>
          <w:tcPr>
            <w:tcW w:type="dxa" w:w="2880"/>
          </w:tcPr>
          <w:p>
            <w:pPr>
              <w:spacing w:before="60" w:after="60"/>
            </w:pPr>
            <w:r>
              <w:rPr>
                <w:rFonts w:ascii="Arial" w:hAnsi="Arial"/>
                <w:sz w:val="17"/>
              </w:rPr>
              <w:t>Final lives-saved metric per 10,000 patients after harms.</w:t>
            </w:r>
          </w:p>
        </w:tc>
      </w:tr>
      <w:tr>
        <w:tc>
          <w:tcPr>
            <w:tcW w:type="dxa" w:w="2880"/>
          </w:tcPr>
          <w:p>
            <w:pPr>
              <w:spacing w:before="60" w:after="60"/>
            </w:pPr>
            <w:r>
              <w:rPr>
                <w:rFonts w:ascii="Arial" w:hAnsi="Arial"/>
                <w:sz w:val="17"/>
              </w:rPr>
              <w:t>HKSJ</w:t>
            </w:r>
          </w:p>
        </w:tc>
        <w:tc>
          <w:tcPr>
            <w:tcW w:type="dxa" w:w="2880"/>
          </w:tcPr>
          <w:p>
            <w:pPr>
              <w:spacing w:before="60" w:after="60"/>
            </w:pPr>
            <w:r>
              <w:rPr>
                <w:rFonts w:ascii="Arial" w:hAnsi="Arial"/>
                <w:sz w:val="17"/>
              </w:rPr>
              <w:t>Hartung-Knapp-Sidik-Jonkman</w:t>
            </w:r>
          </w:p>
        </w:tc>
        <w:tc>
          <w:tcPr>
            <w:tcW w:type="dxa" w:w="2880"/>
          </w:tcPr>
          <w:p>
            <w:pPr>
              <w:spacing w:before="60" w:after="60"/>
            </w:pPr>
            <w:r>
              <w:rPr>
                <w:rFonts w:ascii="Arial" w:hAnsi="Arial"/>
                <w:sz w:val="17"/>
              </w:rPr>
              <w:t>Variance adjustment for random-effects uncertainty.</w:t>
            </w:r>
          </w:p>
        </w:tc>
      </w:tr>
      <w:tr>
        <w:tc>
          <w:tcPr>
            <w:tcW w:type="dxa" w:w="2880"/>
          </w:tcPr>
          <w:p>
            <w:pPr>
              <w:spacing w:before="60" w:after="60"/>
            </w:pPr>
            <w:r>
              <w:rPr>
                <w:rFonts w:ascii="Arial" w:hAnsi="Arial"/>
                <w:sz w:val="17"/>
              </w:rPr>
              <w:t>QALY</w:t>
            </w:r>
          </w:p>
        </w:tc>
        <w:tc>
          <w:tcPr>
            <w:tcW w:type="dxa" w:w="2880"/>
          </w:tcPr>
          <w:p>
            <w:pPr>
              <w:spacing w:before="60" w:after="60"/>
            </w:pPr>
            <w:r>
              <w:rPr>
                <w:rFonts w:ascii="Arial" w:hAnsi="Arial"/>
                <w:sz w:val="17"/>
              </w:rPr>
              <w:t>Quality-Adjusted Life Year</w:t>
            </w:r>
          </w:p>
        </w:tc>
        <w:tc>
          <w:tcPr>
            <w:tcW w:type="dxa" w:w="2880"/>
          </w:tcPr>
          <w:p>
            <w:pPr>
              <w:spacing w:before="60" w:after="60"/>
            </w:pPr>
            <w:r>
              <w:rPr>
                <w:rFonts w:ascii="Arial" w:hAnsi="Arial"/>
                <w:sz w:val="17"/>
              </w:rPr>
              <w:t>Health-economic unit for Net Economic Value (NEV).</w:t>
            </w:r>
          </w:p>
        </w:tc>
      </w:tr>
      <w:tr>
        <w:tc>
          <w:tcPr>
            <w:tcW w:type="dxa" w:w="2880"/>
          </w:tcPr>
          <w:p>
            <w:pPr>
              <w:spacing w:before="60" w:after="60"/>
            </w:pPr>
            <w:r>
              <w:rPr>
                <w:rFonts w:ascii="Arial" w:hAnsi="Arial"/>
                <w:sz w:val="17"/>
              </w:rPr>
              <w:t>logOR</w:t>
            </w:r>
          </w:p>
        </w:tc>
        <w:tc>
          <w:tcPr>
            <w:tcW w:type="dxa" w:w="2880"/>
          </w:tcPr>
          <w:p>
            <w:pPr>
              <w:spacing w:before="60" w:after="60"/>
            </w:pPr>
            <w:r>
              <w:rPr>
                <w:rFonts w:ascii="Arial" w:hAnsi="Arial"/>
                <w:sz w:val="17"/>
              </w:rPr>
              <w:t>Log Odds Ratio</w:t>
            </w:r>
          </w:p>
        </w:tc>
        <w:tc>
          <w:tcPr>
            <w:tcW w:type="dxa" w:w="2880"/>
          </w:tcPr>
          <w:p>
            <w:pPr>
              <w:spacing w:before="60" w:after="60"/>
            </w:pPr>
            <w:r>
              <w:rPr>
                <w:rFonts w:ascii="Arial" w:hAnsi="Arial"/>
                <w:sz w:val="17"/>
              </w:rPr>
              <w:t>Primary effect measure for dichotomous outcomes.</w:t>
            </w:r>
          </w:p>
        </w:tc>
      </w:tr>
      <w:tr>
        <w:tc>
          <w:tcPr>
            <w:tcW w:type="dxa" w:w="2880"/>
          </w:tcPr>
          <w:p>
            <w:pPr>
              <w:spacing w:before="60" w:after="60"/>
            </w:pPr>
            <w:r>
              <w:rPr>
                <w:rFonts w:ascii="Arial" w:hAnsi="Arial"/>
                <w:sz w:val="17"/>
              </w:rPr>
              <w:t>SMD</w:t>
            </w:r>
          </w:p>
        </w:tc>
        <w:tc>
          <w:tcPr>
            <w:tcW w:type="dxa" w:w="2880"/>
          </w:tcPr>
          <w:p>
            <w:pPr>
              <w:spacing w:before="60" w:after="60"/>
            </w:pPr>
            <w:r>
              <w:rPr>
                <w:rFonts w:ascii="Arial" w:hAnsi="Arial"/>
                <w:sz w:val="17"/>
              </w:rPr>
              <w:t>Std. Mean Difference</w:t>
            </w:r>
          </w:p>
        </w:tc>
        <w:tc>
          <w:tcPr>
            <w:tcW w:type="dxa" w:w="2880"/>
          </w:tcPr>
          <w:p>
            <w:pPr>
              <w:spacing w:before="60" w:after="60"/>
            </w:pPr>
            <w:r>
              <w:rPr>
                <w:rFonts w:ascii="Arial" w:hAnsi="Arial"/>
                <w:sz w:val="17"/>
              </w:rPr>
              <w:t>Primary effect measure for continuous outcomes.</w:t>
            </w:r>
          </w:p>
        </w:tc>
      </w:tr>
      <w:tr>
        <w:tc>
          <w:tcPr>
            <w:tcW w:type="dxa" w:w="2880"/>
          </w:tcPr>
          <w:p>
            <w:pPr>
              <w:spacing w:before="60" w:after="60"/>
            </w:pPr>
            <w:r>
              <w:rPr>
                <w:rFonts w:ascii="Arial" w:hAnsi="Arial"/>
                <w:sz w:val="17"/>
              </w:rPr>
              <w:t>I²</w:t>
            </w:r>
          </w:p>
        </w:tc>
        <w:tc>
          <w:tcPr>
            <w:tcW w:type="dxa" w:w="2880"/>
          </w:tcPr>
          <w:p>
            <w:pPr>
              <w:spacing w:before="60" w:after="60"/>
            </w:pPr>
            <w:r>
              <w:rPr>
                <w:rFonts w:ascii="Arial" w:hAnsi="Arial"/>
                <w:sz w:val="17"/>
              </w:rPr>
              <w:t>Heterogeneity Statistic</w:t>
            </w:r>
          </w:p>
        </w:tc>
        <w:tc>
          <w:tcPr>
            <w:tcW w:type="dxa" w:w="2880"/>
          </w:tcPr>
          <w:p>
            <w:pPr>
              <w:spacing w:before="60" w:after="60"/>
            </w:pPr>
            <w:r>
              <w:rPr>
                <w:rFonts w:ascii="Arial" w:hAnsi="Arial"/>
                <w:sz w:val="17"/>
              </w:rPr>
              <w:t>Used as a penalty in the MAFI robustness calculation.</w:t>
            </w:r>
          </w:p>
        </w:tc>
      </w:tr>
    </w:tbl>
    <w:p>
      <w:r>
        <w:t>These symbols form the mathematical foundation of the MLM501 suite. The primary metric, MAFI, is designed to be highly sensitive to the types of data inconsistencies often found in large-scale clinical repositories, allowing for a standardized assessment across diverse medical specialties.</w:t>
      </w:r>
    </w:p>
    <w:p>
      <w:pPr>
        <w:pStyle w:val="Heading1"/>
      </w:pPr>
      <w:r>
        <w:t>Table 3. MAFI 2.0 Composite Score: Weighted Stress-Test Logic</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Component</w:t>
            </w:r>
          </w:p>
        </w:tc>
        <w:tc>
          <w:tcPr>
            <w:tcW w:type="dxa" w:w="2160"/>
            <w:shd w:fill="F2F2F2"/>
          </w:tcPr>
          <w:p>
            <w:pPr>
              <w:spacing w:before="60" w:after="60"/>
            </w:pPr>
            <w:r>
              <w:rPr>
                <w:rFonts w:ascii="Arial" w:hAnsi="Arial"/>
                <w:b/>
                <w:sz w:val="17"/>
              </w:rPr>
              <w:t>Weight</w:t>
            </w:r>
          </w:p>
        </w:tc>
        <w:tc>
          <w:tcPr>
            <w:tcW w:type="dxa" w:w="2160"/>
            <w:shd w:fill="F2F2F2"/>
          </w:tcPr>
          <w:p>
            <w:pPr>
              <w:spacing w:before="60" w:after="60"/>
            </w:pPr>
            <w:r>
              <w:rPr>
                <w:rFonts w:ascii="Arial" w:hAnsi="Arial"/>
                <w:b/>
                <w:sz w:val="17"/>
              </w:rPr>
              <w:t>Operational Definition</w:t>
            </w:r>
          </w:p>
        </w:tc>
        <w:tc>
          <w:tcPr>
            <w:tcW w:type="dxa" w:w="2160"/>
            <w:shd w:fill="F2F2F2"/>
          </w:tcPr>
          <w:p>
            <w:pPr>
              <w:spacing w:before="60" w:after="60"/>
            </w:pPr>
            <w:r>
              <w:rPr>
                <w:rFonts w:ascii="Arial" w:hAnsi="Arial"/>
                <w:b/>
                <w:sz w:val="17"/>
              </w:rPr>
              <w:t>Vulnerability Target</w:t>
            </w:r>
          </w:p>
        </w:tc>
      </w:tr>
      <w:tr>
        <w:tc>
          <w:tcPr>
            <w:tcW w:type="dxa" w:w="2160"/>
          </w:tcPr>
          <w:p>
            <w:pPr>
              <w:spacing w:before="60" w:after="60"/>
            </w:pPr>
            <w:r>
              <w:rPr>
                <w:rFonts w:ascii="Arial" w:hAnsi="Arial"/>
                <w:sz w:val="17"/>
              </w:rPr>
              <w:t>Direction (DFI)</w:t>
            </w:r>
          </w:p>
        </w:tc>
        <w:tc>
          <w:tcPr>
            <w:tcW w:type="dxa" w:w="2160"/>
          </w:tcPr>
          <w:p>
            <w:pPr>
              <w:spacing w:before="60" w:after="60"/>
            </w:pPr>
            <w:r>
              <w:rPr>
                <w:rFonts w:ascii="Arial" w:hAnsi="Arial"/>
                <w:sz w:val="17"/>
              </w:rPr>
              <w:t>30%</w:t>
            </w:r>
          </w:p>
        </w:tc>
        <w:tc>
          <w:tcPr>
            <w:tcW w:type="dxa" w:w="2160"/>
          </w:tcPr>
          <w:p>
            <w:pPr>
              <w:spacing w:before="60" w:after="60"/>
            </w:pPr>
            <w:r>
              <w:rPr>
                <w:rFonts w:ascii="Arial" w:hAnsi="Arial"/>
                <w:sz w:val="17"/>
              </w:rPr>
              <w:t>Does removing one study flip the effect direction?</w:t>
            </w:r>
          </w:p>
        </w:tc>
        <w:tc>
          <w:tcPr>
            <w:tcW w:type="dxa" w:w="2160"/>
          </w:tcPr>
          <w:p>
            <w:pPr>
              <w:spacing w:before="60" w:after="60"/>
            </w:pPr>
            <w:r>
              <w:rPr>
                <w:rFonts w:ascii="Arial" w:hAnsi="Arial"/>
                <w:sz w:val="17"/>
              </w:rPr>
              <w:t>Inference Reversal</w:t>
            </w:r>
          </w:p>
        </w:tc>
      </w:tr>
      <w:tr>
        <w:tc>
          <w:tcPr>
            <w:tcW w:type="dxa" w:w="2160"/>
          </w:tcPr>
          <w:p>
            <w:pPr>
              <w:spacing w:before="60" w:after="60"/>
            </w:pPr>
            <w:r>
              <w:rPr>
                <w:rFonts w:ascii="Arial" w:hAnsi="Arial"/>
                <w:sz w:val="17"/>
              </w:rPr>
              <w:t>Significance (SFI)</w:t>
            </w:r>
          </w:p>
        </w:tc>
        <w:tc>
          <w:tcPr>
            <w:tcW w:type="dxa" w:w="2160"/>
          </w:tcPr>
          <w:p>
            <w:pPr>
              <w:spacing w:before="60" w:after="60"/>
            </w:pPr>
            <w:r>
              <w:rPr>
                <w:rFonts w:ascii="Arial" w:hAnsi="Arial"/>
                <w:sz w:val="17"/>
              </w:rPr>
              <w:t>25%</w:t>
            </w:r>
          </w:p>
        </w:tc>
        <w:tc>
          <w:tcPr>
            <w:tcW w:type="dxa" w:w="2160"/>
          </w:tcPr>
          <w:p>
            <w:pPr>
              <w:spacing w:before="60" w:after="60"/>
            </w:pPr>
            <w:r>
              <w:rPr>
                <w:rFonts w:ascii="Arial" w:hAnsi="Arial"/>
                <w:sz w:val="17"/>
              </w:rPr>
              <w:t>Does it change the p &lt; 0.05 significance threshold?</w:t>
            </w:r>
          </w:p>
        </w:tc>
        <w:tc>
          <w:tcPr>
            <w:tcW w:type="dxa" w:w="2160"/>
          </w:tcPr>
          <w:p>
            <w:pPr>
              <w:spacing w:before="60" w:after="60"/>
            </w:pPr>
            <w:r>
              <w:rPr>
                <w:rFonts w:ascii="Arial" w:hAnsi="Arial"/>
                <w:sz w:val="17"/>
              </w:rPr>
              <w:t>Statistical Precision</w:t>
            </w:r>
          </w:p>
        </w:tc>
      </w:tr>
      <w:tr>
        <w:tc>
          <w:tcPr>
            <w:tcW w:type="dxa" w:w="2160"/>
          </w:tcPr>
          <w:p>
            <w:pPr>
              <w:spacing w:before="60" w:after="60"/>
            </w:pPr>
            <w:r>
              <w:rPr>
                <w:rFonts w:ascii="Arial" w:hAnsi="Arial"/>
                <w:sz w:val="17"/>
              </w:rPr>
              <w:t>Clinical (CFI)</w:t>
            </w:r>
          </w:p>
        </w:tc>
        <w:tc>
          <w:tcPr>
            <w:tcW w:type="dxa" w:w="2160"/>
          </w:tcPr>
          <w:p>
            <w:pPr>
              <w:spacing w:before="60" w:after="60"/>
            </w:pPr>
            <w:r>
              <w:rPr>
                <w:rFonts w:ascii="Arial" w:hAnsi="Arial"/>
                <w:sz w:val="17"/>
              </w:rPr>
              <w:t>20%</w:t>
            </w:r>
          </w:p>
        </w:tc>
        <w:tc>
          <w:tcPr>
            <w:tcW w:type="dxa" w:w="2160"/>
          </w:tcPr>
          <w:p>
            <w:pPr>
              <w:spacing w:before="60" w:after="60"/>
            </w:pPr>
            <w:r>
              <w:rPr>
                <w:rFonts w:ascii="Arial" w:hAnsi="Arial"/>
                <w:sz w:val="17"/>
              </w:rPr>
              <w:t>Does the effect cross the defined MCID (e.g. 0.2)?</w:t>
            </w:r>
          </w:p>
        </w:tc>
        <w:tc>
          <w:tcPr>
            <w:tcW w:type="dxa" w:w="2160"/>
          </w:tcPr>
          <w:p>
            <w:pPr>
              <w:spacing w:before="60" w:after="60"/>
            </w:pPr>
            <w:r>
              <w:rPr>
                <w:rFonts w:ascii="Arial" w:hAnsi="Arial"/>
                <w:sz w:val="17"/>
              </w:rPr>
              <w:t>Clinical Relevance</w:t>
            </w:r>
          </w:p>
        </w:tc>
      </w:tr>
      <w:tr>
        <w:tc>
          <w:tcPr>
            <w:tcW w:type="dxa" w:w="2160"/>
          </w:tcPr>
          <w:p>
            <w:pPr>
              <w:spacing w:before="60" w:after="60"/>
            </w:pPr>
            <w:r>
              <w:rPr>
                <w:rFonts w:ascii="Arial" w:hAnsi="Arial"/>
                <w:sz w:val="17"/>
              </w:rPr>
              <w:t>Effect Stability (ESI)</w:t>
            </w:r>
          </w:p>
        </w:tc>
        <w:tc>
          <w:tcPr>
            <w:tcW w:type="dxa" w:w="2160"/>
          </w:tcPr>
          <w:p>
            <w:pPr>
              <w:spacing w:before="60" w:after="60"/>
            </w:pPr>
            <w:r>
              <w:rPr>
                <w:rFonts w:ascii="Arial" w:hAnsi="Arial"/>
                <w:sz w:val="17"/>
              </w:rPr>
              <w:t>15%</w:t>
            </w:r>
          </w:p>
        </w:tc>
        <w:tc>
          <w:tcPr>
            <w:tcW w:type="dxa" w:w="2160"/>
          </w:tcPr>
          <w:p>
            <w:pPr>
              <w:spacing w:before="60" w:after="60"/>
            </w:pPr>
            <w:r>
              <w:rPr>
                <w:rFonts w:ascii="Arial" w:hAnsi="Arial"/>
                <w:sz w:val="17"/>
              </w:rPr>
              <w:t>Max proportional change in point estimate.</w:t>
            </w:r>
          </w:p>
        </w:tc>
        <w:tc>
          <w:tcPr>
            <w:tcW w:type="dxa" w:w="2160"/>
          </w:tcPr>
          <w:p>
            <w:pPr>
              <w:spacing w:before="60" w:after="60"/>
            </w:pPr>
            <w:r>
              <w:rPr>
                <w:rFonts w:ascii="Arial" w:hAnsi="Arial"/>
                <w:sz w:val="17"/>
              </w:rPr>
              <w:t>Magnitude Robustness</w:t>
            </w:r>
          </w:p>
        </w:tc>
      </w:tr>
      <w:tr>
        <w:tc>
          <w:tcPr>
            <w:tcW w:type="dxa" w:w="2160"/>
          </w:tcPr>
          <w:p>
            <w:pPr>
              <w:spacing w:before="60" w:after="60"/>
            </w:pPr>
            <w:r>
              <w:rPr>
                <w:rFonts w:ascii="Arial" w:hAnsi="Arial"/>
                <w:sz w:val="17"/>
              </w:rPr>
              <w:t>CI Stability (CISI)</w:t>
            </w:r>
          </w:p>
        </w:tc>
        <w:tc>
          <w:tcPr>
            <w:tcW w:type="dxa" w:w="2160"/>
          </w:tcPr>
          <w:p>
            <w:pPr>
              <w:spacing w:before="60" w:after="60"/>
            </w:pPr>
            <w:r>
              <w:rPr>
                <w:rFonts w:ascii="Arial" w:hAnsi="Arial"/>
                <w:sz w:val="17"/>
              </w:rPr>
              <w:t>10%</w:t>
            </w:r>
          </w:p>
        </w:tc>
        <w:tc>
          <w:tcPr>
            <w:tcW w:type="dxa" w:w="2160"/>
          </w:tcPr>
          <w:p>
            <w:pPr>
              <w:spacing w:before="60" w:after="60"/>
            </w:pPr>
            <w:r>
              <w:rPr>
                <w:rFonts w:ascii="Arial" w:hAnsi="Arial"/>
                <w:sz w:val="17"/>
              </w:rPr>
              <w:t>Consistency of null-exclusion by confidence bounds.</w:t>
            </w:r>
          </w:p>
        </w:tc>
        <w:tc>
          <w:tcPr>
            <w:tcW w:type="dxa" w:w="2160"/>
          </w:tcPr>
          <w:p>
            <w:pPr>
              <w:spacing w:before="60" w:after="60"/>
            </w:pPr>
            <w:r>
              <w:rPr>
                <w:rFonts w:ascii="Arial" w:hAnsi="Arial"/>
                <w:sz w:val="17"/>
              </w:rPr>
              <w:t>Uncertainty Interval Stability</w:t>
            </w:r>
          </w:p>
        </w:tc>
      </w:tr>
      <w:tr>
        <w:tc>
          <w:tcPr>
            <w:tcW w:type="dxa" w:w="2160"/>
          </w:tcPr>
          <w:p>
            <w:pPr>
              <w:spacing w:before="60" w:after="60"/>
            </w:pPr>
            <w:r>
              <w:rPr>
                <w:rFonts w:ascii="Arial" w:hAnsi="Arial"/>
                <w:sz w:val="17"/>
              </w:rPr>
              <w:t>Penalties</w:t>
            </w:r>
          </w:p>
        </w:tc>
        <w:tc>
          <w:tcPr>
            <w:tcW w:type="dxa" w:w="2160"/>
          </w:tcPr>
          <w:p>
            <w:pPr>
              <w:spacing w:before="60" w:after="60"/>
            </w:pPr>
            <w:r>
              <w:rPr>
                <w:rFonts w:ascii="Arial" w:hAnsi="Arial"/>
                <w:sz w:val="17"/>
              </w:rPr>
              <w:t>Variable</w:t>
            </w:r>
          </w:p>
        </w:tc>
        <w:tc>
          <w:tcPr>
            <w:tcW w:type="dxa" w:w="2160"/>
          </w:tcPr>
          <w:p>
            <w:pPr>
              <w:spacing w:before="60" w:after="60"/>
            </w:pPr>
            <w:r>
              <w:rPr>
                <w:rFonts w:ascii="Arial" w:hAnsi="Arial"/>
                <w:sz w:val="17"/>
              </w:rPr>
              <w:t>I² &gt; 50% and k &lt; 10 studies.</w:t>
            </w:r>
          </w:p>
        </w:tc>
        <w:tc>
          <w:tcPr>
            <w:tcW w:type="dxa" w:w="2160"/>
          </w:tcPr>
          <w:p>
            <w:pPr>
              <w:spacing w:before="60" w:after="60"/>
            </w:pPr>
            <w:r>
              <w:rPr>
                <w:rFonts w:ascii="Arial" w:hAnsi="Arial"/>
                <w:sz w:val="17"/>
              </w:rPr>
              <w:t>Heterogeneity and Small-k Risks</w:t>
            </w:r>
          </w:p>
        </w:tc>
      </w:tr>
    </w:tbl>
    <w:p>
      <w:r>
        <w:t>The weighted components of the MAFI 2.0 index represent a significant evolution in fragility metrics. By accounting for clinical thresholds (MCID) and directionality flips, the software identifies conclusions that are not just statistically precarious but clinically vulnerable.</w:t>
      </w:r>
    </w:p>
    <w:p>
      <w:pPr>
        <w:pStyle w:val="Heading1"/>
      </w:pPr>
      <w:r>
        <w:t>Table 4. Sigmoidal Evidence Decay: Modeling Evidence "Rot"</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Parameter</w:t>
            </w:r>
          </w:p>
        </w:tc>
        <w:tc>
          <w:tcPr>
            <w:tcW w:type="dxa" w:w="2160"/>
            <w:shd w:fill="F2F2F2"/>
          </w:tcPr>
          <w:p>
            <w:pPr>
              <w:spacing w:before="60" w:after="60"/>
            </w:pPr>
            <w:r>
              <w:rPr>
                <w:rFonts w:ascii="Arial" w:hAnsi="Arial"/>
                <w:b/>
                <w:sz w:val="17"/>
              </w:rPr>
              <w:t>Value</w:t>
            </w:r>
          </w:p>
        </w:tc>
        <w:tc>
          <w:tcPr>
            <w:tcW w:type="dxa" w:w="2160"/>
            <w:shd w:fill="F2F2F2"/>
          </w:tcPr>
          <w:p>
            <w:pPr>
              <w:spacing w:before="60" w:after="60"/>
            </w:pPr>
            <w:r>
              <w:rPr>
                <w:rFonts w:ascii="Arial" w:hAnsi="Arial"/>
                <w:b/>
                <w:sz w:val="17"/>
              </w:rPr>
              <w:t>Mathematical Context</w:t>
            </w:r>
          </w:p>
        </w:tc>
        <w:tc>
          <w:tcPr>
            <w:tcW w:type="dxa" w:w="2160"/>
            <w:shd w:fill="F2F2F2"/>
          </w:tcPr>
          <w:p>
            <w:pPr>
              <w:spacing w:before="60" w:after="60"/>
            </w:pPr>
            <w:r>
              <w:rPr>
                <w:rFonts w:ascii="Arial" w:hAnsi="Arial"/>
                <w:b/>
                <w:sz w:val="17"/>
              </w:rPr>
              <w:t>Clinical Rationale</w:t>
            </w:r>
          </w:p>
        </w:tc>
      </w:tr>
      <w:tr>
        <w:tc>
          <w:tcPr>
            <w:tcW w:type="dxa" w:w="2160"/>
          </w:tcPr>
          <w:p>
            <w:pPr>
              <w:spacing w:before="60" w:after="60"/>
            </w:pPr>
            <w:r>
              <w:rPr>
                <w:rFonts w:ascii="Arial" w:hAnsi="Arial"/>
                <w:sz w:val="17"/>
              </w:rPr>
              <w:t>Midpoint (x0)</w:t>
            </w:r>
          </w:p>
        </w:tc>
        <w:tc>
          <w:tcPr>
            <w:tcW w:type="dxa" w:w="2160"/>
          </w:tcPr>
          <w:p>
            <w:pPr>
              <w:spacing w:before="60" w:after="60"/>
            </w:pPr>
            <w:r>
              <w:rPr>
                <w:rFonts w:ascii="Arial" w:hAnsi="Arial"/>
                <w:sz w:val="17"/>
              </w:rPr>
              <w:t>12 Years</w:t>
            </w:r>
          </w:p>
        </w:tc>
        <w:tc>
          <w:tcPr>
            <w:tcW w:type="dxa" w:w="2160"/>
          </w:tcPr>
          <w:p>
            <w:pPr>
              <w:spacing w:before="60" w:after="60"/>
            </w:pPr>
            <w:r>
              <w:rPr>
                <w:rFonts w:ascii="Arial" w:hAnsi="Arial"/>
                <w:sz w:val="17"/>
              </w:rPr>
              <w:t>Sigmoid center point.</w:t>
            </w:r>
          </w:p>
        </w:tc>
        <w:tc>
          <w:tcPr>
            <w:tcW w:type="dxa" w:w="2160"/>
          </w:tcPr>
          <w:p>
            <w:pPr>
              <w:spacing w:before="60" w:after="60"/>
            </w:pPr>
            <w:r>
              <w:rPr>
                <w:rFonts w:ascii="Arial" w:hAnsi="Arial"/>
                <w:sz w:val="17"/>
              </w:rPr>
              <w:t>Evidence utility declines sharply after 12y.</w:t>
            </w:r>
          </w:p>
        </w:tc>
      </w:tr>
      <w:tr>
        <w:tc>
          <w:tcPr>
            <w:tcW w:type="dxa" w:w="2160"/>
          </w:tcPr>
          <w:p>
            <w:pPr>
              <w:spacing w:before="60" w:after="60"/>
            </w:pPr>
            <w:r>
              <w:rPr>
                <w:rFonts w:ascii="Arial" w:hAnsi="Arial"/>
                <w:sz w:val="17"/>
              </w:rPr>
              <w:t>Slope (k)</w:t>
            </w:r>
          </w:p>
        </w:tc>
        <w:tc>
          <w:tcPr>
            <w:tcW w:type="dxa" w:w="2160"/>
          </w:tcPr>
          <w:p>
            <w:pPr>
              <w:spacing w:before="60" w:after="60"/>
            </w:pPr>
            <w:r>
              <w:rPr>
                <w:rFonts w:ascii="Arial" w:hAnsi="Arial"/>
                <w:sz w:val="17"/>
              </w:rPr>
              <w:t>0.3</w:t>
            </w:r>
          </w:p>
        </w:tc>
        <w:tc>
          <w:tcPr>
            <w:tcW w:type="dxa" w:w="2160"/>
          </w:tcPr>
          <w:p>
            <w:pPr>
              <w:spacing w:before="60" w:after="60"/>
            </w:pPr>
            <w:r>
              <w:rPr>
                <w:rFonts w:ascii="Arial" w:hAnsi="Arial"/>
                <w:sz w:val="17"/>
              </w:rPr>
              <w:t>Rate of utility decay.</w:t>
            </w:r>
          </w:p>
        </w:tc>
        <w:tc>
          <w:tcPr>
            <w:tcW w:type="dxa" w:w="2160"/>
          </w:tcPr>
          <w:p>
            <w:pPr>
              <w:spacing w:before="60" w:after="60"/>
            </w:pPr>
            <w:r>
              <w:rPr>
                <w:rFonts w:ascii="Arial" w:hAnsi="Arial"/>
                <w:sz w:val="17"/>
              </w:rPr>
              <w:t>Assumes rapid technological/clinical drift.</w:t>
            </w:r>
          </w:p>
        </w:tc>
      </w:tr>
      <w:tr>
        <w:tc>
          <w:tcPr>
            <w:tcW w:type="dxa" w:w="2160"/>
          </w:tcPr>
          <w:p>
            <w:pPr>
              <w:spacing w:before="60" w:after="60"/>
            </w:pPr>
            <w:r>
              <w:rPr>
                <w:rFonts w:ascii="Arial" w:hAnsi="Arial"/>
                <w:sz w:val="17"/>
              </w:rPr>
              <w:t>"Fresh" Phase</w:t>
            </w:r>
          </w:p>
        </w:tc>
        <w:tc>
          <w:tcPr>
            <w:tcW w:type="dxa" w:w="2160"/>
          </w:tcPr>
          <w:p>
            <w:pPr>
              <w:spacing w:before="60" w:after="60"/>
            </w:pPr>
            <w:r>
              <w:rPr>
                <w:rFonts w:ascii="Arial" w:hAnsi="Arial"/>
                <w:sz w:val="17"/>
              </w:rPr>
              <w:t>0–8 Years</w:t>
            </w:r>
          </w:p>
        </w:tc>
        <w:tc>
          <w:tcPr>
            <w:tcW w:type="dxa" w:w="2160"/>
          </w:tcPr>
          <w:p>
            <w:pPr>
              <w:spacing w:before="60" w:after="60"/>
            </w:pPr>
            <w:r>
              <w:rPr>
                <w:rFonts w:ascii="Arial" w:hAnsi="Arial"/>
                <w:sz w:val="17"/>
              </w:rPr>
              <w:t>Utility &gt; 0.8</w:t>
            </w:r>
          </w:p>
        </w:tc>
        <w:tc>
          <w:tcPr>
            <w:tcW w:type="dxa" w:w="2160"/>
          </w:tcPr>
          <w:p>
            <w:pPr>
              <w:spacing w:before="60" w:after="60"/>
            </w:pPr>
            <w:r>
              <w:rPr>
                <w:rFonts w:ascii="Arial" w:hAnsi="Arial"/>
                <w:sz w:val="17"/>
              </w:rPr>
              <w:t>Reliable for current standard-of-care.</w:t>
            </w:r>
          </w:p>
        </w:tc>
      </w:tr>
      <w:tr>
        <w:tc>
          <w:tcPr>
            <w:tcW w:type="dxa" w:w="2160"/>
          </w:tcPr>
          <w:p>
            <w:pPr>
              <w:spacing w:before="60" w:after="60"/>
            </w:pPr>
            <w:r>
              <w:rPr>
                <w:rFonts w:ascii="Arial" w:hAnsi="Arial"/>
                <w:sz w:val="17"/>
              </w:rPr>
              <w:t>"Stale" Phase</w:t>
            </w:r>
          </w:p>
        </w:tc>
        <w:tc>
          <w:tcPr>
            <w:tcW w:type="dxa" w:w="2160"/>
          </w:tcPr>
          <w:p>
            <w:pPr>
              <w:spacing w:before="60" w:after="60"/>
            </w:pPr>
            <w:r>
              <w:rPr>
                <w:rFonts w:ascii="Arial" w:hAnsi="Arial"/>
                <w:sz w:val="17"/>
              </w:rPr>
              <w:t>&gt; 15 Years</w:t>
            </w:r>
          </w:p>
        </w:tc>
        <w:tc>
          <w:tcPr>
            <w:tcW w:type="dxa" w:w="2160"/>
          </w:tcPr>
          <w:p>
            <w:pPr>
              <w:spacing w:before="60" w:after="60"/>
            </w:pPr>
            <w:r>
              <w:rPr>
                <w:rFonts w:ascii="Arial" w:hAnsi="Arial"/>
                <w:sz w:val="17"/>
              </w:rPr>
              <w:t>Utility &lt; 0.2</w:t>
            </w:r>
          </w:p>
        </w:tc>
        <w:tc>
          <w:tcPr>
            <w:tcW w:type="dxa" w:w="2160"/>
          </w:tcPr>
          <w:p>
            <w:pPr>
              <w:spacing w:before="60" w:after="60"/>
            </w:pPr>
            <w:r>
              <w:rPr>
                <w:rFonts w:ascii="Arial" w:hAnsi="Arial"/>
                <w:sz w:val="17"/>
              </w:rPr>
              <w:t>High risk of outdated methodology/biases.</w:t>
            </w:r>
          </w:p>
        </w:tc>
      </w:tr>
      <w:tr>
        <w:tc>
          <w:tcPr>
            <w:tcW w:type="dxa" w:w="2160"/>
          </w:tcPr>
          <w:p>
            <w:pPr>
              <w:spacing w:before="60" w:after="60"/>
            </w:pPr>
            <w:r>
              <w:rPr>
                <w:rFonts w:ascii="Arial" w:hAnsi="Arial"/>
                <w:sz w:val="17"/>
              </w:rPr>
              <w:t>Nesting Inflation</w:t>
            </w:r>
          </w:p>
        </w:tc>
        <w:tc>
          <w:tcPr>
            <w:tcW w:type="dxa" w:w="2160"/>
          </w:tcPr>
          <w:p>
            <w:pPr>
              <w:spacing w:before="60" w:after="60"/>
            </w:pPr>
            <w:r>
              <w:rPr>
                <w:rFonts w:ascii="Arial" w:hAnsi="Arial"/>
                <w:sz w:val="17"/>
              </w:rPr>
              <w:t>log1p(k)/10</w:t>
            </w:r>
          </w:p>
        </w:tc>
        <w:tc>
          <w:tcPr>
            <w:tcW w:type="dxa" w:w="2160"/>
          </w:tcPr>
          <w:p>
            <w:pPr>
              <w:spacing w:before="60" w:after="60"/>
            </w:pPr>
            <w:r>
              <w:rPr>
                <w:rFonts w:ascii="Arial" w:hAnsi="Arial"/>
                <w:sz w:val="17"/>
              </w:rPr>
              <w:t>Correction for multilevel nesting.</w:t>
            </w:r>
          </w:p>
        </w:tc>
        <w:tc>
          <w:tcPr>
            <w:tcW w:type="dxa" w:w="2160"/>
          </w:tcPr>
          <w:p>
            <w:pPr>
              <w:spacing w:before="60" w:after="60"/>
            </w:pPr>
            <w:r>
              <w:rPr>
                <w:rFonts w:ascii="Arial" w:hAnsi="Arial"/>
                <w:sz w:val="17"/>
              </w:rPr>
              <w:t>Shared bias sources in high-volume reviews.</w:t>
            </w:r>
          </w:p>
        </w:tc>
      </w:tr>
    </w:tbl>
    <w:p>
      <w:r>
        <w:t>Temporal relevance is a critical but often overlooked dimension of evidence synthesis. The implementation of a sigmoidal decay function acknowledges that the clinical half-life of evidence is influenced by the rapid pace of medical innovation, necessitating more frequent updates for older landmark trials.</w:t>
      </w:r>
    </w:p>
    <w:p>
      <w:pPr>
        <w:pStyle w:val="Heading1"/>
      </w:pPr>
      <w:r>
        <w:t>Table 5. Input and Output Matrix for Evidence Pathway Simulation</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Input Category</w:t>
            </w:r>
          </w:p>
        </w:tc>
        <w:tc>
          <w:tcPr>
            <w:tcW w:type="dxa" w:w="2160"/>
            <w:shd w:fill="F2F2F2"/>
          </w:tcPr>
          <w:p>
            <w:pPr>
              <w:spacing w:before="60" w:after="60"/>
            </w:pPr>
            <w:r>
              <w:rPr>
                <w:rFonts w:ascii="Arial" w:hAnsi="Arial"/>
                <w:b/>
                <w:sz w:val="17"/>
              </w:rPr>
              <w:t>Key Variables</w:t>
            </w:r>
          </w:p>
        </w:tc>
        <w:tc>
          <w:tcPr>
            <w:tcW w:type="dxa" w:w="2160"/>
            <w:shd w:fill="F2F2F2"/>
          </w:tcPr>
          <w:p>
            <w:pPr>
              <w:spacing w:before="60" w:after="60"/>
            </w:pPr>
            <w:r>
              <w:rPr>
                <w:rFonts w:ascii="Arial" w:hAnsi="Arial"/>
                <w:b/>
                <w:sz w:val="17"/>
              </w:rPr>
              <w:t>Output Metric</w:t>
            </w:r>
          </w:p>
        </w:tc>
        <w:tc>
          <w:tcPr>
            <w:tcW w:type="dxa" w:w="2160"/>
            <w:shd w:fill="F2F2F2"/>
          </w:tcPr>
          <w:p>
            <w:pPr>
              <w:spacing w:before="60" w:after="60"/>
            </w:pPr>
            <w:r>
              <w:rPr>
                <w:rFonts w:ascii="Arial" w:hAnsi="Arial"/>
                <w:b/>
                <w:sz w:val="17"/>
              </w:rPr>
              <w:t>Clinical Translation</w:t>
            </w:r>
          </w:p>
        </w:tc>
      </w:tr>
      <w:tr>
        <w:tc>
          <w:tcPr>
            <w:tcW w:type="dxa" w:w="2160"/>
          </w:tcPr>
          <w:p>
            <w:pPr>
              <w:spacing w:before="60" w:after="60"/>
            </w:pPr>
            <w:r>
              <w:rPr>
                <w:rFonts w:ascii="Arial" w:hAnsi="Arial"/>
                <w:sz w:val="17"/>
              </w:rPr>
              <w:t>Diagnostic (DTA)</w:t>
            </w:r>
          </w:p>
        </w:tc>
        <w:tc>
          <w:tcPr>
            <w:tcW w:type="dxa" w:w="2160"/>
          </w:tcPr>
          <w:p>
            <w:pPr>
              <w:spacing w:before="60" w:after="60"/>
            </w:pPr>
            <w:r>
              <w:rPr>
                <w:rFonts w:ascii="Arial" w:hAnsi="Arial"/>
                <w:sz w:val="17"/>
              </w:rPr>
              <w:t>Prevalence, Sensitivity, Specificity</w:t>
            </w:r>
          </w:p>
        </w:tc>
        <w:tc>
          <w:tcPr>
            <w:tcW w:type="dxa" w:w="2160"/>
          </w:tcPr>
          <w:p>
            <w:pPr>
              <w:spacing w:before="60" w:after="60"/>
            </w:pPr>
            <w:r>
              <w:rPr>
                <w:rFonts w:ascii="Arial" w:hAnsi="Arial"/>
                <w:sz w:val="17"/>
              </w:rPr>
              <w:t>True Positives (TP) / False Pos. (FP)</w:t>
            </w:r>
          </w:p>
        </w:tc>
        <w:tc>
          <w:tcPr>
            <w:tcW w:type="dxa" w:w="2160"/>
          </w:tcPr>
          <w:p>
            <w:pPr>
              <w:spacing w:before="60" w:after="60"/>
            </w:pPr>
            <w:r>
              <w:rPr>
                <w:rFonts w:ascii="Arial" w:hAnsi="Arial"/>
                <w:sz w:val="17"/>
              </w:rPr>
              <w:t>Diagnostic Accuracy Floor</w:t>
            </w:r>
          </w:p>
        </w:tc>
      </w:tr>
      <w:tr>
        <w:tc>
          <w:tcPr>
            <w:tcW w:type="dxa" w:w="2160"/>
          </w:tcPr>
          <w:p>
            <w:pPr>
              <w:spacing w:before="60" w:after="60"/>
            </w:pPr>
            <w:r>
              <w:rPr>
                <w:rFonts w:ascii="Arial" w:hAnsi="Arial"/>
                <w:sz w:val="17"/>
              </w:rPr>
              <w:t>Treatment (TE)</w:t>
            </w:r>
          </w:p>
        </w:tc>
        <w:tc>
          <w:tcPr>
            <w:tcW w:type="dxa" w:w="2160"/>
          </w:tcPr>
          <w:p>
            <w:pPr>
              <w:spacing w:before="60" w:after="60"/>
            </w:pPr>
            <w:r>
              <w:rPr>
                <w:rFonts w:ascii="Arial" w:hAnsi="Arial"/>
                <w:sz w:val="17"/>
              </w:rPr>
              <w:t>Relative Risk (RR), Baseline Risk</w:t>
            </w:r>
          </w:p>
        </w:tc>
        <w:tc>
          <w:tcPr>
            <w:tcW w:type="dxa" w:w="2160"/>
          </w:tcPr>
          <w:p>
            <w:pPr>
              <w:spacing w:before="60" w:after="60"/>
            </w:pPr>
            <w:r>
              <w:rPr>
                <w:rFonts w:ascii="Arial" w:hAnsi="Arial"/>
                <w:sz w:val="17"/>
              </w:rPr>
              <w:t>Events Prevented</w:t>
            </w:r>
          </w:p>
        </w:tc>
        <w:tc>
          <w:tcPr>
            <w:tcW w:type="dxa" w:w="2160"/>
          </w:tcPr>
          <w:p>
            <w:pPr>
              <w:spacing w:before="60" w:after="60"/>
            </w:pPr>
            <w:r>
              <w:rPr>
                <w:rFonts w:ascii="Arial" w:hAnsi="Arial"/>
                <w:sz w:val="17"/>
              </w:rPr>
              <w:t>Biological Efficacy</w:t>
            </w:r>
          </w:p>
        </w:tc>
      </w:tr>
      <w:tr>
        <w:tc>
          <w:tcPr>
            <w:tcW w:type="dxa" w:w="2160"/>
          </w:tcPr>
          <w:p>
            <w:pPr>
              <w:spacing w:before="60" w:after="60"/>
            </w:pPr>
            <w:r>
              <w:rPr>
                <w:rFonts w:ascii="Arial" w:hAnsi="Arial"/>
                <w:sz w:val="17"/>
              </w:rPr>
              <w:t>Safety (Harms)</w:t>
            </w:r>
          </w:p>
        </w:tc>
        <w:tc>
          <w:tcPr>
            <w:tcW w:type="dxa" w:w="2160"/>
          </w:tcPr>
          <w:p>
            <w:pPr>
              <w:spacing w:before="60" w:after="60"/>
            </w:pPr>
            <w:r>
              <w:rPr>
                <w:rFonts w:ascii="Arial" w:hAnsi="Arial"/>
                <w:sz w:val="17"/>
              </w:rPr>
              <w:t>Harm Rate (Side effects)</w:t>
            </w:r>
          </w:p>
        </w:tc>
        <w:tc>
          <w:tcPr>
            <w:tcW w:type="dxa" w:w="2160"/>
          </w:tcPr>
          <w:p>
            <w:pPr>
              <w:spacing w:before="60" w:after="60"/>
            </w:pPr>
            <w:r>
              <w:rPr>
                <w:rFonts w:ascii="Arial" w:hAnsi="Arial"/>
                <w:sz w:val="17"/>
              </w:rPr>
              <w:t>Total Treatment Harms</w:t>
            </w:r>
          </w:p>
        </w:tc>
        <w:tc>
          <w:tcPr>
            <w:tcW w:type="dxa" w:w="2160"/>
          </w:tcPr>
          <w:p>
            <w:pPr>
              <w:spacing w:before="60" w:after="60"/>
            </w:pPr>
            <w:r>
              <w:rPr>
                <w:rFonts w:ascii="Arial" w:hAnsi="Arial"/>
                <w:sz w:val="17"/>
              </w:rPr>
              <w:t>Iatrogenic Impact</w:t>
            </w:r>
          </w:p>
        </w:tc>
      </w:tr>
      <w:tr>
        <w:tc>
          <w:tcPr>
            <w:tcW w:type="dxa" w:w="2160"/>
          </w:tcPr>
          <w:p>
            <w:pPr>
              <w:spacing w:before="60" w:after="60"/>
            </w:pPr>
            <w:r>
              <w:rPr>
                <w:rFonts w:ascii="Arial" w:hAnsi="Arial"/>
                <w:sz w:val="17"/>
              </w:rPr>
              <w:t>Integrated</w:t>
            </w:r>
          </w:p>
        </w:tc>
        <w:tc>
          <w:tcPr>
            <w:tcW w:type="dxa" w:w="2160"/>
          </w:tcPr>
          <w:p>
            <w:pPr>
              <w:spacing w:before="60" w:after="60"/>
            </w:pPr>
            <w:r>
              <w:rPr>
                <w:rFonts w:ascii="Arial" w:hAnsi="Arial"/>
                <w:sz w:val="17"/>
              </w:rPr>
              <w:t>NCB Formula</w:t>
            </w:r>
          </w:p>
        </w:tc>
        <w:tc>
          <w:tcPr>
            <w:tcW w:type="dxa" w:w="2160"/>
          </w:tcPr>
          <w:p>
            <w:pPr>
              <w:spacing w:before="60" w:after="60"/>
            </w:pPr>
            <w:r>
              <w:rPr>
                <w:rFonts w:ascii="Arial" w:hAnsi="Arial"/>
                <w:sz w:val="17"/>
              </w:rPr>
              <w:t>Net Clinical Benefit</w:t>
            </w:r>
          </w:p>
        </w:tc>
        <w:tc>
          <w:tcPr>
            <w:tcW w:type="dxa" w:w="2160"/>
          </w:tcPr>
          <w:p>
            <w:pPr>
              <w:spacing w:before="60" w:after="60"/>
            </w:pPr>
            <w:r>
              <w:rPr>
                <w:rFonts w:ascii="Arial" w:hAnsi="Arial"/>
                <w:sz w:val="17"/>
              </w:rPr>
              <w:t>Lives Improved per 10k Patients</w:t>
            </w:r>
          </w:p>
        </w:tc>
      </w:tr>
    </w:tbl>
    <w:p>
      <w:r>
        <w:t>The Evidence Pathway Engine represents the practical application of these robustness audits. By simulating how diagnostic errors propagate through treatment effects, researchers can visualize the Evidence Frontier—the point at which statistical uncertainty begins to compromise patient safety and net clinical benefit.</w:t>
      </w:r>
    </w:p>
    <w:p>
      <w:pPr>
        <w:pStyle w:val="Heading1"/>
      </w:pPr>
      <w:r>
        <w:t>Table 6. Health Economic Valuation Framework (NHS Benchmarks)</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Metric</w:t>
            </w:r>
          </w:p>
        </w:tc>
        <w:tc>
          <w:tcPr>
            <w:tcW w:type="dxa" w:w="2160"/>
            <w:shd w:fill="F2F2F2"/>
          </w:tcPr>
          <w:p>
            <w:pPr>
              <w:spacing w:before="60" w:after="60"/>
            </w:pPr>
            <w:r>
              <w:rPr>
                <w:rFonts w:ascii="Arial" w:hAnsi="Arial"/>
                <w:b/>
                <w:sz w:val="17"/>
              </w:rPr>
              <w:t>Benchmark Value</w:t>
            </w:r>
          </w:p>
        </w:tc>
        <w:tc>
          <w:tcPr>
            <w:tcW w:type="dxa" w:w="2160"/>
            <w:shd w:fill="F2F2F2"/>
          </w:tcPr>
          <w:p>
            <w:pPr>
              <w:spacing w:before="60" w:after="60"/>
            </w:pPr>
            <w:r>
              <w:rPr>
                <w:rFonts w:ascii="Arial" w:hAnsi="Arial"/>
                <w:b/>
                <w:sz w:val="17"/>
              </w:rPr>
              <w:t>Source/Assumption</w:t>
            </w:r>
          </w:p>
        </w:tc>
        <w:tc>
          <w:tcPr>
            <w:tcW w:type="dxa" w:w="2160"/>
            <w:shd w:fill="F2F2F2"/>
          </w:tcPr>
          <w:p>
            <w:pPr>
              <w:spacing w:before="60" w:after="60"/>
            </w:pPr>
            <w:r>
              <w:rPr>
                <w:rFonts w:ascii="Arial" w:hAnsi="Arial"/>
                <w:b/>
                <w:sz w:val="17"/>
              </w:rPr>
              <w:t>Use in MLM501</w:t>
            </w:r>
          </w:p>
        </w:tc>
      </w:tr>
      <w:tr>
        <w:tc>
          <w:tcPr>
            <w:tcW w:type="dxa" w:w="2160"/>
          </w:tcPr>
          <w:p>
            <w:pPr>
              <w:spacing w:before="60" w:after="60"/>
            </w:pPr>
            <w:r>
              <w:rPr>
                <w:rFonts w:ascii="Arial" w:hAnsi="Arial"/>
                <w:sz w:val="17"/>
              </w:rPr>
              <w:t>Cost per QALY</w:t>
            </w:r>
          </w:p>
        </w:tc>
        <w:tc>
          <w:tcPr>
            <w:tcW w:type="dxa" w:w="2160"/>
          </w:tcPr>
          <w:p>
            <w:pPr>
              <w:spacing w:before="60" w:after="60"/>
            </w:pPr>
            <w:r>
              <w:rPr>
                <w:rFonts w:ascii="Arial" w:hAnsi="Arial"/>
                <w:sz w:val="17"/>
              </w:rPr>
              <w:t>£30,000</w:t>
            </w:r>
          </w:p>
        </w:tc>
        <w:tc>
          <w:tcPr>
            <w:tcW w:type="dxa" w:w="2160"/>
          </w:tcPr>
          <w:p>
            <w:pPr>
              <w:spacing w:before="60" w:after="60"/>
            </w:pPr>
            <w:r>
              <w:rPr>
                <w:rFonts w:ascii="Arial" w:hAnsi="Arial"/>
                <w:sz w:val="17"/>
              </w:rPr>
              <w:t>NICE/NHS Threshold</w:t>
            </w:r>
          </w:p>
        </w:tc>
        <w:tc>
          <w:tcPr>
            <w:tcW w:type="dxa" w:w="2160"/>
          </w:tcPr>
          <w:p>
            <w:pPr>
              <w:spacing w:before="60" w:after="60"/>
            </w:pPr>
            <w:r>
              <w:rPr>
                <w:rFonts w:ascii="Arial" w:hAnsi="Arial"/>
                <w:sz w:val="17"/>
              </w:rPr>
              <w:t>Monetary valuation of clinical benefit.</w:t>
            </w:r>
          </w:p>
        </w:tc>
      </w:tr>
      <w:tr>
        <w:tc>
          <w:tcPr>
            <w:tcW w:type="dxa" w:w="2160"/>
          </w:tcPr>
          <w:p>
            <w:pPr>
              <w:spacing w:before="60" w:after="60"/>
            </w:pPr>
            <w:r>
              <w:rPr>
                <w:rFonts w:ascii="Arial" w:hAnsi="Arial"/>
                <w:sz w:val="17"/>
              </w:rPr>
              <w:t>QALY Gain/Event</w:t>
            </w:r>
          </w:p>
        </w:tc>
        <w:tc>
          <w:tcPr>
            <w:tcW w:type="dxa" w:w="2160"/>
          </w:tcPr>
          <w:p>
            <w:pPr>
              <w:spacing w:before="60" w:after="60"/>
            </w:pPr>
            <w:r>
              <w:rPr>
                <w:rFonts w:ascii="Arial" w:hAnsi="Arial"/>
                <w:sz w:val="17"/>
              </w:rPr>
              <w:t>5.0</w:t>
            </w:r>
          </w:p>
        </w:tc>
        <w:tc>
          <w:tcPr>
            <w:tcW w:type="dxa" w:w="2160"/>
          </w:tcPr>
          <w:p>
            <w:pPr>
              <w:spacing w:before="60" w:after="60"/>
            </w:pPr>
            <w:r>
              <w:rPr>
                <w:rFonts w:ascii="Arial" w:hAnsi="Arial"/>
                <w:sz w:val="17"/>
              </w:rPr>
              <w:t>Stroke/Major MACE prevention</w:t>
            </w:r>
          </w:p>
        </w:tc>
        <w:tc>
          <w:tcPr>
            <w:tcW w:type="dxa" w:w="2160"/>
          </w:tcPr>
          <w:p>
            <w:pPr>
              <w:spacing w:before="60" w:after="60"/>
            </w:pPr>
            <w:r>
              <w:rPr>
                <w:rFonts w:ascii="Arial" w:hAnsi="Arial"/>
                <w:sz w:val="17"/>
              </w:rPr>
              <w:t>Value of one prevented event.</w:t>
            </w:r>
          </w:p>
        </w:tc>
      </w:tr>
      <w:tr>
        <w:tc>
          <w:tcPr>
            <w:tcW w:type="dxa" w:w="2160"/>
          </w:tcPr>
          <w:p>
            <w:pPr>
              <w:spacing w:before="60" w:after="60"/>
            </w:pPr>
            <w:r>
              <w:rPr>
                <w:rFonts w:ascii="Arial" w:hAnsi="Arial"/>
                <w:sz w:val="17"/>
              </w:rPr>
              <w:t>QALY Loss/Harm</w:t>
            </w:r>
          </w:p>
        </w:tc>
        <w:tc>
          <w:tcPr>
            <w:tcW w:type="dxa" w:w="2160"/>
          </w:tcPr>
          <w:p>
            <w:pPr>
              <w:spacing w:before="60" w:after="60"/>
            </w:pPr>
            <w:r>
              <w:rPr>
                <w:rFonts w:ascii="Arial" w:hAnsi="Arial"/>
                <w:sz w:val="17"/>
              </w:rPr>
              <w:t>0.5</w:t>
            </w:r>
          </w:p>
        </w:tc>
        <w:tc>
          <w:tcPr>
            <w:tcW w:type="dxa" w:w="2160"/>
          </w:tcPr>
          <w:p>
            <w:pPr>
              <w:spacing w:before="60" w:after="60"/>
            </w:pPr>
            <w:r>
              <w:rPr>
                <w:rFonts w:ascii="Arial" w:hAnsi="Arial"/>
                <w:sz w:val="17"/>
              </w:rPr>
              <w:t>Minor clinical adverse event</w:t>
            </w:r>
          </w:p>
        </w:tc>
        <w:tc>
          <w:tcPr>
            <w:tcW w:type="dxa" w:w="2160"/>
          </w:tcPr>
          <w:p>
            <w:pPr>
              <w:spacing w:before="60" w:after="60"/>
            </w:pPr>
            <w:r>
              <w:rPr>
                <w:rFonts w:ascii="Arial" w:hAnsi="Arial"/>
                <w:sz w:val="17"/>
              </w:rPr>
              <w:t>Cost of treatment-related harm.</w:t>
            </w:r>
          </w:p>
        </w:tc>
      </w:tr>
      <w:tr>
        <w:tc>
          <w:tcPr>
            <w:tcW w:type="dxa" w:w="2160"/>
          </w:tcPr>
          <w:p>
            <w:pPr>
              <w:spacing w:before="60" w:after="60"/>
            </w:pPr>
            <w:r>
              <w:rPr>
                <w:rFonts w:ascii="Arial" w:hAnsi="Arial"/>
                <w:sz w:val="17"/>
              </w:rPr>
              <w:t>Net Economic Value</w:t>
            </w:r>
          </w:p>
        </w:tc>
        <w:tc>
          <w:tcPr>
            <w:tcW w:type="dxa" w:w="2160"/>
          </w:tcPr>
          <w:p>
            <w:pPr>
              <w:spacing w:before="60" w:after="60"/>
            </w:pPr>
            <w:r>
              <w:rPr>
                <w:rFonts w:ascii="Arial" w:hAnsi="Arial"/>
                <w:sz w:val="17"/>
              </w:rPr>
              <w:t>Formula-driven</w:t>
            </w:r>
          </w:p>
        </w:tc>
        <w:tc>
          <w:tcPr>
            <w:tcW w:type="dxa" w:w="2160"/>
          </w:tcPr>
          <w:p>
            <w:pPr>
              <w:spacing w:before="60" w:after="60"/>
            </w:pPr>
            <w:r>
              <w:rPr>
                <w:rFonts w:ascii="Arial" w:hAnsi="Arial"/>
                <w:sz w:val="17"/>
              </w:rPr>
              <w:t>Benefit Value - Cost of Harm</w:t>
            </w:r>
          </w:p>
        </w:tc>
        <w:tc>
          <w:tcPr>
            <w:tcW w:type="dxa" w:w="2160"/>
          </w:tcPr>
          <w:p>
            <w:pPr>
              <w:spacing w:before="60" w:after="60"/>
            </w:pPr>
            <w:r>
              <w:rPr>
                <w:rFonts w:ascii="Arial" w:hAnsi="Arial"/>
                <w:sz w:val="17"/>
              </w:rPr>
              <w:t>Research priority justification.</w:t>
            </w:r>
          </w:p>
        </w:tc>
      </w:tr>
    </w:tbl>
    <w:p>
      <w:r>
        <w:t>Economic valuation provides the necessary context for NHS commissioning and research investment. By translating lives saved into Net Economic Value, MLM501 offers a transparent mechanism for justifying the cost of new clinical trials in areas of high evidence fragility.</w:t>
      </w:r>
    </w:p>
    <w:p>
      <w:pPr>
        <w:pStyle w:val="Heading1"/>
      </w:pPr>
      <w:r>
        <w:t>Table 7. Global Evidence Robustness Profile (Audit of 2,373 Meta-analyses)</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MAFI Classification</w:t>
            </w:r>
          </w:p>
        </w:tc>
        <w:tc>
          <w:tcPr>
            <w:tcW w:type="dxa" w:w="2160"/>
            <w:shd w:fill="F2F2F2"/>
          </w:tcPr>
          <w:p>
            <w:pPr>
              <w:spacing w:before="60" w:after="60"/>
            </w:pPr>
            <w:r>
              <w:rPr>
                <w:rFonts w:ascii="Arial" w:hAnsi="Arial"/>
                <w:b/>
                <w:sz w:val="17"/>
              </w:rPr>
              <w:t>Count</w:t>
            </w:r>
          </w:p>
        </w:tc>
        <w:tc>
          <w:tcPr>
            <w:tcW w:type="dxa" w:w="2160"/>
            <w:shd w:fill="F2F2F2"/>
          </w:tcPr>
          <w:p>
            <w:pPr>
              <w:spacing w:before="60" w:after="60"/>
            </w:pPr>
            <w:r>
              <w:rPr>
                <w:rFonts w:ascii="Arial" w:hAnsi="Arial"/>
                <w:b/>
                <w:sz w:val="17"/>
              </w:rPr>
              <w:t>Percentage</w:t>
            </w:r>
          </w:p>
        </w:tc>
        <w:tc>
          <w:tcPr>
            <w:tcW w:type="dxa" w:w="2160"/>
            <w:shd w:fill="F2F2F2"/>
          </w:tcPr>
          <w:p>
            <w:pPr>
              <w:spacing w:before="60" w:after="60"/>
            </w:pPr>
            <w:r>
              <w:rPr>
                <w:rFonts w:ascii="Arial" w:hAnsi="Arial"/>
                <w:b/>
                <w:sz w:val="17"/>
              </w:rPr>
              <w:t>Clinical Recommendation</w:t>
            </w:r>
          </w:p>
        </w:tc>
      </w:tr>
      <w:tr>
        <w:tc>
          <w:tcPr>
            <w:tcW w:type="dxa" w:w="2160"/>
          </w:tcPr>
          <w:p>
            <w:pPr>
              <w:spacing w:before="60" w:after="60"/>
            </w:pPr>
            <w:r>
              <w:rPr>
                <w:rFonts w:ascii="Arial" w:hAnsi="Arial"/>
                <w:sz w:val="17"/>
              </w:rPr>
              <w:t>Robust (MAFI &lt; 0.15)</w:t>
            </w:r>
          </w:p>
        </w:tc>
        <w:tc>
          <w:tcPr>
            <w:tcW w:type="dxa" w:w="2160"/>
          </w:tcPr>
          <w:p>
            <w:pPr>
              <w:spacing w:before="60" w:after="60"/>
            </w:pPr>
            <w:r>
              <w:rPr>
                <w:rFonts w:ascii="Arial" w:hAnsi="Arial"/>
                <w:sz w:val="17"/>
              </w:rPr>
              <w:t>400</w:t>
            </w:r>
          </w:p>
        </w:tc>
        <w:tc>
          <w:tcPr>
            <w:tcW w:type="dxa" w:w="2160"/>
          </w:tcPr>
          <w:p>
            <w:pPr>
              <w:spacing w:before="60" w:after="60"/>
            </w:pPr>
            <w:r>
              <w:rPr>
                <w:rFonts w:ascii="Arial" w:hAnsi="Arial"/>
                <w:sz w:val="17"/>
              </w:rPr>
              <w:t>16.9%</w:t>
            </w:r>
          </w:p>
        </w:tc>
        <w:tc>
          <w:tcPr>
            <w:tcW w:type="dxa" w:w="2160"/>
          </w:tcPr>
          <w:p>
            <w:pPr>
              <w:spacing w:before="60" w:after="60"/>
            </w:pPr>
            <w:r>
              <w:rPr>
                <w:rFonts w:ascii="Arial" w:hAnsi="Arial"/>
                <w:sz w:val="17"/>
              </w:rPr>
              <w:t>Gold Standard; use for guideline anchors.</w:t>
            </w:r>
          </w:p>
        </w:tc>
      </w:tr>
      <w:tr>
        <w:tc>
          <w:tcPr>
            <w:tcW w:type="dxa" w:w="2160"/>
          </w:tcPr>
          <w:p>
            <w:pPr>
              <w:spacing w:before="60" w:after="60"/>
            </w:pPr>
            <w:r>
              <w:rPr>
                <w:rFonts w:ascii="Arial" w:hAnsi="Arial"/>
                <w:sz w:val="17"/>
              </w:rPr>
              <w:t>Low Fragility (0.15–0.30)</w:t>
            </w:r>
          </w:p>
        </w:tc>
        <w:tc>
          <w:tcPr>
            <w:tcW w:type="dxa" w:w="2160"/>
          </w:tcPr>
          <w:p>
            <w:pPr>
              <w:spacing w:before="60" w:after="60"/>
            </w:pPr>
            <w:r>
              <w:rPr>
                <w:rFonts w:ascii="Arial" w:hAnsi="Arial"/>
                <w:sz w:val="17"/>
              </w:rPr>
              <w:t>1,219</w:t>
            </w:r>
          </w:p>
        </w:tc>
        <w:tc>
          <w:tcPr>
            <w:tcW w:type="dxa" w:w="2160"/>
          </w:tcPr>
          <w:p>
            <w:pPr>
              <w:spacing w:before="60" w:after="60"/>
            </w:pPr>
            <w:r>
              <w:rPr>
                <w:rFonts w:ascii="Arial" w:hAnsi="Arial"/>
                <w:sz w:val="17"/>
              </w:rPr>
              <w:t>51.4%</w:t>
            </w:r>
          </w:p>
        </w:tc>
        <w:tc>
          <w:tcPr>
            <w:tcW w:type="dxa" w:w="2160"/>
          </w:tcPr>
          <w:p>
            <w:pPr>
              <w:spacing w:before="60" w:after="60"/>
            </w:pPr>
            <w:r>
              <w:rPr>
                <w:rFonts w:ascii="Arial" w:hAnsi="Arial"/>
                <w:sz w:val="17"/>
              </w:rPr>
              <w:t>Reliable; minor monitoring recommended.</w:t>
            </w:r>
          </w:p>
        </w:tc>
      </w:tr>
      <w:tr>
        <w:tc>
          <w:tcPr>
            <w:tcW w:type="dxa" w:w="2160"/>
          </w:tcPr>
          <w:p>
            <w:pPr>
              <w:spacing w:before="60" w:after="60"/>
            </w:pPr>
            <w:r>
              <w:rPr>
                <w:rFonts w:ascii="Arial" w:hAnsi="Arial"/>
                <w:sz w:val="17"/>
              </w:rPr>
              <w:t>Moderate Fragility (0.30–0.50)</w:t>
            </w:r>
          </w:p>
        </w:tc>
        <w:tc>
          <w:tcPr>
            <w:tcW w:type="dxa" w:w="2160"/>
          </w:tcPr>
          <w:p>
            <w:pPr>
              <w:spacing w:before="60" w:after="60"/>
            </w:pPr>
            <w:r>
              <w:rPr>
                <w:rFonts w:ascii="Arial" w:hAnsi="Arial"/>
                <w:sz w:val="17"/>
              </w:rPr>
              <w:t>466</w:t>
            </w:r>
          </w:p>
        </w:tc>
        <w:tc>
          <w:tcPr>
            <w:tcW w:type="dxa" w:w="2160"/>
          </w:tcPr>
          <w:p>
            <w:pPr>
              <w:spacing w:before="60" w:after="60"/>
            </w:pPr>
            <w:r>
              <w:rPr>
                <w:rFonts w:ascii="Arial" w:hAnsi="Arial"/>
                <w:sz w:val="17"/>
              </w:rPr>
              <w:t>19.6%</w:t>
            </w:r>
          </w:p>
        </w:tc>
        <w:tc>
          <w:tcPr>
            <w:tcW w:type="dxa" w:w="2160"/>
          </w:tcPr>
          <w:p>
            <w:pPr>
              <w:spacing w:before="60" w:after="60"/>
            </w:pPr>
            <w:r>
              <w:rPr>
                <w:rFonts w:ascii="Arial" w:hAnsi="Arial"/>
                <w:sz w:val="17"/>
              </w:rPr>
              <w:t>Interpret with caution; sensitive to exclusions.</w:t>
            </w:r>
          </w:p>
        </w:tc>
      </w:tr>
      <w:tr>
        <w:tc>
          <w:tcPr>
            <w:tcW w:type="dxa" w:w="2160"/>
          </w:tcPr>
          <w:p>
            <w:pPr>
              <w:spacing w:before="60" w:after="60"/>
            </w:pPr>
            <w:r>
              <w:rPr>
                <w:rFonts w:ascii="Arial" w:hAnsi="Arial"/>
                <w:sz w:val="17"/>
              </w:rPr>
              <w:t>High Fragility (MAFI &gt; 0.50)</w:t>
            </w:r>
          </w:p>
        </w:tc>
        <w:tc>
          <w:tcPr>
            <w:tcW w:type="dxa" w:w="2160"/>
          </w:tcPr>
          <w:p>
            <w:pPr>
              <w:spacing w:before="60" w:after="60"/>
            </w:pPr>
            <w:r>
              <w:rPr>
                <w:rFonts w:ascii="Arial" w:hAnsi="Arial"/>
                <w:sz w:val="17"/>
              </w:rPr>
              <w:t>288</w:t>
            </w:r>
          </w:p>
        </w:tc>
        <w:tc>
          <w:tcPr>
            <w:tcW w:type="dxa" w:w="2160"/>
          </w:tcPr>
          <w:p>
            <w:pPr>
              <w:spacing w:before="60" w:after="60"/>
            </w:pPr>
            <w:r>
              <w:rPr>
                <w:rFonts w:ascii="Arial" w:hAnsi="Arial"/>
                <w:sz w:val="17"/>
              </w:rPr>
              <w:t>12.1%</w:t>
            </w:r>
          </w:p>
        </w:tc>
        <w:tc>
          <w:tcPr>
            <w:tcW w:type="dxa" w:w="2160"/>
          </w:tcPr>
          <w:p>
            <w:pPr>
              <w:spacing w:before="60" w:after="60"/>
            </w:pPr>
            <w:r>
              <w:rPr>
                <w:rFonts w:ascii="Arial" w:hAnsi="Arial"/>
                <w:sz w:val="17"/>
              </w:rPr>
              <w:t>Evidence Frontier; urgent re-verification required.</w:t>
            </w:r>
          </w:p>
        </w:tc>
      </w:tr>
    </w:tbl>
    <w:p>
      <w:r>
        <w:t>The global audit of 2,373 analyses reveals a significant vulnerability gap in modern medicine. While over half of the audited analyses are classified as robust or low fragility, the identifying of nearly 300 high-fragility cohorts highlights urgent areas for research verification.</w:t>
      </w:r>
    </w:p>
    <w:p>
      <w:pPr>
        <w:pStyle w:val="Heading1"/>
      </w:pPr>
      <w:r>
        <w:t>Table 8. Specialty-Specific Robustness Distribution (Heuristic Mapping)</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Medical Specialty</w:t>
            </w:r>
          </w:p>
        </w:tc>
        <w:tc>
          <w:tcPr>
            <w:tcW w:type="dxa" w:w="2160"/>
            <w:shd w:fill="F2F2F2"/>
          </w:tcPr>
          <w:p>
            <w:pPr>
              <w:spacing w:before="60" w:after="60"/>
            </w:pPr>
            <w:r>
              <w:rPr>
                <w:rFonts w:ascii="Arial" w:hAnsi="Arial"/>
                <w:b/>
                <w:sz w:val="17"/>
              </w:rPr>
              <w:t>Dominant Measure</w:t>
            </w:r>
          </w:p>
        </w:tc>
        <w:tc>
          <w:tcPr>
            <w:tcW w:type="dxa" w:w="2160"/>
            <w:shd w:fill="F2F2F2"/>
          </w:tcPr>
          <w:p>
            <w:pPr>
              <w:spacing w:before="60" w:after="60"/>
            </w:pPr>
            <w:r>
              <w:rPr>
                <w:rFonts w:ascii="Arial" w:hAnsi="Arial"/>
                <w:b/>
                <w:sz w:val="17"/>
              </w:rPr>
              <w:t>Median MAFI</w:t>
            </w:r>
          </w:p>
        </w:tc>
        <w:tc>
          <w:tcPr>
            <w:tcW w:type="dxa" w:w="2160"/>
            <w:shd w:fill="F2F2F2"/>
          </w:tcPr>
          <w:p>
            <w:pPr>
              <w:spacing w:before="60" w:after="60"/>
            </w:pPr>
            <w:r>
              <w:rPr>
                <w:rFonts w:ascii="Arial" w:hAnsi="Arial"/>
                <w:b/>
                <w:sz w:val="17"/>
              </w:rPr>
              <w:t>Vulnerability Trend</w:t>
            </w:r>
          </w:p>
        </w:tc>
      </w:tr>
      <w:tr>
        <w:tc>
          <w:tcPr>
            <w:tcW w:type="dxa" w:w="2160"/>
          </w:tcPr>
          <w:p>
            <w:pPr>
              <w:spacing w:before="60" w:after="60"/>
            </w:pPr>
            <w:r>
              <w:rPr>
                <w:rFonts w:ascii="Arial" w:hAnsi="Arial"/>
                <w:sz w:val="17"/>
              </w:rPr>
              <w:t>Cardiovascular</w:t>
            </w:r>
          </w:p>
        </w:tc>
        <w:tc>
          <w:tcPr>
            <w:tcW w:type="dxa" w:w="2160"/>
          </w:tcPr>
          <w:p>
            <w:pPr>
              <w:spacing w:before="60" w:after="60"/>
            </w:pPr>
            <w:r>
              <w:rPr>
                <w:rFonts w:ascii="Arial" w:hAnsi="Arial"/>
                <w:sz w:val="17"/>
              </w:rPr>
              <w:t>logOR (Dichotomous)</w:t>
            </w:r>
          </w:p>
        </w:tc>
        <w:tc>
          <w:tcPr>
            <w:tcW w:type="dxa" w:w="2160"/>
          </w:tcPr>
          <w:p>
            <w:pPr>
              <w:spacing w:before="60" w:after="60"/>
            </w:pPr>
            <w:r>
              <w:rPr>
                <w:rFonts w:ascii="Arial" w:hAnsi="Arial"/>
                <w:sz w:val="17"/>
              </w:rPr>
              <w:t>0.24</w:t>
            </w:r>
          </w:p>
        </w:tc>
        <w:tc>
          <w:tcPr>
            <w:tcW w:type="dxa" w:w="2160"/>
          </w:tcPr>
          <w:p>
            <w:pPr>
              <w:spacing w:before="60" w:after="60"/>
            </w:pPr>
            <w:r>
              <w:rPr>
                <w:rFonts w:ascii="Arial" w:hAnsi="Arial"/>
                <w:sz w:val="17"/>
              </w:rPr>
              <w:t>Highly robust landmark trials.</w:t>
            </w:r>
          </w:p>
        </w:tc>
      </w:tr>
      <w:tr>
        <w:tc>
          <w:tcPr>
            <w:tcW w:type="dxa" w:w="2160"/>
          </w:tcPr>
          <w:p>
            <w:pPr>
              <w:spacing w:before="60" w:after="60"/>
            </w:pPr>
            <w:r>
              <w:rPr>
                <w:rFonts w:ascii="Arial" w:hAnsi="Arial"/>
                <w:sz w:val="17"/>
              </w:rPr>
              <w:t>Neurology/Dementia</w:t>
            </w:r>
          </w:p>
        </w:tc>
        <w:tc>
          <w:tcPr>
            <w:tcW w:type="dxa" w:w="2160"/>
          </w:tcPr>
          <w:p>
            <w:pPr>
              <w:spacing w:before="60" w:after="60"/>
            </w:pPr>
            <w:r>
              <w:rPr>
                <w:rFonts w:ascii="Arial" w:hAnsi="Arial"/>
                <w:sz w:val="17"/>
              </w:rPr>
              <w:t>SMD (Continuous)</w:t>
            </w:r>
          </w:p>
        </w:tc>
        <w:tc>
          <w:tcPr>
            <w:tcW w:type="dxa" w:w="2160"/>
          </w:tcPr>
          <w:p>
            <w:pPr>
              <w:spacing w:before="60" w:after="60"/>
            </w:pPr>
            <w:r>
              <w:rPr>
                <w:rFonts w:ascii="Arial" w:hAnsi="Arial"/>
                <w:sz w:val="17"/>
              </w:rPr>
              <w:t>0.48</w:t>
            </w:r>
          </w:p>
        </w:tc>
        <w:tc>
          <w:tcPr>
            <w:tcW w:type="dxa" w:w="2160"/>
          </w:tcPr>
          <w:p>
            <w:pPr>
              <w:spacing w:before="60" w:after="60"/>
            </w:pPr>
            <w:r>
              <w:rPr>
                <w:rFonts w:ascii="Arial" w:hAnsi="Arial"/>
                <w:sz w:val="17"/>
              </w:rPr>
              <w:t>High volatility in small-k cohorts.</w:t>
            </w:r>
          </w:p>
        </w:tc>
      </w:tr>
      <w:tr>
        <w:tc>
          <w:tcPr>
            <w:tcW w:type="dxa" w:w="2160"/>
          </w:tcPr>
          <w:p>
            <w:pPr>
              <w:spacing w:before="60" w:after="60"/>
            </w:pPr>
            <w:r>
              <w:rPr>
                <w:rFonts w:ascii="Arial" w:hAnsi="Arial"/>
                <w:sz w:val="17"/>
              </w:rPr>
              <w:t>Infectious Disease</w:t>
            </w:r>
          </w:p>
        </w:tc>
        <w:tc>
          <w:tcPr>
            <w:tcW w:type="dxa" w:w="2160"/>
          </w:tcPr>
          <w:p>
            <w:pPr>
              <w:spacing w:before="60" w:after="60"/>
            </w:pPr>
            <w:r>
              <w:rPr>
                <w:rFonts w:ascii="Arial" w:hAnsi="Arial"/>
                <w:sz w:val="17"/>
              </w:rPr>
              <w:t>logOR / RR</w:t>
            </w:r>
          </w:p>
        </w:tc>
        <w:tc>
          <w:tcPr>
            <w:tcW w:type="dxa" w:w="2160"/>
          </w:tcPr>
          <w:p>
            <w:pPr>
              <w:spacing w:before="60" w:after="60"/>
            </w:pPr>
            <w:r>
              <w:rPr>
                <w:rFonts w:ascii="Arial" w:hAnsi="Arial"/>
                <w:sz w:val="17"/>
              </w:rPr>
              <w:t>0.31</w:t>
            </w:r>
          </w:p>
        </w:tc>
        <w:tc>
          <w:tcPr>
            <w:tcW w:type="dxa" w:w="2160"/>
          </w:tcPr>
          <w:p>
            <w:pPr>
              <w:spacing w:before="60" w:after="60"/>
            </w:pPr>
            <w:r>
              <w:rPr>
                <w:rFonts w:ascii="Arial" w:hAnsi="Arial"/>
                <w:sz w:val="17"/>
              </w:rPr>
              <w:t>Moderate stability; sensitive to recent RCTs.</w:t>
            </w:r>
          </w:p>
        </w:tc>
      </w:tr>
      <w:tr>
        <w:tc>
          <w:tcPr>
            <w:tcW w:type="dxa" w:w="2160"/>
          </w:tcPr>
          <w:p>
            <w:pPr>
              <w:spacing w:before="60" w:after="60"/>
            </w:pPr>
            <w:r>
              <w:rPr>
                <w:rFonts w:ascii="Arial" w:hAnsi="Arial"/>
                <w:sz w:val="17"/>
              </w:rPr>
              <w:t>Respiratory</w:t>
            </w:r>
          </w:p>
        </w:tc>
        <w:tc>
          <w:tcPr>
            <w:tcW w:type="dxa" w:w="2160"/>
          </w:tcPr>
          <w:p>
            <w:pPr>
              <w:spacing w:before="60" w:after="60"/>
            </w:pPr>
            <w:r>
              <w:rPr>
                <w:rFonts w:ascii="Arial" w:hAnsi="Arial"/>
                <w:sz w:val="17"/>
              </w:rPr>
              <w:t>MD (Continuous)</w:t>
            </w:r>
          </w:p>
        </w:tc>
        <w:tc>
          <w:tcPr>
            <w:tcW w:type="dxa" w:w="2160"/>
          </w:tcPr>
          <w:p>
            <w:pPr>
              <w:spacing w:before="60" w:after="60"/>
            </w:pPr>
            <w:r>
              <w:rPr>
                <w:rFonts w:ascii="Arial" w:hAnsi="Arial"/>
                <w:sz w:val="17"/>
              </w:rPr>
              <w:t>0.39</w:t>
            </w:r>
          </w:p>
        </w:tc>
        <w:tc>
          <w:tcPr>
            <w:tcW w:type="dxa" w:w="2160"/>
          </w:tcPr>
          <w:p>
            <w:pPr>
              <w:spacing w:before="60" w:after="60"/>
            </w:pPr>
            <w:r>
              <w:rPr>
                <w:rFonts w:ascii="Arial" w:hAnsi="Arial"/>
                <w:sz w:val="17"/>
              </w:rPr>
              <w:t>Higher fragility due to heterogeneity (I²).</w:t>
            </w:r>
          </w:p>
        </w:tc>
      </w:tr>
      <w:tr>
        <w:tc>
          <w:tcPr>
            <w:tcW w:type="dxa" w:w="2160"/>
          </w:tcPr>
          <w:p>
            <w:pPr>
              <w:spacing w:before="60" w:after="60"/>
            </w:pPr>
            <w:r>
              <w:rPr>
                <w:rFonts w:ascii="Arial" w:hAnsi="Arial"/>
                <w:sz w:val="17"/>
              </w:rPr>
              <w:t>General Medicine</w:t>
            </w:r>
          </w:p>
        </w:tc>
        <w:tc>
          <w:tcPr>
            <w:tcW w:type="dxa" w:w="2160"/>
          </w:tcPr>
          <w:p>
            <w:pPr>
              <w:spacing w:before="60" w:after="60"/>
            </w:pPr>
            <w:r>
              <w:rPr>
                <w:rFonts w:ascii="Arial" w:hAnsi="Arial"/>
                <w:sz w:val="17"/>
              </w:rPr>
              <w:t>Varied</w:t>
            </w:r>
          </w:p>
        </w:tc>
        <w:tc>
          <w:tcPr>
            <w:tcW w:type="dxa" w:w="2160"/>
          </w:tcPr>
          <w:p>
            <w:pPr>
              <w:spacing w:before="60" w:after="60"/>
            </w:pPr>
            <w:r>
              <w:rPr>
                <w:rFonts w:ascii="Arial" w:hAnsi="Arial"/>
                <w:sz w:val="17"/>
              </w:rPr>
              <w:t>0.35</w:t>
            </w:r>
          </w:p>
        </w:tc>
        <w:tc>
          <w:tcPr>
            <w:tcW w:type="dxa" w:w="2160"/>
          </w:tcPr>
          <w:p>
            <w:pPr>
              <w:spacing w:before="60" w:after="60"/>
            </w:pPr>
            <w:r>
              <w:rPr>
                <w:rFonts w:ascii="Arial" w:hAnsi="Arial"/>
                <w:sz w:val="17"/>
              </w:rPr>
              <w:t>Mixed stability profile across 501 reviews.</w:t>
            </w:r>
          </w:p>
        </w:tc>
      </w:tr>
    </w:tbl>
    <w:p>
      <w:r>
        <w:t>Specialty-specific distributions highlight the varying evidence landscapes within clinical medicine. For instance, the relative stability of Cardiovascular trials contrasts with the higher volatility observed in Neurology, likely reflecting differences in sample sizes and the maturity of standardized outcome measures.</w:t>
      </w:r>
    </w:p>
    <w:p>
      <w:pPr>
        <w:pStyle w:val="Heading1"/>
      </w:pPr>
      <w:r>
        <w:t>Table 9. Software Validation: Internal Stress-Test Performance</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Test Scenario</w:t>
            </w:r>
          </w:p>
        </w:tc>
        <w:tc>
          <w:tcPr>
            <w:tcW w:type="dxa" w:w="2160"/>
            <w:shd w:fill="F2F2F2"/>
          </w:tcPr>
          <w:p>
            <w:pPr>
              <w:spacing w:before="60" w:after="60"/>
            </w:pPr>
            <w:r>
              <w:rPr>
                <w:rFonts w:ascii="Arial" w:hAnsi="Arial"/>
                <w:b/>
                <w:sz w:val="17"/>
              </w:rPr>
              <w:t>Target Logic</w:t>
            </w:r>
          </w:p>
        </w:tc>
        <w:tc>
          <w:tcPr>
            <w:tcW w:type="dxa" w:w="2160"/>
            <w:shd w:fill="F2F2F2"/>
          </w:tcPr>
          <w:p>
            <w:pPr>
              <w:spacing w:before="60" w:after="60"/>
            </w:pPr>
            <w:r>
              <w:rPr>
                <w:rFonts w:ascii="Arial" w:hAnsi="Arial"/>
                <w:b/>
                <w:sz w:val="17"/>
              </w:rPr>
              <w:t>Expected Pass Criteria</w:t>
            </w:r>
          </w:p>
        </w:tc>
        <w:tc>
          <w:tcPr>
            <w:tcW w:type="dxa" w:w="2160"/>
            <w:shd w:fill="F2F2F2"/>
          </w:tcPr>
          <w:p>
            <w:pPr>
              <w:spacing w:before="60" w:after="60"/>
            </w:pPr>
            <w:r>
              <w:rPr>
                <w:rFonts w:ascii="Arial" w:hAnsi="Arial"/>
                <w:b/>
                <w:sz w:val="17"/>
              </w:rPr>
              <w:t>Observed Status</w:t>
            </w:r>
          </w:p>
        </w:tc>
      </w:tr>
      <w:tr>
        <w:tc>
          <w:tcPr>
            <w:tcW w:type="dxa" w:w="2160"/>
          </w:tcPr>
          <w:p>
            <w:pPr>
              <w:spacing w:before="60" w:after="60"/>
            </w:pPr>
            <w:r>
              <w:rPr>
                <w:rFonts w:ascii="Arial" w:hAnsi="Arial"/>
                <w:sz w:val="17"/>
              </w:rPr>
              <w:t>Single-Study Flip</w:t>
            </w:r>
          </w:p>
        </w:tc>
        <w:tc>
          <w:tcPr>
            <w:tcW w:type="dxa" w:w="2160"/>
          </w:tcPr>
          <w:p>
            <w:pPr>
              <w:spacing w:before="60" w:after="60"/>
            </w:pPr>
            <w:r>
              <w:rPr>
                <w:rFonts w:ascii="Arial" w:hAnsi="Arial"/>
                <w:sz w:val="17"/>
              </w:rPr>
              <w:t>MAFI Directionality</w:t>
            </w:r>
          </w:p>
        </w:tc>
        <w:tc>
          <w:tcPr>
            <w:tcW w:type="dxa" w:w="2160"/>
          </w:tcPr>
          <w:p>
            <w:pPr>
              <w:spacing w:before="60" w:after="60"/>
            </w:pPr>
            <w:r>
              <w:rPr>
                <w:rFonts w:ascii="Arial" w:hAnsi="Arial"/>
                <w:sz w:val="17"/>
              </w:rPr>
              <w:t>Detection of inference reversal.</w:t>
            </w:r>
          </w:p>
        </w:tc>
        <w:tc>
          <w:tcPr>
            <w:tcW w:type="dxa" w:w="2160"/>
          </w:tcPr>
          <w:p>
            <w:pPr>
              <w:spacing w:before="60" w:after="60"/>
            </w:pPr>
            <w:r>
              <w:rPr>
                <w:rFonts w:ascii="Arial" w:hAnsi="Arial"/>
                <w:sz w:val="17"/>
              </w:rPr>
              <w:t>PASS</w:t>
            </w:r>
          </w:p>
        </w:tc>
      </w:tr>
      <w:tr>
        <w:tc>
          <w:tcPr>
            <w:tcW w:type="dxa" w:w="2160"/>
          </w:tcPr>
          <w:p>
            <w:pPr>
              <w:spacing w:before="60" w:after="60"/>
            </w:pPr>
            <w:r>
              <w:rPr>
                <w:rFonts w:ascii="Arial" w:hAnsi="Arial"/>
                <w:sz w:val="17"/>
              </w:rPr>
              <w:t>P-value Threshold</w:t>
            </w:r>
          </w:p>
        </w:tc>
        <w:tc>
          <w:tcPr>
            <w:tcW w:type="dxa" w:w="2160"/>
          </w:tcPr>
          <w:p>
            <w:pPr>
              <w:spacing w:before="60" w:after="60"/>
            </w:pPr>
            <w:r>
              <w:rPr>
                <w:rFonts w:ascii="Arial" w:hAnsi="Arial"/>
                <w:sz w:val="17"/>
              </w:rPr>
              <w:t>Significance (SFI)</w:t>
            </w:r>
          </w:p>
        </w:tc>
        <w:tc>
          <w:tcPr>
            <w:tcW w:type="dxa" w:w="2160"/>
          </w:tcPr>
          <w:p>
            <w:pPr>
              <w:spacing w:before="60" w:after="60"/>
            </w:pPr>
            <w:r>
              <w:rPr>
                <w:rFonts w:ascii="Arial" w:hAnsi="Arial"/>
                <w:sz w:val="17"/>
              </w:rPr>
              <w:t>Correct handling of p=0.05 boundary.</w:t>
            </w:r>
          </w:p>
        </w:tc>
        <w:tc>
          <w:tcPr>
            <w:tcW w:type="dxa" w:w="2160"/>
          </w:tcPr>
          <w:p>
            <w:pPr>
              <w:spacing w:before="60" w:after="60"/>
            </w:pPr>
            <w:r>
              <w:rPr>
                <w:rFonts w:ascii="Arial" w:hAnsi="Arial"/>
                <w:sz w:val="17"/>
              </w:rPr>
              <w:t>PASS</w:t>
            </w:r>
          </w:p>
        </w:tc>
      </w:tr>
      <w:tr>
        <w:tc>
          <w:tcPr>
            <w:tcW w:type="dxa" w:w="2160"/>
          </w:tcPr>
          <w:p>
            <w:pPr>
              <w:spacing w:before="60" w:after="60"/>
            </w:pPr>
            <w:r>
              <w:rPr>
                <w:rFonts w:ascii="Arial" w:hAnsi="Arial"/>
                <w:sz w:val="17"/>
              </w:rPr>
              <w:t>Missing SE Check</w:t>
            </w:r>
          </w:p>
        </w:tc>
        <w:tc>
          <w:tcPr>
            <w:tcW w:type="dxa" w:w="2160"/>
          </w:tcPr>
          <w:p>
            <w:pPr>
              <w:spacing w:before="60" w:after="60"/>
            </w:pPr>
            <w:r>
              <w:rPr>
                <w:rFonts w:ascii="Arial" w:hAnsi="Arial"/>
                <w:sz w:val="17"/>
              </w:rPr>
              <w:t>Cohort Filtering</w:t>
            </w:r>
          </w:p>
        </w:tc>
        <w:tc>
          <w:tcPr>
            <w:tcW w:type="dxa" w:w="2160"/>
          </w:tcPr>
          <w:p>
            <w:pPr>
              <w:spacing w:before="60" w:after="60"/>
            </w:pPr>
            <w:r>
              <w:rPr>
                <w:rFonts w:ascii="Arial" w:hAnsi="Arial"/>
                <w:sz w:val="17"/>
              </w:rPr>
              <w:t>Finite/positive seTE enforcement.</w:t>
            </w:r>
          </w:p>
        </w:tc>
        <w:tc>
          <w:tcPr>
            <w:tcW w:type="dxa" w:w="2160"/>
          </w:tcPr>
          <w:p>
            <w:pPr>
              <w:spacing w:before="60" w:after="60"/>
            </w:pPr>
            <w:r>
              <w:rPr>
                <w:rFonts w:ascii="Arial" w:hAnsi="Arial"/>
                <w:sz w:val="17"/>
              </w:rPr>
              <w:t>PASS</w:t>
            </w:r>
          </w:p>
        </w:tc>
      </w:tr>
      <w:tr>
        <w:tc>
          <w:tcPr>
            <w:tcW w:type="dxa" w:w="2160"/>
          </w:tcPr>
          <w:p>
            <w:pPr>
              <w:spacing w:before="60" w:after="60"/>
            </w:pPr>
            <w:r>
              <w:rPr>
                <w:rFonts w:ascii="Arial" w:hAnsi="Arial"/>
                <w:sz w:val="17"/>
              </w:rPr>
              <w:t>Bayesian Parity</w:t>
            </w:r>
          </w:p>
        </w:tc>
        <w:tc>
          <w:tcPr>
            <w:tcW w:type="dxa" w:w="2160"/>
          </w:tcPr>
          <w:p>
            <w:pPr>
              <w:spacing w:before="60" w:after="60"/>
            </w:pPr>
            <w:r>
              <w:rPr>
                <w:rFonts w:ascii="Arial" w:hAnsi="Arial"/>
                <w:sz w:val="17"/>
              </w:rPr>
              <w:t>Posterior Stability</w:t>
            </w:r>
          </w:p>
        </w:tc>
        <w:tc>
          <w:tcPr>
            <w:tcW w:type="dxa" w:w="2160"/>
          </w:tcPr>
          <w:p>
            <w:pPr>
              <w:spacing w:before="60" w:after="60"/>
            </w:pPr>
            <w:r>
              <w:rPr>
                <w:rFonts w:ascii="Arial" w:hAnsi="Arial"/>
                <w:sz w:val="17"/>
              </w:rPr>
              <w:t>95% CrI containment of freq. estimate.</w:t>
            </w:r>
          </w:p>
        </w:tc>
        <w:tc>
          <w:tcPr>
            <w:tcW w:type="dxa" w:w="2160"/>
          </w:tcPr>
          <w:p>
            <w:pPr>
              <w:spacing w:before="60" w:after="60"/>
            </w:pPr>
            <w:r>
              <w:rPr>
                <w:rFonts w:ascii="Arial" w:hAnsi="Arial"/>
                <w:sz w:val="17"/>
              </w:rPr>
              <w:t>PASS (diff &lt; 0.01)</w:t>
            </w:r>
          </w:p>
        </w:tc>
      </w:tr>
    </w:tbl>
    <w:p>
      <w:r>
        <w:t>Internal validation ensures that the statistical logic remains consistent across edge cases. The software's ability to handle missing standard errors and detect inference reversals has been stress-tested across multiple clinical scenarios, achieving high-precision parity with established R libraries.</w:t>
      </w:r>
    </w:p>
    <w:p>
      <w:pPr>
        <w:pStyle w:val="Heading1"/>
      </w:pPr>
      <w:r>
        <w:t>Table 10. Software Availability and Repository Checklist</w:t>
      </w:r>
    </w:p>
    <w:tbl>
      <w:tblPr>
        <w:tblW w:type="auto" w:w="0"/>
        <w:tblLook w:firstColumn="1" w:firstRow="1" w:lastColumn="0" w:lastRow="0" w:noHBand="0" w:noVBand="1" w:val="04A0"/>
      </w:tblPr>
      <w:tblGrid>
        <w:gridCol w:w="2160"/>
        <w:gridCol w:w="2160"/>
        <w:gridCol w:w="2160"/>
        <w:gridCol w:w="2160"/>
      </w:tblGrid>
      <w:tr>
        <w:tc>
          <w:tcPr>
            <w:tcW w:type="dxa" w:w="2160"/>
            <w:shd w:fill="F2F2F2"/>
          </w:tcPr>
          <w:p>
            <w:pPr>
              <w:spacing w:before="60" w:after="60"/>
            </w:pPr>
            <w:r>
              <w:rPr>
                <w:rFonts w:ascii="Arial" w:hAnsi="Arial"/>
                <w:b/>
                <w:sz w:val="17"/>
              </w:rPr>
              <w:t>Item</w:t>
            </w:r>
          </w:p>
        </w:tc>
        <w:tc>
          <w:tcPr>
            <w:tcW w:type="dxa" w:w="2160"/>
            <w:shd w:fill="F2F2F2"/>
          </w:tcPr>
          <w:p>
            <w:pPr>
              <w:spacing w:before="60" w:after="60"/>
            </w:pPr>
            <w:r>
              <w:rPr>
                <w:rFonts w:ascii="Arial" w:hAnsi="Arial"/>
                <w:b/>
                <w:sz w:val="17"/>
              </w:rPr>
              <w:t>Current Status</w:t>
            </w:r>
          </w:p>
        </w:tc>
        <w:tc>
          <w:tcPr>
            <w:tcW w:type="dxa" w:w="2160"/>
            <w:shd w:fill="F2F2F2"/>
          </w:tcPr>
          <w:p>
            <w:pPr>
              <w:spacing w:before="60" w:after="60"/>
            </w:pPr>
            <w:r>
              <w:rPr>
                <w:rFonts w:ascii="Arial" w:hAnsi="Arial"/>
                <w:b/>
                <w:sz w:val="17"/>
              </w:rPr>
              <w:t>Location/Format</w:t>
            </w:r>
          </w:p>
        </w:tc>
        <w:tc>
          <w:tcPr>
            <w:tcW w:type="dxa" w:w="2160"/>
            <w:shd w:fill="F2F2F2"/>
          </w:tcPr>
          <w:p>
            <w:pPr>
              <w:spacing w:before="60" w:after="60"/>
            </w:pPr>
            <w:r>
              <w:rPr>
                <w:rFonts w:ascii="Arial" w:hAnsi="Arial"/>
                <w:b/>
                <w:sz w:val="17"/>
              </w:rPr>
              <w:t>Access Type</w:t>
            </w:r>
          </w:p>
        </w:tc>
      </w:tr>
      <w:tr>
        <w:tc>
          <w:tcPr>
            <w:tcW w:type="dxa" w:w="2160"/>
          </w:tcPr>
          <w:p>
            <w:pPr>
              <w:spacing w:before="60" w:after="60"/>
            </w:pPr>
            <w:r>
              <w:rPr>
                <w:rFonts w:ascii="Arial" w:hAnsi="Arial"/>
                <w:sz w:val="17"/>
              </w:rPr>
              <w:t>Software Source</w:t>
            </w:r>
          </w:p>
        </w:tc>
        <w:tc>
          <w:tcPr>
            <w:tcW w:type="dxa" w:w="2160"/>
          </w:tcPr>
          <w:p>
            <w:pPr>
              <w:spacing w:before="60" w:after="60"/>
            </w:pPr>
            <w:r>
              <w:rPr>
                <w:rFonts w:ascii="Arial" w:hAnsi="Arial"/>
                <w:sz w:val="17"/>
              </w:rPr>
              <w:t>Complete (v0.1.0)</w:t>
            </w:r>
          </w:p>
        </w:tc>
        <w:tc>
          <w:tcPr>
            <w:tcW w:type="dxa" w:w="2160"/>
          </w:tcPr>
          <w:p>
            <w:pPr>
              <w:spacing w:before="60" w:after="60"/>
            </w:pPr>
            <w:r>
              <w:rPr>
                <w:rFonts w:ascii="Arial" w:hAnsi="Arial"/>
                <w:sz w:val="17"/>
              </w:rPr>
              <w:t>R Package (sub-directory)</w:t>
            </w:r>
          </w:p>
        </w:tc>
        <w:tc>
          <w:tcPr>
            <w:tcW w:type="dxa" w:w="2160"/>
          </w:tcPr>
          <w:p>
            <w:pPr>
              <w:spacing w:before="60" w:after="60"/>
            </w:pPr>
            <w:r>
              <w:rPr>
                <w:rFonts w:ascii="Arial" w:hAnsi="Arial"/>
                <w:sz w:val="17"/>
              </w:rPr>
              <w:t>Open Source (MIT)</w:t>
            </w:r>
          </w:p>
        </w:tc>
      </w:tr>
      <w:tr>
        <w:tc>
          <w:tcPr>
            <w:tcW w:type="dxa" w:w="2160"/>
          </w:tcPr>
          <w:p>
            <w:pPr>
              <w:spacing w:before="60" w:after="60"/>
            </w:pPr>
            <w:r>
              <w:rPr>
                <w:rFonts w:ascii="Arial" w:hAnsi="Arial"/>
                <w:sz w:val="17"/>
              </w:rPr>
              <w:t>Multilevel Database</w:t>
            </w:r>
          </w:p>
        </w:tc>
        <w:tc>
          <w:tcPr>
            <w:tcW w:type="dxa" w:w="2160"/>
          </w:tcPr>
          <w:p>
            <w:pPr>
              <w:spacing w:before="60" w:after="60"/>
            </w:pPr>
            <w:r>
              <w:rPr>
                <w:rFonts w:ascii="Arial" w:hAnsi="Arial"/>
                <w:sz w:val="17"/>
              </w:rPr>
              <w:t>2,373 analyses</w:t>
            </w:r>
          </w:p>
        </w:tc>
        <w:tc>
          <w:tcPr>
            <w:tcW w:type="dxa" w:w="2160"/>
          </w:tcPr>
          <w:p>
            <w:pPr>
              <w:spacing w:before="60" w:after="60"/>
            </w:pPr>
            <w:r>
              <w:rPr>
                <w:rFonts w:ascii="Arial" w:hAnsi="Arial"/>
                <w:sz w:val="17"/>
              </w:rPr>
              <w:t>data-raw/ (read-only)</w:t>
            </w:r>
          </w:p>
        </w:tc>
        <w:tc>
          <w:tcPr>
            <w:tcW w:type="dxa" w:w="2160"/>
          </w:tcPr>
          <w:p>
            <w:pPr>
              <w:spacing w:before="60" w:after="60"/>
            </w:pPr>
            <w:r>
              <w:rPr>
                <w:rFonts w:ascii="Arial" w:hAnsi="Arial"/>
                <w:sz w:val="17"/>
              </w:rPr>
              <w:t>Restricted (provenance preserved)</w:t>
            </w:r>
          </w:p>
        </w:tc>
      </w:tr>
      <w:tr>
        <w:tc>
          <w:tcPr>
            <w:tcW w:type="dxa" w:w="2160"/>
          </w:tcPr>
          <w:p>
            <w:pPr>
              <w:spacing w:before="60" w:after="60"/>
            </w:pPr>
            <w:r>
              <w:rPr>
                <w:rFonts w:ascii="Arial" w:hAnsi="Arial"/>
                <w:sz w:val="17"/>
              </w:rPr>
              <w:t>Guided Vignette</w:t>
            </w:r>
          </w:p>
        </w:tc>
        <w:tc>
          <w:tcPr>
            <w:tcW w:type="dxa" w:w="2160"/>
          </w:tcPr>
          <w:p>
            <w:pPr>
              <w:spacing w:before="60" w:after="60"/>
            </w:pPr>
            <w:r>
              <w:rPr>
                <w:rFonts w:ascii="Arial" w:hAnsi="Arial"/>
                <w:sz w:val="17"/>
              </w:rPr>
              <w:t>Available</w:t>
            </w:r>
          </w:p>
        </w:tc>
        <w:tc>
          <w:tcPr>
            <w:tcW w:type="dxa" w:w="2160"/>
          </w:tcPr>
          <w:p>
            <w:pPr>
              <w:spacing w:before="60" w:after="60"/>
            </w:pPr>
            <w:r>
              <w:rPr>
                <w:rFonts w:ascii="Arial" w:hAnsi="Arial"/>
                <w:sz w:val="17"/>
              </w:rPr>
              <w:t>vignettes/CFA_Walkthrough.Rmd</w:t>
            </w:r>
          </w:p>
        </w:tc>
        <w:tc>
          <w:tcPr>
            <w:tcW w:type="dxa" w:w="2160"/>
          </w:tcPr>
          <w:p>
            <w:pPr>
              <w:spacing w:before="60" w:after="60"/>
            </w:pPr>
            <w:r>
              <w:rPr>
                <w:rFonts w:ascii="Arial" w:hAnsi="Arial"/>
                <w:sz w:val="17"/>
              </w:rPr>
              <w:t>Documentation</w:t>
            </w:r>
          </w:p>
        </w:tc>
      </w:tr>
      <w:tr>
        <w:tc>
          <w:tcPr>
            <w:tcW w:type="dxa" w:w="2160"/>
          </w:tcPr>
          <w:p>
            <w:pPr>
              <w:spacing w:before="60" w:after="60"/>
            </w:pPr>
            <w:r>
              <w:rPr>
                <w:rFonts w:ascii="Arial" w:hAnsi="Arial"/>
                <w:sz w:val="17"/>
              </w:rPr>
              <w:t>Audit Ledger</w:t>
            </w:r>
          </w:p>
        </w:tc>
        <w:tc>
          <w:tcPr>
            <w:tcW w:type="dxa" w:w="2160"/>
          </w:tcPr>
          <w:p>
            <w:pPr>
              <w:spacing w:before="60" w:after="60"/>
            </w:pPr>
            <w:r>
              <w:rPr>
                <w:rFonts w:ascii="Arial" w:hAnsi="Arial"/>
                <w:sz w:val="17"/>
              </w:rPr>
              <w:t>Available</w:t>
            </w:r>
          </w:p>
        </w:tc>
        <w:tc>
          <w:tcPr>
            <w:tcW w:type="dxa" w:w="2160"/>
          </w:tcPr>
          <w:p>
            <w:pPr>
              <w:spacing w:before="60" w:after="60"/>
            </w:pPr>
            <w:r>
              <w:rPr>
                <w:rFonts w:ascii="Arial" w:hAnsi="Arial"/>
                <w:sz w:val="17"/>
              </w:rPr>
              <w:t>inst/extdata/cfa_comprehensive_audit.csv</w:t>
            </w:r>
          </w:p>
        </w:tc>
        <w:tc>
          <w:tcPr>
            <w:tcW w:type="dxa" w:w="2160"/>
          </w:tcPr>
          <w:p>
            <w:pPr>
              <w:spacing w:before="60" w:after="60"/>
            </w:pPr>
            <w:r>
              <w:rPr>
                <w:rFonts w:ascii="Arial" w:hAnsi="Arial"/>
                <w:sz w:val="17"/>
              </w:rPr>
              <w:t>CSV Artifact</w:t>
            </w:r>
          </w:p>
        </w:tc>
      </w:tr>
      <w:tr>
        <w:tc>
          <w:tcPr>
            <w:tcW w:type="dxa" w:w="2160"/>
          </w:tcPr>
          <w:p>
            <w:pPr>
              <w:spacing w:before="60" w:after="60"/>
            </w:pPr>
            <w:r>
              <w:rPr>
                <w:rFonts w:ascii="Arial" w:hAnsi="Arial"/>
                <w:sz w:val="17"/>
              </w:rPr>
              <w:t>Visual Dashboard</w:t>
            </w:r>
          </w:p>
        </w:tc>
        <w:tc>
          <w:tcPr>
            <w:tcW w:type="dxa" w:w="2160"/>
          </w:tcPr>
          <w:p>
            <w:pPr>
              <w:spacing w:before="60" w:after="60"/>
            </w:pPr>
            <w:r>
              <w:rPr>
                <w:rFonts w:ascii="Arial" w:hAnsi="Arial"/>
                <w:sz w:val="17"/>
              </w:rPr>
              <w:t>Functional</w:t>
            </w:r>
          </w:p>
        </w:tc>
        <w:tc>
          <w:tcPr>
            <w:tcW w:type="dxa" w:w="2160"/>
          </w:tcPr>
          <w:p>
            <w:pPr>
              <w:spacing w:before="60" w:after="60"/>
            </w:pPr>
            <w:r>
              <w:rPr>
                <w:rFonts w:ascii="Arial" w:hAnsi="Arial"/>
                <w:sz w:val="17"/>
              </w:rPr>
              <w:t>inst/extdata/cfa_dashboard.html</w:t>
            </w:r>
          </w:p>
        </w:tc>
        <w:tc>
          <w:tcPr>
            <w:tcW w:type="dxa" w:w="2160"/>
          </w:tcPr>
          <w:p>
            <w:pPr>
              <w:spacing w:before="60" w:after="60"/>
            </w:pPr>
            <w:r>
              <w:rPr>
                <w:rFonts w:ascii="Arial" w:hAnsi="Arial"/>
                <w:sz w:val="17"/>
              </w:rPr>
              <w:t>Glassmorphism UI</w:t>
            </w:r>
          </w:p>
        </w:tc>
      </w:tr>
    </w:tbl>
    <w:p>
      <w:r>
        <w:t>The software availability checklist confirms our commitment to open science and reproducibility. By providing the source code, guide vignettes, and the full audit ledger, we enable independent verification of our findings and support the wider research community in adopting dynamic evidence auditing.</w:t>
      </w:r>
    </w:p>
    <w:p>
      <w:pPr>
        <w:pStyle w:val="Heading1"/>
      </w:pPr>
      <w:r>
        <w:t>Discussion</w:t>
      </w:r>
    </w:p>
    <w:p>
      <w:r>
        <w:t>The MLM501 suite represents a paradigm shift from Snapshot meta-analysis to Dynamic Auditing. Traditional systematic reviews are often outdated before publication; by automating the audit of 2,373 analyses, we enable real-time monitoring of global clinical knowledge. The integration of the Evidence Pathway Engine further elevates this work by identifying the Cost of Fragility—the economic and clinical price of making decisions based on unstable data. This framework allows the NHS to move beyond simple effect sizes toward a more nuanced Return on Evidence model for research prioritization.</w:t>
      </w:r>
    </w:p>
    <w:p>
      <w:pPr>
        <w:pStyle w:val="Heading1"/>
      </w:pPr>
      <w:r>
        <w:t>Limitations</w:t>
      </w:r>
    </w:p>
    <w:p>
      <w:r>
        <w:t>Despite its robustness, several limitations remain. The specialty mapping relies on heuristic Cochrane ID sequences, which may misclassify multi-disciplinary reviews. Additionally, the computational cost of Stan-based Bayesian simulations limits their application to only the most fragile cohorts. Future versions will aim to integrate real-time API-driven specialty tagging and more efficient approximation methods for posterior estimation.</w:t>
      </w:r>
    </w:p>
    <w:p>
      <w:pPr>
        <w:pStyle w:val="Heading1"/>
      </w:pPr>
      <w:r>
        <w:t>Conclusion</w:t>
      </w:r>
    </w:p>
    <w:p>
      <w:r>
        <w:t>MLM501 provides a groundbreaking framework for the Cochrane Fragility Atlas, enabling the first-of-its-kind global audit of clinical evidence robustness. By identifying the Vulnerability Frontier and simulating real-world pathway impacts, it offers an essential tool for healthcare researchers and policy-makers to optimize evidence-based care and research investment.</w:t>
      </w:r>
    </w:p>
    <w:p>
      <w:pPr>
        <w:pStyle w:val="Heading1"/>
      </w:pPr>
      <w:r>
        <w:t>Figures and Visual Walkthrough</w:t>
      </w:r>
    </w:p>
    <w:p>
      <w:r>
        <w:t>Note: Figures are provided as separate high-resolution PNG files.</w:t>
      </w:r>
    </w:p>
    <w:p>
      <w:r>
        <w:t>Figure 1. Entropy Landscape: Mapping MAFI vs. Heterogeneity (I²). (cfa_entropy_landscape.png)</w:t>
      </w:r>
    </w:p>
    <w:p>
      <w:r>
        <w:t>Figure 2. Multi-Measure Landscape: Global distribution across logOR, SMD, and GIV. (cfa_multi_measure_landscape.png)</w:t>
      </w:r>
    </w:p>
    <w:p>
      <w:r>
        <w:t>Figure 3. Temporal Trends in Evidence Fragility: The Sigmoidal Evidence Rot. (cfa_temporal_trends.png)</w:t>
      </w:r>
    </w:p>
    <w:p>
      <w:r>
        <w:t>Figure 4. Cardiovascular Pathway Frontier: Sensitivity threshold mapping. (pathway_frontier_cvd.png)</w:t>
      </w:r>
    </w:p>
    <w:p>
      <w:r>
        <w:t>Figure 5. Global Metric Distribution: Statistical coverage of 2,373 analyses. (cfa_measure_distribution.png)</w:t>
      </w:r>
    </w:p>
    <w:p>
      <w:pPr>
        <w:pStyle w:val="Heading1"/>
      </w:pPr>
      <w:r>
        <w:t>References</w:t>
      </w:r>
    </w:p>
    <w:p>
      <w:r>
        <w:rPr>
          <w:sz w:val="18"/>
        </w:rPr>
        <w:t>1. DerSimonian R, Laird N. Meta-analysis in clinical trials. Control Clin Trials. 1986;7(3):177-188. doi:10.1016/0197-2456(86)90046-2</w:t>
      </w:r>
    </w:p>
    <w:p>
      <w:r>
        <w:rPr>
          <w:sz w:val="18"/>
        </w:rPr>
        <w:t>2. Viechtbauer W. Conducting meta-analyses in R with the metafor package. J Stat Softw. 2010;36(3):1-48. doi:10.18637/jss.v036.i03</w:t>
      </w:r>
    </w:p>
    <w:p>
      <w:r>
        <w:rPr>
          <w:sz w:val="18"/>
        </w:rPr>
        <w:t>3. Higgins JPT, Thompson SG. Quantifying heterogeneity in a meta-analysis. Stat Med. 2002;21(11):1539-1558. doi:10.1002/sim.1186</w:t>
      </w:r>
    </w:p>
    <w:p>
      <w:r>
        <w:rPr>
          <w:sz w:val="18"/>
        </w:rPr>
        <w:t>4. IntHout J, Ioannidis JP, Borm GF. The Hartung-Knapp-Sidik-Jonkman method for random effects meta-analysis is straightforward and considerably outperforms the standard DerSimonian-Laird method. BMC Med Res Methodol. 2014;14:25. doi:10.1186/1471-2288-14-25</w:t>
      </w:r>
    </w:p>
    <w:p>
      <w:r>
        <w:rPr>
          <w:sz w:val="18"/>
        </w:rPr>
        <w:t>5. Walsh M, Srinathan SK, McAuley DF, et al. The statistical significance of randomized controlled trial results is frequently fragile: a case for a Fragility Index. J Clin Epidemiol. 2014;67(6):622-628. doi:10.1016/j.jclinepi.2013.10.019</w:t>
      </w:r>
    </w:p>
    <w:p>
      <w:r>
        <w:rPr>
          <w:sz w:val="18"/>
        </w:rPr>
        <w:t>6. Atal I, Porcher R, Boutron I, Ravaud P. The statistical significance of meta-analyses is frequently fragile: definition of a fragility index for meta-analyses. J Clin Epidemiol. 2019;111:32-40. doi:10.1016/j.jclinepi.2019.03.012</w:t>
      </w:r>
    </w:p>
    <w:p>
      <w:r>
        <w:rPr>
          <w:sz w:val="18"/>
        </w:rPr>
        <w:t>7. Guyatt GH, Oxman AD, Vist GE, et al. GRADE: an emerging consensus on rating quality of evidence and strength of recommendations. BMJ. 2008;336(7650):924-926. doi:10.1136/bmj.39489.470347.AD</w:t>
      </w:r>
    </w:p>
    <w:p>
      <w:r>
        <w:rPr>
          <w:sz w:val="18"/>
        </w:rPr>
        <w:t>8. Higgins JPT, Thomas J, Chandler J, et al. Cochrane Handbook for Systematic Reviews of Interventions version 6.4. Cochrane; 2023. Available from: www.training.cochrane.org/handbook</w:t>
      </w:r>
    </w:p>
    <w:p>
      <w:r>
        <w:rPr>
          <w:sz w:val="18"/>
        </w:rPr>
        <w:t>9. Schwarzer G, Carpenter JR, Rucker G. Meta-Analysis with R. Cham: Springer; 2015. doi:10.1007/978-3-319-21416-0</w:t>
      </w:r>
    </w:p>
    <w:p>
      <w:r>
        <w:rPr>
          <w:sz w:val="18"/>
        </w:rPr>
        <w:t>10. Harrell FE, Lee KL, Mark DB. Multivariable prognostic models: issues in developing models, evaluating assumptions and adequacy, and measuring and reducing errors. Stat Med. 1996;15(4):361-387.</w:t>
      </w:r>
    </w:p>
    <w:p>
      <w:r>
        <w:rPr>
          <w:sz w:val="18"/>
        </w:rPr>
        <w:t>11. Burkner PC. brms: An R Package for Bayesian Multilevel Models Using Stan. J Stat Softw. 2017;80(1):1-28. doi:10.18637/jss.v080.i01</w:t>
      </w:r>
    </w:p>
    <w:p>
      <w:r>
        <w:rPr>
          <w:sz w:val="18"/>
        </w:rPr>
        <w:t>12. Borenstein M, Hedges LV, Higgins JPT, Rothstein HR. Introduction to Meta-Analysis. Chichester: John Wiley &amp; Sons; 2009. doi:10.1002/9780470743386</w:t>
      </w:r>
    </w:p>
    <w:p>
      <w:r>
        <w:rPr>
          <w:sz w:val="18"/>
        </w:rPr>
        <w:t>13. R Core Team. R: A Language and Environment for Statistical Computing. Vienna, Austria: R Foundation for Statistical Computing; 2024. https://www.R-project.org/</w:t>
      </w:r>
    </w:p>
    <w:p>
      <w:r>
        <w:rPr>
          <w:sz w:val="18"/>
        </w:rPr>
        <w:t>14. Page MJ, McKenzie JE, Bossuyt PM, et al. The PRISMA 2020 statement: an updated guideline for reporting systematic reviews. BMJ. 2021;372:n71. doi:10.1136/bmj.n71</w:t>
      </w:r>
    </w:p>
    <w:p>
      <w:r>
        <w:rPr>
          <w:sz w:val="18"/>
        </w:rPr>
        <w:t>15. Egger M, Davey Smith G, Schneider M, Minder C. Bias in meta-analysis detected by a simple, graphical test. BMJ. 1997;315(7109):629-634. doi:10.1136/bmj.315.7109.629</w:t>
      </w:r>
    </w:p>
    <w:p>
      <w:r>
        <w:rPr>
          <w:sz w:val="18"/>
        </w:rPr>
        <w:t>16. Duval S, Tweedie R. Trim and fill: a simple funnel-plot-based method of testing and adjusting for publication bias in meta-analysis. Biometrics. 2000;56(2):455-463. doi:10.1111/j.0006-341X.2000.00455.x</w:t>
      </w:r>
    </w:p>
    <w:p>
      <w:r>
        <w:rPr>
          <w:sz w:val="18"/>
        </w:rPr>
        <w:t>17. Stanley TD, Doucouliagos H. Meta-regression approximations to reduce publication selection bias. Res Synth Methods. 2014;5(1):60-78. doi:10.1002/jrsm.1095</w:t>
      </w:r>
    </w:p>
    <w:p>
      <w:r>
        <w:rPr>
          <w:sz w:val="18"/>
        </w:rPr>
        <w:t>18. National Institute for Health and Care Excellence (NICE). Guide to the Methods of Technology Appraisal 2013. London: NICE;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