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MLM501: a multilevel evidence synthesis suite for the Cochrane Fragility Atlas and Clinical Pathway Simulation</w:t>
      </w:r>
    </w:p>
    <w:p>
      <w:pPr>
        <w:pStyle w:val="Heading1"/>
      </w:pPr>
      <w:r>
        <w:t>Authors</w:t>
      </w:r>
    </w:p>
    <w:p>
      <w:r>
        <w:t>Mahmood Ahmad [1]</w:t>
      </w:r>
    </w:p>
    <w:p>
      <w:r>
        <w:t>Corresponding author: Mahmood Ahmad (mahmood.ahmad2@nhs.net)</w:t>
      </w:r>
    </w:p>
    <w:p>
      <w:pPr>
        <w:pStyle w:val="Heading1"/>
      </w:pPr>
      <w:r>
        <w:t>Abstract</w:t>
      </w:r>
    </w:p>
    <w:p>
      <w:r>
        <w:rPr>
          <w:b/>
        </w:rPr>
        <w:t xml:space="preserve">Background: </w:t>
      </w:r>
      <w:r>
        <w:t>Modern evidence synthesis requires more than static meta-analysis; it demands a continuous audit of evidence robustness. The MLM501 R package was developed to manage a multilevel treatment effect database derived from over 500 Cochrane reviews and to provide an automated "Stress-Test" engine for global clinical knowledge.</w:t>
      </w:r>
    </w:p>
    <w:p>
      <w:r>
        <w:rPr>
          <w:b/>
        </w:rPr>
        <w:t xml:space="preserve">Methods: </w:t>
      </w:r>
      <w:r>
        <w:t>MLM501 is an R package implementing a multilevel meta-analysis database of 2,373 unique analyses. It features the Meta-Analysis Fragility Index (MAFI 2.0) engine, a Bayesian Fragility &amp; Credibility Engine, and an Evidence Pathway Engine for simulating clinical workflows with health-economic (QALY) impact metrics.</w:t>
      </w:r>
    </w:p>
    <w:p>
      <w:r>
        <w:rPr>
          <w:b/>
        </w:rPr>
        <w:t xml:space="preserve">Results: </w:t>
      </w:r>
      <w:r>
        <w:t>A global audit identified 288 "High Fragility" analyses vulnerable to single-study changes. A Cardiovascular case study using the Pathway Engine demonstrated a Net Clinical Benefit (NCB) of 163 lives improved per 10,000 patients.</w:t>
      </w:r>
    </w:p>
    <w:p>
      <w:r>
        <w:rPr>
          <w:b/>
        </w:rPr>
        <w:t xml:space="preserve">Conclusions: </w:t>
      </w:r>
      <w:r>
        <w:t>MLM501 provides a groundbreaking framework for auditing evidence integrity and modeling clinical impact, identifying the "Cost of Fragility" for healthcare optimization.</w:t>
      </w:r>
    </w:p>
    <w:p>
      <w:pPr>
        <w:pStyle w:val="Heading1"/>
      </w:pPr>
      <w:r>
        <w:t>Visual Abstract (Table-Only)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VISUAL ABSTRACT | Cochrane Fragility Atlas</w:t>
            </w:r>
          </w:p>
        </w:tc>
        <w:tc>
          <w:tcPr>
            <w:tcW w:type="dxa" w:w="2160"/>
            <w:shd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VISUAL ABSTRACT | Cochrane Fragility Atlas</w:t>
            </w:r>
          </w:p>
        </w:tc>
        <w:tc>
          <w:tcPr>
            <w:tcW w:type="dxa" w:w="2160"/>
            <w:shd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VISUAL ABSTRACT | Cochrane Fragility Atlas</w:t>
            </w:r>
          </w:p>
        </w:tc>
        <w:tc>
          <w:tcPr>
            <w:tcW w:type="dxa" w:w="2160"/>
            <w:shd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VISUAL ABSTRACT | Cochrane Fragility Atlas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1. Audit Database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2. Stress-Test Engine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3. Pathway Simulation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4. Economic Impact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2,373 multilevel Cochrane analyses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MAFI 2.0 + Sigmoidal evidence decay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Test -&gt; Treat "NCB" calculations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QALY-based monetary impact metrics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Clarity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Balance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Verification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Benefit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Vulnerability map for NHS research priorities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Fragility vs. Heterogeneity mapped together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Internal Stress-Test &amp; Bayesian parity checks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Evidence-based healthcare optimization tool</w:t>
            </w:r>
          </w:p>
        </w:tc>
      </w:tr>
    </w:tbl>
    <w:p>
      <w:pPr>
        <w:pStyle w:val="Heading1"/>
      </w:pPr>
      <w:r>
        <w:t>Internal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Layer</w:t>
            </w:r>
          </w:p>
        </w:tc>
        <w:tc>
          <w:tcPr>
            <w:tcW w:type="dxa" w:w="2880"/>
            <w:shd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Components</w:t>
            </w:r>
          </w:p>
        </w:tc>
        <w:tc>
          <w:tcPr>
            <w:tcW w:type="dxa" w:w="2880"/>
            <w:shd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Role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Data Ingestion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Multilevel Database Importer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Unified access to 2,373 analyses with provenance.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Audit Engine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MAFI 2.0 + brms/Stan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Weighted stress-test + Bayesian credible intervals.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Pathway Engine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DTA/TE Bridge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Simulates NCB and total harms for medical strategies.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Health Economics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QALY Impact Calculator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Translates clinical outcomes into monetary value.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Analytics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Interactive Glassmorphism Dashboard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Global evidence exploration and frontier mapping.</w:t>
            </w:r>
          </w:p>
        </w:tc>
      </w:tr>
    </w:tbl>
    <w:p>
      <w:pPr>
        <w:pStyle w:val="Caption"/>
      </w:pPr>
      <w:r>
        <w:t>Table 4. MLM501 internal architecture.</w:t>
      </w:r>
    </w:p>
    <w:p>
      <w:pPr>
        <w:pStyle w:val="Heading1"/>
      </w:pPr>
      <w:r>
        <w:t>Software Operation and Vignettes</w:t>
      </w:r>
    </w:p>
    <w:p>
      <w:r>
        <w:t>The software includes a comprehensive vignette, "Mapping the Evidence Frontier with MLM501" (vignettes/CFA_Walkthrough.Rmd), which provides a guided workflow from global database auditing to clinical pathway frontier mapping.</w:t>
      </w:r>
    </w:p>
    <w:p>
      <w:pPr>
        <w:pStyle w:val="Heading1"/>
      </w:pPr>
      <w:r>
        <w:t>Global Evidence Robustness Audit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Classification</w:t>
            </w:r>
          </w:p>
        </w:tc>
        <w:tc>
          <w:tcPr>
            <w:tcW w:type="dxa" w:w="2880"/>
            <w:shd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Count (k=2,373)</w:t>
            </w:r>
          </w:p>
        </w:tc>
        <w:tc>
          <w:tcPr>
            <w:tcW w:type="dxa" w:w="2880"/>
            <w:shd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Clinical Interpretation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Robust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Conclusions highly stable; gold-standard anchors.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Low Fragility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1,219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Generally reliable; low sensitivity to study removal.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Moderate Fragility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466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Sensitive to study exclusions; interpret with caution.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High Fragility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288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Vulnerable to a single study change; evidence frontier.</w:t>
            </w:r>
          </w:p>
        </w:tc>
      </w:tr>
    </w:tbl>
    <w:p>
      <w:pPr>
        <w:pStyle w:val="Caption"/>
      </w:pPr>
      <w:r>
        <w:t>Table 5. Global robustness profile of Cochrane clinical evidence.</w:t>
      </w:r>
    </w:p>
    <w:p>
      <w:pPr>
        <w:pStyle w:val="Heading1"/>
      </w:pPr>
      <w:r>
        <w:t>Pathway Simulation Case Study (CVD)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Metric</w:t>
            </w:r>
          </w:p>
        </w:tc>
        <w:tc>
          <w:tcPr>
            <w:tcW w:type="dxa" w:w="2880"/>
            <w:shd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Simulation Result</w:t>
            </w:r>
          </w:p>
        </w:tc>
        <w:tc>
          <w:tcPr>
            <w:tcW w:type="dxa" w:w="2880"/>
            <w:shd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Economic Context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Prevalence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15%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High-risk cardiovascular population.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Net Clinical Benefit (NCB)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163 lives per 10k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Improved outcomes after accounting for harms.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Total Treatment Harms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22 events per 10k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Adverse events in false/true positives.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Net Economic Value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£4.89M per 10k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Based on £30,000 per QALY (NHS benchmark).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Evidence Age (Median)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14 years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Stale score adjusted via sigmoidal decay.</w:t>
            </w:r>
          </w:p>
        </w:tc>
      </w:tr>
    </w:tbl>
    <w:p>
      <w:pPr>
        <w:pStyle w:val="Caption"/>
      </w:pPr>
      <w:r>
        <w:t>Table 6. Cardiovascular pathway simulation using HS-Troponin -&gt; Antihypertensive therapy.</w:t>
      </w:r>
    </w:p>
    <w:p>
      <w:pPr>
        <w:pStyle w:val="Heading1"/>
      </w:pPr>
      <w:r>
        <w:t>Software availability</w:t>
      </w:r>
    </w:p>
    <w:p>
      <w:r>
        <w:t>Source code: MLM501 sub-directory (GitHub/Zenodo archive)</w:t>
      </w:r>
    </w:p>
    <w:p>
      <w:r>
        <w:t>Version: v0.1.0 (The Cochrane Fragility Atlas Suite)</w:t>
      </w:r>
    </w:p>
    <w:p>
      <w:r>
        <w:t>License: MIT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